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8E75" w14:textId="77777777" w:rsidR="00D11C2A" w:rsidRPr="003869E7" w:rsidRDefault="00D11C2A" w:rsidP="006A3DA9">
      <w:pPr>
        <w:pStyle w:val="Subtitle"/>
      </w:pPr>
    </w:p>
    <w:p w14:paraId="54574E76" w14:textId="1B221BDE" w:rsidR="00D11C2A" w:rsidRDefault="00D11C2A" w:rsidP="00D11C2A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t xml:space="preserve">This document provides an approved procedure for the volumetric analysis of Settleable </w:t>
      </w:r>
      <w:r w:rsidR="004365C9">
        <w:rPr>
          <w:rFonts w:cs="Arial"/>
          <w:sz w:val="20"/>
        </w:rPr>
        <w:t xml:space="preserve">Residue </w:t>
      </w:r>
      <w:r w:rsidR="001D51CF">
        <w:rPr>
          <w:rFonts w:cs="Arial"/>
          <w:sz w:val="20"/>
        </w:rPr>
        <w:t xml:space="preserve">for compliance monitoring </w:t>
      </w:r>
      <w:r>
        <w:rPr>
          <w:rFonts w:cs="Arial"/>
          <w:sz w:val="20"/>
        </w:rPr>
        <w:t xml:space="preserve">per 15A NCAC </w:t>
      </w:r>
      <w:r w:rsidR="00F721C2">
        <w:rPr>
          <w:rFonts w:cs="Arial"/>
          <w:sz w:val="20"/>
        </w:rPr>
        <w:t>0</w:t>
      </w:r>
      <w:r>
        <w:rPr>
          <w:rFonts w:cs="Arial"/>
          <w:sz w:val="20"/>
        </w:rPr>
        <w:t>2H .0805 (a) (</w:t>
      </w:r>
      <w:r w:rsidR="00A56968">
        <w:rPr>
          <w:rFonts w:cs="Arial"/>
          <w:sz w:val="20"/>
        </w:rPr>
        <w:t>7</w:t>
      </w:r>
      <w:r>
        <w:rPr>
          <w:rFonts w:cs="Arial"/>
          <w:sz w:val="20"/>
        </w:rPr>
        <w:t>) and (g) (</w:t>
      </w:r>
      <w:r w:rsidR="00A56968">
        <w:rPr>
          <w:rFonts w:cs="Arial"/>
          <w:sz w:val="20"/>
        </w:rPr>
        <w:t>4</w:t>
      </w:r>
      <w:r>
        <w:rPr>
          <w:rFonts w:cs="Arial"/>
          <w:sz w:val="20"/>
        </w:rPr>
        <w:t xml:space="preserve">). </w:t>
      </w:r>
    </w:p>
    <w:p w14:paraId="2B3EF890" w14:textId="77777777" w:rsidR="00865836" w:rsidRDefault="00865836" w:rsidP="00D11C2A">
      <w:pPr>
        <w:pStyle w:val="BodyText"/>
        <w:rPr>
          <w:rFonts w:cs="Arial"/>
          <w:sz w:val="20"/>
        </w:rPr>
      </w:pPr>
    </w:p>
    <w:p w14:paraId="24E45DEC" w14:textId="154E1D9B" w:rsidR="00865836" w:rsidRPr="00865836" w:rsidRDefault="00865836" w:rsidP="00865836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t>Settleable Residue</w:t>
      </w:r>
      <w:r w:rsidRPr="00865836">
        <w:rPr>
          <w:rFonts w:cs="Arial"/>
          <w:sz w:val="20"/>
        </w:rPr>
        <w:t xml:space="preserve"> is considered a method-defined parameter per the definition in the Code of Federal Regulations, Part 136.6, Section (a) (5). This means that the method may not be modified</w:t>
      </w:r>
      <w:r w:rsidR="00C81FE7">
        <w:rPr>
          <w:rFonts w:cs="Arial"/>
          <w:sz w:val="20"/>
        </w:rPr>
        <w:t xml:space="preserve"> to reduce </w:t>
      </w:r>
      <w:r w:rsidR="00057EE1">
        <w:rPr>
          <w:rFonts w:cs="Arial"/>
          <w:sz w:val="20"/>
        </w:rPr>
        <w:t>the sample volume</w:t>
      </w:r>
      <w:r w:rsidRPr="00865836">
        <w:rPr>
          <w:rFonts w:cs="Arial"/>
          <w:sz w:val="20"/>
        </w:rPr>
        <w:t xml:space="preserve"> per Part 136.6, Section (b) (3). </w:t>
      </w:r>
    </w:p>
    <w:p w14:paraId="3469E992" w14:textId="77777777" w:rsidR="00D11C2A" w:rsidRDefault="00D11C2A" w:rsidP="00D11C2A">
      <w:pPr>
        <w:suppressAutoHyphens/>
        <w:rPr>
          <w:sz w:val="20"/>
        </w:rPr>
      </w:pPr>
    </w:p>
    <w:p w14:paraId="5E3264AC" w14:textId="45A3A042" w:rsidR="00D11C2A" w:rsidRDefault="006137A2" w:rsidP="00D11C2A">
      <w:pPr>
        <w:suppressAutoHyphens/>
        <w:rPr>
          <w:sz w:val="20"/>
        </w:rPr>
      </w:pPr>
      <w:r>
        <w:rPr>
          <w:b/>
          <w:sz w:val="20"/>
          <w:u w:val="single"/>
        </w:rPr>
        <w:t>Holding Time</w:t>
      </w:r>
      <w:r w:rsidR="00D11C2A">
        <w:rPr>
          <w:b/>
          <w:sz w:val="20"/>
          <w:u w:val="single"/>
        </w:rPr>
        <w:t>:</w:t>
      </w:r>
      <w:r w:rsidR="00D11C2A">
        <w:rPr>
          <w:sz w:val="20"/>
        </w:rPr>
        <w:t xml:space="preserve"> </w:t>
      </w:r>
    </w:p>
    <w:p w14:paraId="4E4D0422" w14:textId="77777777" w:rsidR="00D11C2A" w:rsidRPr="00B952F2" w:rsidRDefault="00D11C2A" w:rsidP="00D11C2A">
      <w:pPr>
        <w:suppressAutoHyphens/>
        <w:rPr>
          <w:sz w:val="10"/>
          <w:szCs w:val="10"/>
        </w:rPr>
      </w:pPr>
    </w:p>
    <w:p w14:paraId="7BA46A88" w14:textId="77777777" w:rsidR="00D11C2A" w:rsidRDefault="00D11C2A" w:rsidP="00D11C2A">
      <w:pPr>
        <w:numPr>
          <w:ilvl w:val="0"/>
          <w:numId w:val="1"/>
        </w:numPr>
        <w:suppressAutoHyphens/>
        <w:rPr>
          <w:sz w:val="20"/>
        </w:rPr>
      </w:pPr>
      <w:r>
        <w:rPr>
          <w:sz w:val="20"/>
        </w:rPr>
        <w:t xml:space="preserve">Samples must be analyzed within 48 hours of collection (40 CFR Part 136 Table II). </w:t>
      </w:r>
    </w:p>
    <w:p w14:paraId="6D97EFF8" w14:textId="77777777" w:rsidR="00D11C2A" w:rsidRDefault="00D11C2A" w:rsidP="00D11C2A">
      <w:pPr>
        <w:suppressAutoHyphens/>
        <w:rPr>
          <w:sz w:val="20"/>
        </w:rPr>
      </w:pPr>
    </w:p>
    <w:p w14:paraId="78DDF400" w14:textId="26E13EC3" w:rsidR="00D11C2A" w:rsidRDefault="00D11C2A" w:rsidP="00D11C2A">
      <w:pPr>
        <w:numPr>
          <w:ilvl w:val="0"/>
          <w:numId w:val="1"/>
        </w:numPr>
        <w:suppressAutoHyphens/>
        <w:rPr>
          <w:sz w:val="20"/>
        </w:rPr>
      </w:pPr>
      <w:r>
        <w:rPr>
          <w:sz w:val="20"/>
        </w:rPr>
        <w:t xml:space="preserve">Samples must be stored above freezing and </w:t>
      </w:r>
      <w:r>
        <w:rPr>
          <w:rFonts w:cs="Arial"/>
          <w:sz w:val="20"/>
        </w:rPr>
        <w:t xml:space="preserve">≤ </w:t>
      </w:r>
      <w:r>
        <w:rPr>
          <w:sz w:val="20"/>
        </w:rPr>
        <w:t>6</w:t>
      </w:r>
      <w:r>
        <w:rPr>
          <w:rFonts w:cs="Arial"/>
          <w:sz w:val="20"/>
        </w:rPr>
        <w:t>°</w:t>
      </w:r>
      <w:r>
        <w:rPr>
          <w:sz w:val="20"/>
        </w:rPr>
        <w:t xml:space="preserve">C, if not analyzed </w:t>
      </w:r>
      <w:r w:rsidR="00020232">
        <w:rPr>
          <w:sz w:val="20"/>
        </w:rPr>
        <w:t>within 15 minutes</w:t>
      </w:r>
      <w:r w:rsidR="007846E2">
        <w:rPr>
          <w:sz w:val="20"/>
        </w:rPr>
        <w:t xml:space="preserve"> of collection</w:t>
      </w:r>
      <w:r>
        <w:rPr>
          <w:sz w:val="20"/>
        </w:rPr>
        <w:t>.</w:t>
      </w:r>
    </w:p>
    <w:p w14:paraId="75E6AE64" w14:textId="77777777" w:rsidR="00D11C2A" w:rsidRDefault="00D11C2A" w:rsidP="00D11C2A">
      <w:pPr>
        <w:suppressAutoHyphens/>
        <w:rPr>
          <w:sz w:val="20"/>
        </w:rPr>
      </w:pPr>
    </w:p>
    <w:p w14:paraId="2DBD1F0D" w14:textId="4CEEBBFC" w:rsidR="00D11C2A" w:rsidRDefault="006137A2" w:rsidP="00D11C2A">
      <w:pPr>
        <w:suppressAutoHyphens/>
        <w:rPr>
          <w:b/>
          <w:sz w:val="20"/>
          <w:u w:val="single"/>
        </w:rPr>
      </w:pPr>
      <w:r>
        <w:rPr>
          <w:b/>
          <w:sz w:val="20"/>
          <w:u w:val="single"/>
        </w:rPr>
        <w:t>General Information:</w:t>
      </w:r>
    </w:p>
    <w:p w14:paraId="4B5CFEC7" w14:textId="77777777" w:rsidR="001502AF" w:rsidRPr="00B952F2" w:rsidRDefault="001502AF" w:rsidP="00D11C2A">
      <w:pPr>
        <w:suppressAutoHyphens/>
        <w:rPr>
          <w:sz w:val="10"/>
          <w:szCs w:val="10"/>
        </w:rPr>
      </w:pPr>
    </w:p>
    <w:p w14:paraId="3410DBFE" w14:textId="77777777" w:rsidR="00D11C2A" w:rsidRDefault="00D11C2A" w:rsidP="00D11C2A">
      <w:pPr>
        <w:numPr>
          <w:ilvl w:val="0"/>
          <w:numId w:val="1"/>
        </w:numPr>
        <w:suppressAutoHyphens/>
        <w:rPr>
          <w:sz w:val="20"/>
        </w:rPr>
      </w:pPr>
      <w:r>
        <w:rPr>
          <w:sz w:val="20"/>
        </w:rPr>
        <w:t>Collect a minimum of 1 liter of sample.</w:t>
      </w:r>
    </w:p>
    <w:p w14:paraId="05D4809C" w14:textId="77777777" w:rsidR="00D11C2A" w:rsidRDefault="00D11C2A" w:rsidP="00D11C2A">
      <w:pPr>
        <w:suppressAutoHyphens/>
        <w:rPr>
          <w:sz w:val="20"/>
        </w:rPr>
      </w:pPr>
    </w:p>
    <w:p w14:paraId="44569246" w14:textId="77777777" w:rsidR="00D11C2A" w:rsidRDefault="00D11C2A" w:rsidP="00D11C2A">
      <w:pPr>
        <w:numPr>
          <w:ilvl w:val="0"/>
          <w:numId w:val="1"/>
        </w:numPr>
        <w:suppressAutoHyphens/>
        <w:rPr>
          <w:sz w:val="20"/>
        </w:rPr>
      </w:pPr>
      <w:r>
        <w:rPr>
          <w:sz w:val="20"/>
        </w:rPr>
        <w:t>Ensure the Imhoff Cone is clean and dry prior to analysis.</w:t>
      </w:r>
    </w:p>
    <w:p w14:paraId="48366AB6" w14:textId="77777777" w:rsidR="008D5BDF" w:rsidRPr="009E36F7" w:rsidRDefault="008D5BDF" w:rsidP="008D5BDF">
      <w:pPr>
        <w:pStyle w:val="ListParagraph"/>
        <w:rPr>
          <w:sz w:val="20"/>
        </w:rPr>
      </w:pPr>
    </w:p>
    <w:p w14:paraId="6AA89571" w14:textId="77777777" w:rsidR="008D5BDF" w:rsidRPr="008D5BDF" w:rsidRDefault="008D5BDF" w:rsidP="009E36F7">
      <w:pPr>
        <w:numPr>
          <w:ilvl w:val="0"/>
          <w:numId w:val="1"/>
        </w:numPr>
        <w:suppressAutoHyphens/>
        <w:jc w:val="both"/>
        <w:rPr>
          <w:sz w:val="20"/>
        </w:rPr>
      </w:pPr>
      <w:r>
        <w:rPr>
          <w:sz w:val="20"/>
        </w:rPr>
        <w:t>Sample duplicates are not a required quality control element for Field parameters.</w:t>
      </w:r>
    </w:p>
    <w:p w14:paraId="6079FB46" w14:textId="77777777" w:rsidR="00D11C2A" w:rsidRDefault="00D11C2A" w:rsidP="00D11C2A">
      <w:pPr>
        <w:suppressAutoHyphens/>
        <w:rPr>
          <w:sz w:val="20"/>
        </w:rPr>
      </w:pPr>
    </w:p>
    <w:p w14:paraId="42A9837F" w14:textId="039EEFC9" w:rsidR="00D11C2A" w:rsidRDefault="006137A2" w:rsidP="00D11C2A">
      <w:pPr>
        <w:suppressAutoHyphens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Analysis:</w:t>
      </w:r>
    </w:p>
    <w:p w14:paraId="7C267B85" w14:textId="77777777" w:rsidR="00D11C2A" w:rsidRPr="00B952F2" w:rsidRDefault="00D11C2A" w:rsidP="00D11C2A">
      <w:pPr>
        <w:suppressAutoHyphens/>
        <w:jc w:val="both"/>
        <w:rPr>
          <w:sz w:val="10"/>
          <w:szCs w:val="10"/>
        </w:rPr>
      </w:pPr>
    </w:p>
    <w:p w14:paraId="6B5D9C18" w14:textId="77777777" w:rsidR="00D11C2A" w:rsidRDefault="00D11C2A" w:rsidP="00D11C2A">
      <w:pPr>
        <w:numPr>
          <w:ilvl w:val="0"/>
          <w:numId w:val="2"/>
        </w:numPr>
        <w:suppressAutoHyphens/>
        <w:ind w:left="720" w:hanging="315"/>
        <w:jc w:val="both"/>
        <w:rPr>
          <w:sz w:val="20"/>
        </w:rPr>
      </w:pPr>
      <w:r>
        <w:rPr>
          <w:sz w:val="20"/>
        </w:rPr>
        <w:t>Pour exactly 1 liter of well mixed sample into the Imhoff Cone and allow the sample to settle for 45 minutes.</w:t>
      </w:r>
    </w:p>
    <w:p w14:paraId="013A2B73" w14:textId="77777777" w:rsidR="00D11C2A" w:rsidRDefault="00D11C2A" w:rsidP="00D11C2A">
      <w:pPr>
        <w:suppressAutoHyphens/>
        <w:ind w:left="45"/>
        <w:jc w:val="both"/>
        <w:rPr>
          <w:sz w:val="20"/>
        </w:rPr>
      </w:pPr>
      <w:r>
        <w:rPr>
          <w:sz w:val="20"/>
        </w:rPr>
        <w:t xml:space="preserve"> </w:t>
      </w:r>
    </w:p>
    <w:p w14:paraId="2FA18F74" w14:textId="77777777" w:rsidR="00D11C2A" w:rsidRDefault="00D11C2A" w:rsidP="00D11C2A">
      <w:pPr>
        <w:numPr>
          <w:ilvl w:val="0"/>
          <w:numId w:val="2"/>
        </w:numPr>
        <w:suppressAutoHyphens/>
        <w:jc w:val="both"/>
        <w:rPr>
          <w:sz w:val="20"/>
        </w:rPr>
      </w:pPr>
      <w:r>
        <w:rPr>
          <w:sz w:val="20"/>
        </w:rPr>
        <w:t>After 45 minutes</w:t>
      </w:r>
      <w:r w:rsidR="001D51CF">
        <w:rPr>
          <w:sz w:val="20"/>
        </w:rPr>
        <w:t>,</w:t>
      </w:r>
      <w:r>
        <w:rPr>
          <w:sz w:val="20"/>
        </w:rPr>
        <w:t xml:space="preserve"> gently stir on the sides of the cone or gently spin the cone. </w:t>
      </w:r>
    </w:p>
    <w:p w14:paraId="64092337" w14:textId="77777777" w:rsidR="00D11C2A" w:rsidRDefault="00D11C2A" w:rsidP="00D11C2A">
      <w:pPr>
        <w:suppressAutoHyphens/>
        <w:ind w:left="45"/>
        <w:jc w:val="both"/>
        <w:rPr>
          <w:sz w:val="20"/>
        </w:rPr>
      </w:pPr>
    </w:p>
    <w:p w14:paraId="4D98E4A9" w14:textId="77777777" w:rsidR="00374AF7" w:rsidRDefault="00D11C2A" w:rsidP="00D11C2A">
      <w:pPr>
        <w:numPr>
          <w:ilvl w:val="0"/>
          <w:numId w:val="2"/>
        </w:numPr>
        <w:suppressAutoHyphens/>
        <w:jc w:val="both"/>
        <w:rPr>
          <w:sz w:val="20"/>
        </w:rPr>
      </w:pPr>
      <w:r>
        <w:rPr>
          <w:sz w:val="20"/>
        </w:rPr>
        <w:t>Allow to settle for another 15 minutes.</w:t>
      </w:r>
      <w:r w:rsidR="00374AF7">
        <w:rPr>
          <w:sz w:val="20"/>
        </w:rPr>
        <w:t xml:space="preserve"> </w:t>
      </w:r>
    </w:p>
    <w:p w14:paraId="7D890A4C" w14:textId="77777777" w:rsidR="00374AF7" w:rsidRDefault="00374AF7" w:rsidP="00374AF7">
      <w:pPr>
        <w:pStyle w:val="ListParagraph"/>
        <w:rPr>
          <w:sz w:val="20"/>
        </w:rPr>
      </w:pPr>
    </w:p>
    <w:p w14:paraId="0D5CFCD3" w14:textId="77777777" w:rsidR="00D11C2A" w:rsidRDefault="00374AF7" w:rsidP="00D11C2A">
      <w:pPr>
        <w:numPr>
          <w:ilvl w:val="0"/>
          <w:numId w:val="2"/>
        </w:numPr>
        <w:suppressAutoHyphens/>
        <w:jc w:val="both"/>
        <w:rPr>
          <w:sz w:val="20"/>
        </w:rPr>
      </w:pPr>
      <w:r>
        <w:rPr>
          <w:sz w:val="20"/>
        </w:rPr>
        <w:t xml:space="preserve">Do not allow the sample to settle for more than 1 hour. </w:t>
      </w:r>
    </w:p>
    <w:p w14:paraId="435BDDD4" w14:textId="77777777" w:rsidR="00D11C2A" w:rsidRDefault="00D11C2A" w:rsidP="00D11C2A">
      <w:pPr>
        <w:suppressAutoHyphens/>
        <w:jc w:val="both"/>
        <w:rPr>
          <w:sz w:val="20"/>
        </w:rPr>
      </w:pPr>
    </w:p>
    <w:p w14:paraId="3659EA2E" w14:textId="2ADC97A3" w:rsidR="00F41270" w:rsidRPr="008D5BDF" w:rsidDel="004E502E" w:rsidRDefault="00D11C2A" w:rsidP="008D5BDF">
      <w:pPr>
        <w:numPr>
          <w:ilvl w:val="0"/>
          <w:numId w:val="2"/>
        </w:numPr>
        <w:suppressAutoHyphens/>
        <w:ind w:left="720" w:hanging="315"/>
        <w:jc w:val="both"/>
        <w:rPr>
          <w:sz w:val="20"/>
        </w:rPr>
      </w:pPr>
      <w:r>
        <w:rPr>
          <w:sz w:val="20"/>
        </w:rPr>
        <w:t>Measure the volume of residue in the bottom of the cone in m</w:t>
      </w:r>
      <w:r w:rsidR="00EA6F8B">
        <w:rPr>
          <w:sz w:val="20"/>
        </w:rPr>
        <w:t>L</w:t>
      </w:r>
      <w:r>
        <w:rPr>
          <w:sz w:val="20"/>
        </w:rPr>
        <w:t>. Subtract pockets of liquid from the final volume of residue reported</w:t>
      </w:r>
      <w:r w:rsidR="00350050">
        <w:rPr>
          <w:sz w:val="20"/>
        </w:rPr>
        <w:t xml:space="preserve"> and </w:t>
      </w:r>
      <w:r w:rsidR="00472812">
        <w:rPr>
          <w:sz w:val="20"/>
        </w:rPr>
        <w:t>document calculation</w:t>
      </w:r>
      <w:r w:rsidR="00350050">
        <w:rPr>
          <w:sz w:val="20"/>
        </w:rPr>
        <w:t xml:space="preserve"> on the benchsheet</w:t>
      </w:r>
      <w:r>
        <w:rPr>
          <w:sz w:val="20"/>
        </w:rPr>
        <w:t>. Results which fall below the lowest graduation on the Imhoff Cone (this is generally in the 0.1 to 1.0 m</w:t>
      </w:r>
      <w:r w:rsidR="00E728BA">
        <w:rPr>
          <w:sz w:val="20"/>
        </w:rPr>
        <w:t>L</w:t>
      </w:r>
      <w:r>
        <w:rPr>
          <w:sz w:val="20"/>
        </w:rPr>
        <w:t>/L range), must be reported as less than that value. For example, if the lowest graduation is 0.1 m</w:t>
      </w:r>
      <w:r w:rsidR="00E728BA">
        <w:rPr>
          <w:sz w:val="20"/>
        </w:rPr>
        <w:t>L</w:t>
      </w:r>
      <w:r>
        <w:rPr>
          <w:sz w:val="20"/>
        </w:rPr>
        <w:t>, then results which fall below 0.1 m</w:t>
      </w:r>
      <w:r w:rsidR="00E728BA">
        <w:rPr>
          <w:sz w:val="20"/>
        </w:rPr>
        <w:t>L</w:t>
      </w:r>
      <w:r>
        <w:rPr>
          <w:sz w:val="20"/>
        </w:rPr>
        <w:t xml:space="preserve"> must be reported as “&lt;0.1 m</w:t>
      </w:r>
      <w:r w:rsidR="00E728BA">
        <w:rPr>
          <w:sz w:val="20"/>
        </w:rPr>
        <w:t>L</w:t>
      </w:r>
      <w:r>
        <w:rPr>
          <w:sz w:val="20"/>
        </w:rPr>
        <w:t>/L” when 1 liter of sample is analyzed.</w:t>
      </w:r>
    </w:p>
    <w:p w14:paraId="3279AA39" w14:textId="77777777" w:rsidR="0075216B" w:rsidRDefault="0075216B" w:rsidP="0075216B">
      <w:pPr>
        <w:pStyle w:val="ListParagraph"/>
        <w:rPr>
          <w:sz w:val="20"/>
        </w:rPr>
      </w:pPr>
    </w:p>
    <w:p w14:paraId="00841970" w14:textId="77777777" w:rsidR="0075216B" w:rsidRPr="008D5BDF" w:rsidDel="004E502E" w:rsidRDefault="0021133E" w:rsidP="008D5BDF">
      <w:pPr>
        <w:numPr>
          <w:ilvl w:val="0"/>
          <w:numId w:val="2"/>
        </w:numPr>
        <w:suppressAutoHyphens/>
        <w:ind w:left="720" w:hanging="315"/>
        <w:jc w:val="both"/>
        <w:rPr>
          <w:sz w:val="20"/>
        </w:rPr>
      </w:pPr>
      <w:r>
        <w:rPr>
          <w:sz w:val="20"/>
        </w:rPr>
        <w:t xml:space="preserve">If the laboratory does not receive </w:t>
      </w:r>
      <w:r w:rsidR="00E430B4">
        <w:rPr>
          <w:sz w:val="20"/>
        </w:rPr>
        <w:t>1</w:t>
      </w:r>
      <w:r>
        <w:rPr>
          <w:sz w:val="20"/>
        </w:rPr>
        <w:t xml:space="preserve"> liter of sample and another sample cannot be collected, </w:t>
      </w:r>
      <w:r w:rsidR="009A3BE5">
        <w:rPr>
          <w:sz w:val="20"/>
        </w:rPr>
        <w:t xml:space="preserve">the results </w:t>
      </w:r>
      <w:r w:rsidR="00DB457C">
        <w:rPr>
          <w:sz w:val="20"/>
        </w:rPr>
        <w:t xml:space="preserve">and reporting limit </w:t>
      </w:r>
      <w:r w:rsidR="009A3BE5">
        <w:rPr>
          <w:sz w:val="20"/>
        </w:rPr>
        <w:t>must be calculated based upon the volume analyzed</w:t>
      </w:r>
      <w:r w:rsidR="00A70EF8">
        <w:rPr>
          <w:sz w:val="20"/>
        </w:rPr>
        <w:t xml:space="preserve"> and qualified</w:t>
      </w:r>
      <w:r w:rsidR="009A3BE5">
        <w:rPr>
          <w:sz w:val="20"/>
        </w:rPr>
        <w:t>.</w:t>
      </w:r>
      <w:r w:rsidR="002C2B85">
        <w:rPr>
          <w:sz w:val="20"/>
        </w:rPr>
        <w:t xml:space="preserve"> Calculate results as follows:</w:t>
      </w:r>
    </w:p>
    <w:p w14:paraId="66D09129" w14:textId="77777777" w:rsidR="002C2B85" w:rsidRDefault="002C2B85" w:rsidP="002C2B85">
      <w:pPr>
        <w:pStyle w:val="ListParagraph"/>
        <w:rPr>
          <w:sz w:val="20"/>
        </w:rPr>
      </w:pPr>
    </w:p>
    <w:p w14:paraId="6A5DC9EE" w14:textId="77777777" w:rsidR="002C2B85" w:rsidRPr="008D5BDF" w:rsidDel="004E502E" w:rsidRDefault="008934C6" w:rsidP="005029F9">
      <w:pPr>
        <w:suppressAutoHyphens/>
        <w:ind w:left="2340"/>
        <w:jc w:val="both"/>
        <w:rPr>
          <w:sz w:val="20"/>
        </w:rPr>
      </w:pPr>
      <w:r w:rsidRPr="008934C6">
        <w:rPr>
          <w:sz w:val="20"/>
          <w:u w:val="single"/>
        </w:rPr>
        <w:t>(mL of residue</w:t>
      </w:r>
      <w:r w:rsidRPr="005029F9">
        <w:rPr>
          <w:sz w:val="20"/>
          <w:u w:val="single"/>
        </w:rPr>
        <w:t>) X 1000</w:t>
      </w:r>
      <w:r w:rsidR="005029F9" w:rsidRPr="004C7113">
        <w:rPr>
          <w:sz w:val="20"/>
        </w:rPr>
        <w:t xml:space="preserve">  </w:t>
      </w:r>
      <w:r w:rsidR="004C7113" w:rsidRPr="004C7113">
        <w:rPr>
          <w:sz w:val="20"/>
        </w:rPr>
        <w:t>=</w:t>
      </w:r>
      <w:r w:rsidR="004C7113">
        <w:rPr>
          <w:sz w:val="20"/>
        </w:rPr>
        <w:t xml:space="preserve"> Result in mL/L</w:t>
      </w:r>
    </w:p>
    <w:p w14:paraId="2B189451" w14:textId="77777777" w:rsidR="00D11C2A" w:rsidRDefault="005029F9" w:rsidP="00081DBA">
      <w:pPr>
        <w:suppressAutoHyphens/>
        <w:ind w:left="2250"/>
        <w:jc w:val="both"/>
        <w:rPr>
          <w:sz w:val="20"/>
        </w:rPr>
      </w:pPr>
      <w:r>
        <w:rPr>
          <w:sz w:val="20"/>
        </w:rPr>
        <w:t xml:space="preserve">        </w:t>
      </w:r>
      <w:r w:rsidR="008934C6">
        <w:rPr>
          <w:sz w:val="20"/>
        </w:rPr>
        <w:t>(mL of sample)</w:t>
      </w:r>
    </w:p>
    <w:p w14:paraId="0D580143" w14:textId="761C78F1" w:rsidR="00D11C2A" w:rsidRDefault="006137A2" w:rsidP="00D11C2A">
      <w:pPr>
        <w:suppressAutoHyphens/>
        <w:jc w:val="both"/>
        <w:rPr>
          <w:sz w:val="20"/>
        </w:rPr>
      </w:pPr>
      <w:r>
        <w:rPr>
          <w:b/>
          <w:sz w:val="20"/>
          <w:u w:val="single"/>
        </w:rPr>
        <w:t>Documentation</w:t>
      </w:r>
      <w:r w:rsidR="00D11C2A">
        <w:rPr>
          <w:b/>
          <w:sz w:val="20"/>
          <w:u w:val="single"/>
        </w:rPr>
        <w:t>:</w:t>
      </w:r>
      <w:r w:rsidR="00D11C2A">
        <w:rPr>
          <w:sz w:val="20"/>
        </w:rPr>
        <w:t xml:space="preserve"> </w:t>
      </w:r>
    </w:p>
    <w:p w14:paraId="04351FEA" w14:textId="77777777" w:rsidR="00D11C2A" w:rsidRDefault="00D11C2A" w:rsidP="00D11C2A">
      <w:pPr>
        <w:suppressAutoHyphens/>
        <w:jc w:val="both"/>
        <w:rPr>
          <w:sz w:val="20"/>
        </w:rPr>
      </w:pPr>
    </w:p>
    <w:p w14:paraId="05160CCF" w14:textId="77777777" w:rsidR="00D11C2A" w:rsidRDefault="00D11C2A" w:rsidP="00D11C2A">
      <w:pPr>
        <w:suppressAutoHyphens/>
        <w:jc w:val="both"/>
        <w:rPr>
          <w:sz w:val="20"/>
        </w:rPr>
      </w:pPr>
      <w:r>
        <w:rPr>
          <w:sz w:val="20"/>
        </w:rPr>
        <w:t>The following must be documented in indelible ink whenever sample analysis is performed</w:t>
      </w:r>
      <w:r w:rsidR="001D51CF">
        <w:rPr>
          <w:sz w:val="20"/>
        </w:rPr>
        <w:t>:</w:t>
      </w:r>
    </w:p>
    <w:p w14:paraId="39F6088A" w14:textId="77777777" w:rsidR="00D11C2A" w:rsidRDefault="00D11C2A" w:rsidP="00D11C2A">
      <w:pPr>
        <w:suppressAutoHyphens/>
        <w:jc w:val="both"/>
        <w:rPr>
          <w:sz w:val="20"/>
        </w:rPr>
      </w:pPr>
    </w:p>
    <w:p w14:paraId="343E1628" w14:textId="77777777" w:rsidR="00057642" w:rsidRDefault="00D11C2A" w:rsidP="00F0556B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Date and time of sample collection</w:t>
      </w:r>
    </w:p>
    <w:p w14:paraId="0D4A0490" w14:textId="77777777" w:rsidR="00057642" w:rsidRDefault="00D11C2A" w:rsidP="00D81043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Date and time of sample analysis (must document start and end times) to verify the 48</w:t>
      </w:r>
      <w:r w:rsidR="004365C9" w:rsidRPr="00057642">
        <w:rPr>
          <w:sz w:val="20"/>
        </w:rPr>
        <w:t>-</w:t>
      </w:r>
      <w:r w:rsidRPr="00057642">
        <w:rPr>
          <w:sz w:val="20"/>
        </w:rPr>
        <w:t xml:space="preserve">hour holding </w:t>
      </w:r>
      <w:r w:rsidRPr="00057642">
        <w:rPr>
          <w:sz w:val="20"/>
        </w:rPr>
        <w:tab/>
        <w:t>and the 1</w:t>
      </w:r>
      <w:r w:rsidR="004365C9" w:rsidRPr="00057642">
        <w:rPr>
          <w:sz w:val="20"/>
        </w:rPr>
        <w:t>-</w:t>
      </w:r>
      <w:r w:rsidRPr="00057642">
        <w:rPr>
          <w:sz w:val="20"/>
        </w:rPr>
        <w:t>hour settling times are met</w:t>
      </w:r>
    </w:p>
    <w:p w14:paraId="62DE7CF0" w14:textId="14B05708" w:rsidR="00A90C3E" w:rsidRDefault="00D11C2A" w:rsidP="00A34954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 w:rsidDel="004365C9">
        <w:rPr>
          <w:sz w:val="20"/>
        </w:rPr>
        <w:t>45</w:t>
      </w:r>
      <w:r w:rsidR="004365C9" w:rsidRPr="00057642">
        <w:rPr>
          <w:sz w:val="20"/>
        </w:rPr>
        <w:t>-</w:t>
      </w:r>
      <w:r w:rsidRPr="00057642">
        <w:rPr>
          <w:sz w:val="20"/>
        </w:rPr>
        <w:t>minute stir time (use of a check box is acceptable</w:t>
      </w:r>
      <w:r w:rsidR="002C2786" w:rsidRPr="00057642">
        <w:rPr>
          <w:sz w:val="20"/>
        </w:rPr>
        <w:t>)</w:t>
      </w:r>
    </w:p>
    <w:p w14:paraId="0A868B93" w14:textId="3C8DD10C" w:rsidR="00057642" w:rsidRDefault="00CC7DA1" w:rsidP="00271D78">
      <w:pPr>
        <w:numPr>
          <w:ilvl w:val="0"/>
          <w:numId w:val="4"/>
        </w:numPr>
        <w:suppressAutoHyphens/>
        <w:jc w:val="both"/>
        <w:rPr>
          <w:sz w:val="20"/>
        </w:rPr>
      </w:pPr>
      <w:r>
        <w:rPr>
          <w:sz w:val="20"/>
        </w:rPr>
        <w:t>Permitted f</w:t>
      </w:r>
      <w:r w:rsidRPr="00057642">
        <w:rPr>
          <w:sz w:val="20"/>
        </w:rPr>
        <w:t xml:space="preserve">acility </w:t>
      </w:r>
      <w:r w:rsidR="004365C9" w:rsidRPr="00057642">
        <w:rPr>
          <w:sz w:val="20"/>
        </w:rPr>
        <w:t>name</w:t>
      </w:r>
      <w:r w:rsidR="00F56E94" w:rsidRPr="00057642">
        <w:rPr>
          <w:sz w:val="20"/>
        </w:rPr>
        <w:t xml:space="preserve"> or permit number</w:t>
      </w:r>
      <w:r w:rsidR="004365C9" w:rsidRPr="00057642">
        <w:rPr>
          <w:sz w:val="20"/>
        </w:rPr>
        <w:t>,</w:t>
      </w:r>
      <w:r w:rsidR="00F56E94" w:rsidRPr="00057642">
        <w:rPr>
          <w:sz w:val="20"/>
        </w:rPr>
        <w:t xml:space="preserve"> and</w:t>
      </w:r>
      <w:r w:rsidR="004365C9" w:rsidRPr="00057642">
        <w:rPr>
          <w:sz w:val="20"/>
        </w:rPr>
        <w:t xml:space="preserve"> sample site (ID or location)</w:t>
      </w:r>
    </w:p>
    <w:p w14:paraId="6E361619" w14:textId="77777777" w:rsidR="00057642" w:rsidRDefault="00D11C2A" w:rsidP="00444DE1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Collector’s/analyst’s name or initials</w:t>
      </w:r>
    </w:p>
    <w:p w14:paraId="723513CB" w14:textId="77777777" w:rsidR="00057642" w:rsidRDefault="00D11C2A" w:rsidP="00147773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Volume of sample analyzed</w:t>
      </w:r>
    </w:p>
    <w:p w14:paraId="023C6259" w14:textId="3E29EB48" w:rsidR="00057642" w:rsidRDefault="00393FF5" w:rsidP="00221289">
      <w:pPr>
        <w:numPr>
          <w:ilvl w:val="0"/>
          <w:numId w:val="4"/>
        </w:numPr>
        <w:suppressAutoHyphens/>
        <w:jc w:val="both"/>
        <w:rPr>
          <w:sz w:val="20"/>
        </w:rPr>
      </w:pPr>
      <w:r>
        <w:rPr>
          <w:sz w:val="20"/>
        </w:rPr>
        <w:t>Final value to be reported</w:t>
      </w:r>
    </w:p>
    <w:p w14:paraId="4FBB4A16" w14:textId="77777777" w:rsidR="00057642" w:rsidRDefault="001D51CF" w:rsidP="003B4AFB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Units of measure</w:t>
      </w:r>
    </w:p>
    <w:p w14:paraId="38166F7C" w14:textId="77777777" w:rsidR="00057642" w:rsidRPr="00057642" w:rsidRDefault="00D11C2A" w:rsidP="00E74CF7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 xml:space="preserve">All data must be </w:t>
      </w:r>
      <w:r w:rsidRPr="00057642">
        <w:rPr>
          <w:rFonts w:cs="Arial"/>
          <w:sz w:val="20"/>
        </w:rPr>
        <w:t>reported in m</w:t>
      </w:r>
      <w:r w:rsidR="00195AAC" w:rsidRPr="00057642">
        <w:rPr>
          <w:rFonts w:cs="Arial"/>
          <w:sz w:val="20"/>
        </w:rPr>
        <w:t>L</w:t>
      </w:r>
      <w:r w:rsidRPr="00057642">
        <w:rPr>
          <w:rFonts w:cs="Arial"/>
          <w:sz w:val="20"/>
        </w:rPr>
        <w:t>/L</w:t>
      </w:r>
    </w:p>
    <w:p w14:paraId="223A5E4B" w14:textId="77777777" w:rsidR="00057642" w:rsidRDefault="00D11C2A" w:rsidP="0067247B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Parameter analyzed</w:t>
      </w:r>
    </w:p>
    <w:p w14:paraId="268878DA" w14:textId="77777777" w:rsidR="00057642" w:rsidRDefault="004365C9" w:rsidP="00246927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Method reference</w:t>
      </w:r>
    </w:p>
    <w:p w14:paraId="52F6825D" w14:textId="514D88DD" w:rsidR="00D11C2A" w:rsidRPr="00057642" w:rsidRDefault="00D11C2A" w:rsidP="00246927">
      <w:pPr>
        <w:numPr>
          <w:ilvl w:val="0"/>
          <w:numId w:val="4"/>
        </w:numPr>
        <w:suppressAutoHyphens/>
        <w:jc w:val="both"/>
        <w:rPr>
          <w:sz w:val="20"/>
        </w:rPr>
      </w:pPr>
      <w:r w:rsidRPr="00057642">
        <w:rPr>
          <w:sz w:val="20"/>
        </w:rPr>
        <w:t>Data qualifier(s), when applicable</w:t>
      </w:r>
    </w:p>
    <w:p w14:paraId="1E5DC6AF" w14:textId="77777777" w:rsidR="00D11C2A" w:rsidRDefault="00D11C2A" w:rsidP="00D11C2A">
      <w:pPr>
        <w:suppressAutoHyphens/>
        <w:jc w:val="both"/>
        <w:rPr>
          <w:sz w:val="20"/>
        </w:rPr>
      </w:pPr>
    </w:p>
    <w:p w14:paraId="33CABF85" w14:textId="77777777" w:rsidR="003869E7" w:rsidRDefault="00057642" w:rsidP="00A90C3E">
      <w:pPr>
        <w:rPr>
          <w:sz w:val="20"/>
        </w:rPr>
      </w:pPr>
      <w:r>
        <w:rPr>
          <w:sz w:val="20"/>
        </w:rPr>
        <w:t xml:space="preserve">Ref: </w:t>
      </w:r>
      <w:r w:rsidR="00D11C2A">
        <w:rPr>
          <w:sz w:val="20"/>
        </w:rPr>
        <w:t>Standard Methods 2540 F - 20</w:t>
      </w:r>
      <w:r w:rsidR="00945326">
        <w:rPr>
          <w:sz w:val="20"/>
        </w:rPr>
        <w:t>20</w:t>
      </w:r>
      <w:r w:rsidR="00BA6993">
        <w:rPr>
          <w:sz w:val="20"/>
        </w:rPr>
        <w:t xml:space="preserve"> </w:t>
      </w:r>
    </w:p>
    <w:p w14:paraId="29C25E8A" w14:textId="77777777" w:rsidR="003869E7" w:rsidRDefault="003869E7" w:rsidP="00A90C3E">
      <w:pPr>
        <w:rPr>
          <w:sz w:val="20"/>
        </w:rPr>
      </w:pPr>
    </w:p>
    <w:p w14:paraId="2EE407F7" w14:textId="1EF7C94D" w:rsidR="00C758D4" w:rsidRPr="00A90C3E" w:rsidRDefault="00C758D4" w:rsidP="00BF7E94">
      <w:pPr>
        <w:jc w:val="center"/>
      </w:pPr>
      <w:r w:rsidRPr="00C758D4">
        <w:rPr>
          <w:sz w:val="20"/>
          <w:szCs w:val="16"/>
        </w:rPr>
        <w:t>Refer to the NC DEQ WW/GW LCB website for additional resources.</w:t>
      </w:r>
    </w:p>
    <w:sectPr w:rsidR="00C758D4" w:rsidRPr="00A90C3E" w:rsidSect="00E16143">
      <w:headerReference w:type="default" r:id="rId10"/>
      <w:footerReference w:type="default" r:id="rId11"/>
      <w:headerReference w:type="first" r:id="rId12"/>
      <w:pgSz w:w="12240" w:h="15840"/>
      <w:pgMar w:top="446" w:right="720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4117" w14:textId="77777777" w:rsidR="005F75B6" w:rsidRDefault="005F75B6" w:rsidP="00BA6993">
      <w:r>
        <w:separator/>
      </w:r>
    </w:p>
  </w:endnote>
  <w:endnote w:type="continuationSeparator" w:id="0">
    <w:p w14:paraId="1438449E" w14:textId="77777777" w:rsidR="005F75B6" w:rsidRDefault="005F75B6" w:rsidP="00BA6993">
      <w:r>
        <w:continuationSeparator/>
      </w:r>
    </w:p>
  </w:endnote>
  <w:endnote w:type="continuationNotice" w:id="1">
    <w:p w14:paraId="0490A0D8" w14:textId="77777777" w:rsidR="005F75B6" w:rsidRDefault="005F7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5CD5" w14:textId="5F87C2FC" w:rsidR="00BA6993" w:rsidRPr="00A23C4E" w:rsidRDefault="00BA6993" w:rsidP="00AD4136">
    <w:pPr>
      <w:pStyle w:val="Footer"/>
      <w:tabs>
        <w:tab w:val="clear" w:pos="4680"/>
        <w:tab w:val="clear" w:pos="9360"/>
        <w:tab w:val="right" w:pos="10800"/>
      </w:tabs>
      <w:rPr>
        <w:sz w:val="16"/>
        <w:szCs w:val="16"/>
      </w:rPr>
    </w:pPr>
    <w:r w:rsidRPr="00A23C4E">
      <w:rPr>
        <w:sz w:val="16"/>
        <w:szCs w:val="16"/>
      </w:rPr>
      <w:t>Rev</w:t>
    </w:r>
    <w:r w:rsidR="007E2D17" w:rsidRPr="00A23C4E">
      <w:rPr>
        <w:sz w:val="16"/>
        <w:szCs w:val="16"/>
      </w:rPr>
      <w:t>ised</w:t>
    </w:r>
    <w:r w:rsidR="00B80E6E" w:rsidRPr="00A23C4E">
      <w:rPr>
        <w:sz w:val="16"/>
        <w:szCs w:val="16"/>
      </w:rPr>
      <w:t xml:space="preserve"> </w:t>
    </w:r>
    <w:r w:rsidR="00BC496E" w:rsidRPr="00A23C4E">
      <w:rPr>
        <w:sz w:val="16"/>
        <w:szCs w:val="16"/>
      </w:rPr>
      <w:t>05</w:t>
    </w:r>
    <w:r w:rsidR="002B55FA" w:rsidRPr="00A23C4E">
      <w:rPr>
        <w:sz w:val="16"/>
        <w:szCs w:val="16"/>
      </w:rPr>
      <w:t>/01</w:t>
    </w:r>
    <w:r w:rsidR="008F42C2" w:rsidRPr="00A23C4E">
      <w:rPr>
        <w:sz w:val="16"/>
        <w:szCs w:val="16"/>
      </w:rPr>
      <w:t>/2024</w:t>
    </w:r>
    <w:r w:rsidR="00450E91" w:rsidRPr="00A23C4E">
      <w:rPr>
        <w:sz w:val="16"/>
        <w:szCs w:val="16"/>
      </w:rPr>
      <w:tab/>
    </w:r>
    <w:r w:rsidR="00450E91" w:rsidRPr="00A23C4E">
      <w:rPr>
        <w:sz w:val="16"/>
        <w:szCs w:val="12"/>
      </w:rPr>
      <w:t xml:space="preserve">Page </w:t>
    </w:r>
    <w:r w:rsidR="00450E91" w:rsidRPr="00A23C4E">
      <w:rPr>
        <w:sz w:val="16"/>
        <w:szCs w:val="16"/>
      </w:rPr>
      <w:fldChar w:fldCharType="begin"/>
    </w:r>
    <w:r w:rsidR="00450E91" w:rsidRPr="00A23C4E">
      <w:rPr>
        <w:sz w:val="16"/>
        <w:szCs w:val="12"/>
      </w:rPr>
      <w:instrText xml:space="preserve"> PAGE </w:instrText>
    </w:r>
    <w:r w:rsidR="00450E91" w:rsidRPr="00A23C4E">
      <w:rPr>
        <w:sz w:val="16"/>
        <w:szCs w:val="16"/>
      </w:rPr>
      <w:fldChar w:fldCharType="separate"/>
    </w:r>
    <w:r w:rsidR="00450E91" w:rsidRPr="00A23C4E">
      <w:rPr>
        <w:sz w:val="16"/>
        <w:szCs w:val="16"/>
      </w:rPr>
      <w:t>2</w:t>
    </w:r>
    <w:r w:rsidR="00450E91" w:rsidRPr="00A23C4E">
      <w:rPr>
        <w:sz w:val="16"/>
        <w:szCs w:val="16"/>
      </w:rPr>
      <w:fldChar w:fldCharType="end"/>
    </w:r>
    <w:r w:rsidR="00450E91" w:rsidRPr="00A23C4E">
      <w:rPr>
        <w:sz w:val="16"/>
        <w:szCs w:val="12"/>
      </w:rPr>
      <w:t xml:space="preserve"> of </w:t>
    </w:r>
    <w:r w:rsidR="00450E91" w:rsidRPr="00A23C4E">
      <w:rPr>
        <w:sz w:val="16"/>
        <w:szCs w:val="16"/>
      </w:rPr>
      <w:fldChar w:fldCharType="begin"/>
    </w:r>
    <w:r w:rsidR="00450E91" w:rsidRPr="00A23C4E">
      <w:rPr>
        <w:sz w:val="16"/>
        <w:szCs w:val="12"/>
      </w:rPr>
      <w:instrText xml:space="preserve"> NUMPAGES  </w:instrText>
    </w:r>
    <w:r w:rsidR="00450E91" w:rsidRPr="00A23C4E">
      <w:rPr>
        <w:sz w:val="16"/>
        <w:szCs w:val="16"/>
      </w:rPr>
      <w:fldChar w:fldCharType="separate"/>
    </w:r>
    <w:r w:rsidR="00450E91" w:rsidRPr="00A23C4E">
      <w:rPr>
        <w:sz w:val="16"/>
        <w:szCs w:val="16"/>
      </w:rPr>
      <w:t>2</w:t>
    </w:r>
    <w:r w:rsidR="00450E91" w:rsidRPr="00A23C4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B6A3" w14:textId="77777777" w:rsidR="005F75B6" w:rsidRDefault="005F75B6" w:rsidP="00BA6993">
      <w:r>
        <w:separator/>
      </w:r>
    </w:p>
  </w:footnote>
  <w:footnote w:type="continuationSeparator" w:id="0">
    <w:p w14:paraId="625DF1A1" w14:textId="77777777" w:rsidR="005F75B6" w:rsidRDefault="005F75B6" w:rsidP="00BA6993">
      <w:r>
        <w:continuationSeparator/>
      </w:r>
    </w:p>
  </w:footnote>
  <w:footnote w:type="continuationNotice" w:id="1">
    <w:p w14:paraId="5C251E3C" w14:textId="77777777" w:rsidR="005F75B6" w:rsidRDefault="005F7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4DE4" w14:textId="2DC27389" w:rsidR="00057642" w:rsidRDefault="003869E7" w:rsidP="003869E7">
    <w:pPr>
      <w:suppressAutoHyphens/>
      <w:jc w:val="center"/>
    </w:pPr>
    <w:r>
      <w:rPr>
        <w:b/>
        <w:sz w:val="23"/>
      </w:rPr>
      <w:t xml:space="preserve">NORTH CAROLINA WASTEWATER/GROUNDWATER LABORATORY CERTIFICATION BRANCH APPROVED PROCEDURE FOR THE ANALYSIS </w:t>
    </w:r>
    <w:r>
      <w:rPr>
        <w:b/>
        <w:sz w:val="23"/>
        <w:szCs w:val="23"/>
      </w:rPr>
      <w:t>OF SETTLEABLE RESIDUE</w:t>
    </w:r>
    <w:r>
      <w:rPr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02AB" w14:textId="73E64F74" w:rsidR="00057EE1" w:rsidRDefault="00057EE1" w:rsidP="00057EE1">
    <w:pPr>
      <w:suppressAutoHyphens/>
      <w:jc w:val="center"/>
    </w:pPr>
    <w:r>
      <w:rPr>
        <w:b/>
        <w:sz w:val="23"/>
      </w:rPr>
      <w:t xml:space="preserve">NORTH CAROLINA WASTEWATER/GROUNDWATER LABORATORY CERTIFICATION BRANCH APPROVED PROCEDURE FOR THE ANALYSIS </w:t>
    </w:r>
    <w:r>
      <w:rPr>
        <w:b/>
        <w:sz w:val="23"/>
        <w:szCs w:val="23"/>
      </w:rPr>
      <w:t>OF SETTLEABLE RESIDUE</w:t>
    </w: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A2B"/>
    <w:multiLevelType w:val="hybridMultilevel"/>
    <w:tmpl w:val="7EFACE38"/>
    <w:lvl w:ilvl="0" w:tplc="8B5E02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330E"/>
    <w:multiLevelType w:val="hybridMultilevel"/>
    <w:tmpl w:val="BDC8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CF5"/>
    <w:multiLevelType w:val="hybridMultilevel"/>
    <w:tmpl w:val="A5009E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0E6C3B"/>
    <w:multiLevelType w:val="hybridMultilevel"/>
    <w:tmpl w:val="F5C4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4496">
    <w:abstractNumId w:val="3"/>
  </w:num>
  <w:num w:numId="2" w16cid:durableId="171795590">
    <w:abstractNumId w:val="2"/>
  </w:num>
  <w:num w:numId="3" w16cid:durableId="1469740061">
    <w:abstractNumId w:val="1"/>
  </w:num>
  <w:num w:numId="4" w16cid:durableId="163193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2A"/>
    <w:rsid w:val="00004AF6"/>
    <w:rsid w:val="00014107"/>
    <w:rsid w:val="00020232"/>
    <w:rsid w:val="00057642"/>
    <w:rsid w:val="00057EE1"/>
    <w:rsid w:val="00070BA7"/>
    <w:rsid w:val="00071060"/>
    <w:rsid w:val="00081DBA"/>
    <w:rsid w:val="00097125"/>
    <w:rsid w:val="000D0E2B"/>
    <w:rsid w:val="000D6383"/>
    <w:rsid w:val="000E6119"/>
    <w:rsid w:val="00103E2C"/>
    <w:rsid w:val="00110248"/>
    <w:rsid w:val="001165A3"/>
    <w:rsid w:val="001210E4"/>
    <w:rsid w:val="001246C0"/>
    <w:rsid w:val="00136D2E"/>
    <w:rsid w:val="00137865"/>
    <w:rsid w:val="0014024F"/>
    <w:rsid w:val="00144924"/>
    <w:rsid w:val="001463AA"/>
    <w:rsid w:val="001502AF"/>
    <w:rsid w:val="00150756"/>
    <w:rsid w:val="00150A64"/>
    <w:rsid w:val="001737B7"/>
    <w:rsid w:val="0017391B"/>
    <w:rsid w:val="00184D8A"/>
    <w:rsid w:val="00191DFC"/>
    <w:rsid w:val="001923E7"/>
    <w:rsid w:val="001945AB"/>
    <w:rsid w:val="00195AAC"/>
    <w:rsid w:val="001D21EE"/>
    <w:rsid w:val="001D51CF"/>
    <w:rsid w:val="00202BDC"/>
    <w:rsid w:val="0021133E"/>
    <w:rsid w:val="00232EDB"/>
    <w:rsid w:val="00243496"/>
    <w:rsid w:val="00252293"/>
    <w:rsid w:val="00254936"/>
    <w:rsid w:val="002558DF"/>
    <w:rsid w:val="002715E9"/>
    <w:rsid w:val="0029277D"/>
    <w:rsid w:val="002A4CED"/>
    <w:rsid w:val="002B1184"/>
    <w:rsid w:val="002B55FA"/>
    <w:rsid w:val="002B6895"/>
    <w:rsid w:val="002B7F15"/>
    <w:rsid w:val="002C2786"/>
    <w:rsid w:val="002C2B85"/>
    <w:rsid w:val="002C51B8"/>
    <w:rsid w:val="002C606B"/>
    <w:rsid w:val="002D6FE7"/>
    <w:rsid w:val="002E38B7"/>
    <w:rsid w:val="00301C64"/>
    <w:rsid w:val="00311257"/>
    <w:rsid w:val="00316E10"/>
    <w:rsid w:val="00320CB1"/>
    <w:rsid w:val="00322942"/>
    <w:rsid w:val="0033534A"/>
    <w:rsid w:val="00344753"/>
    <w:rsid w:val="00350050"/>
    <w:rsid w:val="00360AC2"/>
    <w:rsid w:val="00374AF7"/>
    <w:rsid w:val="00381C1E"/>
    <w:rsid w:val="003869E7"/>
    <w:rsid w:val="003917EB"/>
    <w:rsid w:val="00393FF5"/>
    <w:rsid w:val="003D6BE4"/>
    <w:rsid w:val="003F15C6"/>
    <w:rsid w:val="00415181"/>
    <w:rsid w:val="00425CEC"/>
    <w:rsid w:val="00426461"/>
    <w:rsid w:val="00435AC2"/>
    <w:rsid w:val="004365C9"/>
    <w:rsid w:val="004433CE"/>
    <w:rsid w:val="00450E91"/>
    <w:rsid w:val="004653A1"/>
    <w:rsid w:val="004672D0"/>
    <w:rsid w:val="00472812"/>
    <w:rsid w:val="004A168A"/>
    <w:rsid w:val="004B6B92"/>
    <w:rsid w:val="004C7113"/>
    <w:rsid w:val="004E502E"/>
    <w:rsid w:val="004E63B9"/>
    <w:rsid w:val="004F4D21"/>
    <w:rsid w:val="005029F9"/>
    <w:rsid w:val="00503D5C"/>
    <w:rsid w:val="00503E38"/>
    <w:rsid w:val="005113E2"/>
    <w:rsid w:val="00527D9D"/>
    <w:rsid w:val="00572CC5"/>
    <w:rsid w:val="00575142"/>
    <w:rsid w:val="00575395"/>
    <w:rsid w:val="00597575"/>
    <w:rsid w:val="005B3581"/>
    <w:rsid w:val="005F75B6"/>
    <w:rsid w:val="00606C28"/>
    <w:rsid w:val="006137A2"/>
    <w:rsid w:val="0063128D"/>
    <w:rsid w:val="006362E3"/>
    <w:rsid w:val="00636E75"/>
    <w:rsid w:val="0063773D"/>
    <w:rsid w:val="0065791A"/>
    <w:rsid w:val="00676350"/>
    <w:rsid w:val="006823FC"/>
    <w:rsid w:val="00683571"/>
    <w:rsid w:val="006A3DA9"/>
    <w:rsid w:val="006B3765"/>
    <w:rsid w:val="006E6687"/>
    <w:rsid w:val="0070364C"/>
    <w:rsid w:val="00723326"/>
    <w:rsid w:val="00734443"/>
    <w:rsid w:val="0073570C"/>
    <w:rsid w:val="0075216B"/>
    <w:rsid w:val="00771642"/>
    <w:rsid w:val="007846E2"/>
    <w:rsid w:val="007910E4"/>
    <w:rsid w:val="007E2D17"/>
    <w:rsid w:val="007E3D5A"/>
    <w:rsid w:val="007F7EF4"/>
    <w:rsid w:val="008235B3"/>
    <w:rsid w:val="0083330D"/>
    <w:rsid w:val="008458D3"/>
    <w:rsid w:val="0085644B"/>
    <w:rsid w:val="00865836"/>
    <w:rsid w:val="00887FEE"/>
    <w:rsid w:val="008934C6"/>
    <w:rsid w:val="008A5827"/>
    <w:rsid w:val="008B1D3C"/>
    <w:rsid w:val="008C6AAE"/>
    <w:rsid w:val="008D5BDF"/>
    <w:rsid w:val="008E47DD"/>
    <w:rsid w:val="008F42C2"/>
    <w:rsid w:val="009123C6"/>
    <w:rsid w:val="00934046"/>
    <w:rsid w:val="0094188B"/>
    <w:rsid w:val="00945326"/>
    <w:rsid w:val="009600C5"/>
    <w:rsid w:val="009604A5"/>
    <w:rsid w:val="00975650"/>
    <w:rsid w:val="00987A17"/>
    <w:rsid w:val="009A3BE5"/>
    <w:rsid w:val="009A52B7"/>
    <w:rsid w:val="009C27AB"/>
    <w:rsid w:val="009D43DD"/>
    <w:rsid w:val="009E36F7"/>
    <w:rsid w:val="00A1097C"/>
    <w:rsid w:val="00A23C4E"/>
    <w:rsid w:val="00A36E3B"/>
    <w:rsid w:val="00A51DFD"/>
    <w:rsid w:val="00A56968"/>
    <w:rsid w:val="00A708E4"/>
    <w:rsid w:val="00A70EF8"/>
    <w:rsid w:val="00A90C3E"/>
    <w:rsid w:val="00A95990"/>
    <w:rsid w:val="00AA339F"/>
    <w:rsid w:val="00AB1549"/>
    <w:rsid w:val="00AB31D4"/>
    <w:rsid w:val="00AC241B"/>
    <w:rsid w:val="00AD4136"/>
    <w:rsid w:val="00AE584C"/>
    <w:rsid w:val="00AF13DA"/>
    <w:rsid w:val="00B10B7E"/>
    <w:rsid w:val="00B116BD"/>
    <w:rsid w:val="00B172BB"/>
    <w:rsid w:val="00B20735"/>
    <w:rsid w:val="00B33D4D"/>
    <w:rsid w:val="00B345C2"/>
    <w:rsid w:val="00B40FAC"/>
    <w:rsid w:val="00B43845"/>
    <w:rsid w:val="00B44B08"/>
    <w:rsid w:val="00B52433"/>
    <w:rsid w:val="00B57EC4"/>
    <w:rsid w:val="00B6411F"/>
    <w:rsid w:val="00B74958"/>
    <w:rsid w:val="00B80E6E"/>
    <w:rsid w:val="00B952F2"/>
    <w:rsid w:val="00BA52E2"/>
    <w:rsid w:val="00BA6993"/>
    <w:rsid w:val="00BB2396"/>
    <w:rsid w:val="00BB2A39"/>
    <w:rsid w:val="00BB5B57"/>
    <w:rsid w:val="00BC1F80"/>
    <w:rsid w:val="00BC496E"/>
    <w:rsid w:val="00BE4BA9"/>
    <w:rsid w:val="00BF7E94"/>
    <w:rsid w:val="00C103BE"/>
    <w:rsid w:val="00C758D4"/>
    <w:rsid w:val="00C775C4"/>
    <w:rsid w:val="00C81FE7"/>
    <w:rsid w:val="00C86059"/>
    <w:rsid w:val="00CA4B0F"/>
    <w:rsid w:val="00CB648F"/>
    <w:rsid w:val="00CC310C"/>
    <w:rsid w:val="00CC7DA1"/>
    <w:rsid w:val="00CD1C28"/>
    <w:rsid w:val="00CD4CEA"/>
    <w:rsid w:val="00CF417C"/>
    <w:rsid w:val="00D054DE"/>
    <w:rsid w:val="00D11438"/>
    <w:rsid w:val="00D11C2A"/>
    <w:rsid w:val="00D14D17"/>
    <w:rsid w:val="00D23BE7"/>
    <w:rsid w:val="00D31D18"/>
    <w:rsid w:val="00D3267B"/>
    <w:rsid w:val="00D34405"/>
    <w:rsid w:val="00D376D4"/>
    <w:rsid w:val="00D5726E"/>
    <w:rsid w:val="00D64292"/>
    <w:rsid w:val="00D8032A"/>
    <w:rsid w:val="00D81043"/>
    <w:rsid w:val="00D83352"/>
    <w:rsid w:val="00D83956"/>
    <w:rsid w:val="00D907E0"/>
    <w:rsid w:val="00DA538B"/>
    <w:rsid w:val="00DB457C"/>
    <w:rsid w:val="00DB472B"/>
    <w:rsid w:val="00DC2E70"/>
    <w:rsid w:val="00E07803"/>
    <w:rsid w:val="00E12809"/>
    <w:rsid w:val="00E16143"/>
    <w:rsid w:val="00E2373F"/>
    <w:rsid w:val="00E35D98"/>
    <w:rsid w:val="00E400E6"/>
    <w:rsid w:val="00E4181A"/>
    <w:rsid w:val="00E430B4"/>
    <w:rsid w:val="00E43798"/>
    <w:rsid w:val="00E50C7C"/>
    <w:rsid w:val="00E66935"/>
    <w:rsid w:val="00E728BA"/>
    <w:rsid w:val="00E80F01"/>
    <w:rsid w:val="00E82576"/>
    <w:rsid w:val="00E85D45"/>
    <w:rsid w:val="00E864EA"/>
    <w:rsid w:val="00E91B43"/>
    <w:rsid w:val="00EA6F8B"/>
    <w:rsid w:val="00EB1669"/>
    <w:rsid w:val="00EC1006"/>
    <w:rsid w:val="00EC6B29"/>
    <w:rsid w:val="00ED024C"/>
    <w:rsid w:val="00ED21D1"/>
    <w:rsid w:val="00EE39D2"/>
    <w:rsid w:val="00EF319B"/>
    <w:rsid w:val="00F02552"/>
    <w:rsid w:val="00F1519B"/>
    <w:rsid w:val="00F22E0E"/>
    <w:rsid w:val="00F333FE"/>
    <w:rsid w:val="00F41270"/>
    <w:rsid w:val="00F43F5D"/>
    <w:rsid w:val="00F45804"/>
    <w:rsid w:val="00F5192C"/>
    <w:rsid w:val="00F56E94"/>
    <w:rsid w:val="00F579DE"/>
    <w:rsid w:val="00F7108D"/>
    <w:rsid w:val="00F721C2"/>
    <w:rsid w:val="00F80142"/>
    <w:rsid w:val="00F822A9"/>
    <w:rsid w:val="00F857D9"/>
    <w:rsid w:val="00F8755E"/>
    <w:rsid w:val="00FD57A3"/>
    <w:rsid w:val="00FD6EBF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DBD1"/>
  <w15:chartTrackingRefBased/>
  <w15:docId w15:val="{0722A137-E403-447D-B161-6315548D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2A"/>
    <w:rPr>
      <w:rFonts w:ascii="Arial" w:eastAsia="Times New Roman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11C2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11C2A"/>
    <w:pPr>
      <w:tabs>
        <w:tab w:val="left" w:pos="0"/>
      </w:tabs>
      <w:suppressAutoHyphens/>
      <w:jc w:val="both"/>
    </w:pPr>
    <w:rPr>
      <w:lang w:eastAsia="zh-CN"/>
    </w:rPr>
  </w:style>
  <w:style w:type="character" w:customStyle="1" w:styleId="BodyTextChar">
    <w:name w:val="Body Text Char"/>
    <w:link w:val="BodyText"/>
    <w:semiHidden/>
    <w:rsid w:val="00D11C2A"/>
    <w:rPr>
      <w:rFonts w:ascii="Arial" w:eastAsia="Times New Roman" w:hAnsi="Arial" w:cs="Times New Roman"/>
      <w:spacing w:val="-3"/>
      <w:sz w:val="24"/>
      <w:szCs w:val="20"/>
      <w:lang w:eastAsia="zh-CN"/>
    </w:rPr>
  </w:style>
  <w:style w:type="character" w:styleId="CommentReference">
    <w:name w:val="annotation reference"/>
    <w:uiPriority w:val="99"/>
    <w:semiHidden/>
    <w:unhideWhenUsed/>
    <w:rsid w:val="0043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5C9"/>
    <w:rPr>
      <w:sz w:val="20"/>
    </w:rPr>
  </w:style>
  <w:style w:type="character" w:customStyle="1" w:styleId="CommentTextChar">
    <w:name w:val="Comment Text Char"/>
    <w:link w:val="CommentText"/>
    <w:uiPriority w:val="99"/>
    <w:rsid w:val="004365C9"/>
    <w:rPr>
      <w:rFonts w:ascii="Arial" w:eastAsia="Times New Roman" w:hAnsi="Arial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5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65C9"/>
    <w:rPr>
      <w:rFonts w:ascii="Arial" w:eastAsia="Times New Roman" w:hAnsi="Arial" w:cs="Times New Roman"/>
      <w:b/>
      <w:b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65C9"/>
    <w:rPr>
      <w:rFonts w:ascii="Segoe UI" w:eastAsia="Times New Roman" w:hAnsi="Segoe UI" w:cs="Segoe UI"/>
      <w:spacing w:val="-3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9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6993"/>
    <w:rPr>
      <w:rFonts w:ascii="Arial" w:eastAsia="Times New Roman" w:hAnsi="Arial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A69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6993"/>
    <w:rPr>
      <w:rFonts w:ascii="Arial" w:eastAsia="Times New Roman" w:hAnsi="Arial" w:cs="Times New Roman"/>
      <w:spacing w:val="-3"/>
      <w:sz w:val="24"/>
      <w:szCs w:val="20"/>
    </w:rPr>
  </w:style>
  <w:style w:type="table" w:styleId="TableGrid">
    <w:name w:val="Table Grid"/>
    <w:basedOn w:val="TableNormal"/>
    <w:uiPriority w:val="39"/>
    <w:rsid w:val="006B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E39D2"/>
    <w:rPr>
      <w:color w:val="954F72"/>
      <w:u w:val="single"/>
    </w:rPr>
  </w:style>
  <w:style w:type="paragraph" w:styleId="Revision">
    <w:name w:val="Revision"/>
    <w:hidden/>
    <w:uiPriority w:val="99"/>
    <w:semiHidden/>
    <w:rsid w:val="00F579DE"/>
    <w:rPr>
      <w:rFonts w:ascii="Arial" w:eastAsia="Times New Roman" w:hAnsi="Arial"/>
      <w:spacing w:val="-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DA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3DA9"/>
    <w:rPr>
      <w:rFonts w:asciiTheme="majorHAnsi" w:eastAsiaTheme="majorEastAsia" w:hAnsiTheme="majorHAnsi" w:cstheme="majorBidi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67159-0519-47AB-A2BA-8C57360216A7}"/>
</file>

<file path=customXml/itemProps2.xml><?xml version="1.0" encoding="utf-8"?>
<ds:datastoreItem xmlns:ds="http://schemas.openxmlformats.org/officeDocument/2006/customXml" ds:itemID="{428F1AD5-EDCE-4D7E-A1EF-10BD51B95711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3.xml><?xml version="1.0" encoding="utf-8"?>
<ds:datastoreItem xmlns:ds="http://schemas.openxmlformats.org/officeDocument/2006/customXml" ds:itemID="{715C74A1-30CB-4B29-8FB3-1A15E5F1A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453</Words>
  <Characters>2191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Smith</dc:creator>
  <cp:keywords/>
  <dc:description/>
  <cp:lastModifiedBy>Swanson, Beth</cp:lastModifiedBy>
  <cp:revision>54</cp:revision>
  <dcterms:created xsi:type="dcterms:W3CDTF">2022-02-04T16:16:00Z</dcterms:created>
  <dcterms:modified xsi:type="dcterms:W3CDTF">2026-01-21T14:52:00Z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