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52A0" w14:textId="77777777" w:rsidR="00193208" w:rsidRDefault="00193208" w:rsidP="00197A75">
      <w:pPr>
        <w:pStyle w:val="BodyText"/>
        <w:spacing w:before="0" w:after="0"/>
        <w:jc w:val="both"/>
        <w:rPr>
          <w:rFonts w:ascii="Arial" w:hAnsi="Arial" w:cs="Arial"/>
          <w:sz w:val="20"/>
        </w:rPr>
      </w:pPr>
    </w:p>
    <w:p w14:paraId="7E7DC2D8" w14:textId="04BE7AE5" w:rsidR="001A2ED5" w:rsidRDefault="001A2ED5" w:rsidP="00197A75">
      <w:pPr>
        <w:pStyle w:val="BodyText"/>
        <w:spacing w:before="0" w:after="0"/>
        <w:jc w:val="both"/>
        <w:rPr>
          <w:rFonts w:ascii="Arial" w:hAnsi="Arial" w:cs="Arial"/>
          <w:sz w:val="20"/>
        </w:rPr>
      </w:pPr>
      <w:r w:rsidRPr="003162BB">
        <w:rPr>
          <w:rFonts w:ascii="Arial" w:hAnsi="Arial" w:cs="Arial"/>
          <w:sz w:val="20"/>
        </w:rPr>
        <w:t>This document provide</w:t>
      </w:r>
      <w:r>
        <w:rPr>
          <w:rFonts w:ascii="Arial" w:hAnsi="Arial" w:cs="Arial"/>
          <w:sz w:val="20"/>
        </w:rPr>
        <w:t>s</w:t>
      </w:r>
      <w:r w:rsidRPr="003162BB">
        <w:rPr>
          <w:rFonts w:ascii="Arial" w:hAnsi="Arial" w:cs="Arial"/>
          <w:sz w:val="20"/>
        </w:rPr>
        <w:t xml:space="preserve"> an approved procedure for the analysis of </w:t>
      </w:r>
      <w:r>
        <w:rPr>
          <w:rFonts w:ascii="Arial" w:hAnsi="Arial" w:cs="Arial"/>
          <w:sz w:val="20"/>
        </w:rPr>
        <w:t>Specific Conductance</w:t>
      </w:r>
      <w:r w:rsidRPr="003162BB">
        <w:rPr>
          <w:rFonts w:ascii="Arial" w:hAnsi="Arial" w:cs="Arial"/>
          <w:sz w:val="20"/>
        </w:rPr>
        <w:t xml:space="preserve"> </w:t>
      </w:r>
      <w:r w:rsidR="0026311C">
        <w:rPr>
          <w:rFonts w:ascii="Arial" w:hAnsi="Arial" w:cs="Arial"/>
          <w:sz w:val="20"/>
        </w:rPr>
        <w:t xml:space="preserve">for compliance monitoring </w:t>
      </w:r>
      <w:r w:rsidRPr="003162BB">
        <w:rPr>
          <w:rFonts w:ascii="Arial" w:hAnsi="Arial" w:cs="Arial"/>
          <w:sz w:val="20"/>
        </w:rPr>
        <w:t xml:space="preserve">per </w:t>
      </w:r>
      <w:r w:rsidRPr="00AF1E86">
        <w:rPr>
          <w:rFonts w:ascii="Arial" w:hAnsi="Arial" w:cs="Arial"/>
          <w:sz w:val="20"/>
        </w:rPr>
        <w:t xml:space="preserve">15A NCAC </w:t>
      </w:r>
      <w:r w:rsidR="00E3623B">
        <w:rPr>
          <w:rFonts w:ascii="Arial" w:hAnsi="Arial" w:cs="Arial"/>
          <w:sz w:val="20"/>
        </w:rPr>
        <w:t>0</w:t>
      </w:r>
      <w:r w:rsidRPr="00AF1E86">
        <w:rPr>
          <w:rFonts w:ascii="Arial" w:hAnsi="Arial" w:cs="Arial"/>
          <w:sz w:val="20"/>
        </w:rPr>
        <w:t>2H .0805 (a) (</w:t>
      </w:r>
      <w:r w:rsidR="000C3B14">
        <w:rPr>
          <w:rFonts w:ascii="Arial" w:hAnsi="Arial" w:cs="Arial"/>
          <w:sz w:val="20"/>
        </w:rPr>
        <w:t>7</w:t>
      </w:r>
      <w:r w:rsidRPr="00AF1E86">
        <w:rPr>
          <w:rFonts w:ascii="Arial" w:hAnsi="Arial" w:cs="Arial"/>
          <w:sz w:val="20"/>
        </w:rPr>
        <w:t>) and (g) (</w:t>
      </w:r>
      <w:r w:rsidR="000C3B14">
        <w:rPr>
          <w:rFonts w:ascii="Arial" w:hAnsi="Arial" w:cs="Arial"/>
          <w:sz w:val="20"/>
        </w:rPr>
        <w:t>4</w:t>
      </w:r>
      <w:r w:rsidRPr="00AF1E86">
        <w:rPr>
          <w:rFonts w:ascii="Arial" w:hAnsi="Arial" w:cs="Arial"/>
          <w:sz w:val="20"/>
        </w:rPr>
        <w:t>).</w:t>
      </w:r>
      <w:r w:rsidRPr="003162BB">
        <w:rPr>
          <w:rFonts w:ascii="Arial" w:hAnsi="Arial" w:cs="Arial"/>
          <w:sz w:val="20"/>
        </w:rPr>
        <w:t xml:space="preserve"> </w:t>
      </w:r>
    </w:p>
    <w:p w14:paraId="3C9BB591" w14:textId="77777777" w:rsidR="00B7309E" w:rsidRDefault="00B7309E" w:rsidP="00197A75">
      <w:pPr>
        <w:pStyle w:val="BodyText"/>
        <w:spacing w:before="0" w:after="0"/>
        <w:jc w:val="both"/>
        <w:rPr>
          <w:rFonts w:ascii="Arial" w:hAnsi="Arial" w:cs="Arial"/>
          <w:sz w:val="20"/>
        </w:rPr>
      </w:pPr>
    </w:p>
    <w:p w14:paraId="39A8CC29" w14:textId="72164CD2" w:rsidR="001A2ED5" w:rsidRDefault="00B7309E" w:rsidP="00920FB3">
      <w:pPr>
        <w:pStyle w:val="BodyText"/>
        <w:spacing w:after="0"/>
        <w:contextualSpacing/>
        <w:jc w:val="both"/>
        <w:rPr>
          <w:rFonts w:ascii="Arial" w:hAnsi="Arial" w:cs="Arial"/>
          <w:sz w:val="20"/>
        </w:rPr>
      </w:pPr>
      <w:bookmarkStart w:id="0" w:name="_Hlk165450271"/>
      <w:r>
        <w:rPr>
          <w:rFonts w:ascii="Arial" w:hAnsi="Arial" w:cs="Arial"/>
          <w:sz w:val="20"/>
        </w:rPr>
        <w:t xml:space="preserve">Specific Conductance is considered a method-defined parameter per the definition in the Code of Federal Regulations, Part 136.6, Section (a) (5). This means that the method may not be modified per Part 136.6, Section (b) (3). </w:t>
      </w:r>
      <w:bookmarkEnd w:id="0"/>
    </w:p>
    <w:p w14:paraId="065C4D5E" w14:textId="77777777" w:rsidR="00920FB3" w:rsidRPr="00F647B5" w:rsidRDefault="00920FB3" w:rsidP="00920FB3">
      <w:pPr>
        <w:pStyle w:val="BodyText"/>
        <w:spacing w:after="0"/>
        <w:contextualSpacing/>
        <w:jc w:val="both"/>
        <w:rPr>
          <w:rFonts w:ascii="Arial" w:hAnsi="Arial" w:cs="Arial"/>
          <w:sz w:val="20"/>
        </w:rPr>
      </w:pPr>
    </w:p>
    <w:p w14:paraId="1BAD05C2" w14:textId="77777777" w:rsidR="001A2ED5" w:rsidRPr="00F61A31" w:rsidRDefault="001A2ED5" w:rsidP="00197A75">
      <w:pPr>
        <w:spacing w:before="0"/>
        <w:jc w:val="both"/>
        <w:rPr>
          <w:rFonts w:ascii="Arial" w:hAnsi="Arial"/>
          <w:b/>
          <w:sz w:val="20"/>
          <w:u w:val="single"/>
        </w:rPr>
      </w:pPr>
      <w:r w:rsidRPr="00F61A31">
        <w:rPr>
          <w:rFonts w:ascii="Arial" w:hAnsi="Arial"/>
          <w:b/>
          <w:sz w:val="20"/>
          <w:u w:val="single"/>
        </w:rPr>
        <w:t xml:space="preserve">Holding Time: </w:t>
      </w:r>
    </w:p>
    <w:p w14:paraId="57C2942E" w14:textId="77777777" w:rsidR="001A2ED5" w:rsidRPr="00E62AF5" w:rsidRDefault="001A2ED5" w:rsidP="001A2ED5">
      <w:pPr>
        <w:widowControl/>
        <w:numPr>
          <w:ilvl w:val="0"/>
          <w:numId w:val="2"/>
        </w:numPr>
        <w:suppressAutoHyphens/>
        <w:spacing w:before="0" w:after="0"/>
        <w:rPr>
          <w:rFonts w:ascii="Arial" w:hAnsi="Arial" w:cs="Arial"/>
          <w:sz w:val="20"/>
        </w:rPr>
      </w:pPr>
      <w:r w:rsidRPr="009B033A">
        <w:rPr>
          <w:rFonts w:ascii="Arial" w:hAnsi="Arial"/>
          <w:sz w:val="20"/>
        </w:rPr>
        <w:t xml:space="preserve">Samples must be analyzed within 28 days of collection (40 CFR Part 136 Table II). </w:t>
      </w:r>
    </w:p>
    <w:p w14:paraId="5EBB8519" w14:textId="77777777" w:rsidR="001A2ED5" w:rsidRPr="00E62AF5" w:rsidRDefault="001A2ED5" w:rsidP="001A2ED5">
      <w:pPr>
        <w:widowControl/>
        <w:suppressAutoHyphens/>
        <w:spacing w:before="0" w:after="0"/>
        <w:rPr>
          <w:rFonts w:ascii="Arial" w:hAnsi="Arial" w:cs="Arial"/>
          <w:sz w:val="20"/>
        </w:rPr>
      </w:pPr>
    </w:p>
    <w:p w14:paraId="5AEDE87F" w14:textId="433358B3" w:rsidR="001A2ED5" w:rsidRDefault="001A2ED5" w:rsidP="001A2ED5">
      <w:pPr>
        <w:widowControl/>
        <w:numPr>
          <w:ilvl w:val="0"/>
          <w:numId w:val="2"/>
        </w:numPr>
        <w:suppressAutoHyphens/>
        <w:spacing w:before="0" w:after="0"/>
        <w:rPr>
          <w:rFonts w:ascii="Arial" w:hAnsi="Arial" w:cs="Arial"/>
          <w:sz w:val="20"/>
        </w:rPr>
      </w:pPr>
      <w:r w:rsidRPr="009B033A">
        <w:rPr>
          <w:rFonts w:ascii="Arial" w:hAnsi="Arial" w:cs="Arial"/>
          <w:sz w:val="20"/>
        </w:rPr>
        <w:t xml:space="preserve">Samples must be stored above freezing </w:t>
      </w:r>
      <w:r>
        <w:rPr>
          <w:rFonts w:ascii="Arial" w:hAnsi="Arial" w:cs="Arial"/>
          <w:sz w:val="20"/>
        </w:rPr>
        <w:t>and</w:t>
      </w:r>
      <w:r w:rsidRPr="009B033A">
        <w:rPr>
          <w:rFonts w:ascii="Arial" w:hAnsi="Arial" w:cs="Arial"/>
          <w:sz w:val="20"/>
        </w:rPr>
        <w:t xml:space="preserve"> </w:t>
      </w:r>
      <w:r>
        <w:rPr>
          <w:rFonts w:ascii="Arial" w:hAnsi="Arial" w:cs="Arial"/>
          <w:sz w:val="20"/>
        </w:rPr>
        <w:t>≤</w:t>
      </w:r>
      <w:r w:rsidR="00CA7361">
        <w:rPr>
          <w:rFonts w:ascii="Arial" w:hAnsi="Arial" w:cs="Arial"/>
          <w:sz w:val="20"/>
        </w:rPr>
        <w:t xml:space="preserve"> </w:t>
      </w:r>
      <w:r w:rsidRPr="009B033A">
        <w:rPr>
          <w:rFonts w:ascii="Arial" w:hAnsi="Arial" w:cs="Arial"/>
          <w:sz w:val="20"/>
        </w:rPr>
        <w:t xml:space="preserve">6°C, if not analyzed </w:t>
      </w:r>
      <w:r w:rsidR="005C7828">
        <w:rPr>
          <w:rFonts w:ascii="Arial" w:hAnsi="Arial" w:cs="Arial"/>
          <w:sz w:val="20"/>
        </w:rPr>
        <w:t>within 15 minutes of collection</w:t>
      </w:r>
      <w:r w:rsidRPr="009B033A">
        <w:rPr>
          <w:rFonts w:ascii="Arial" w:hAnsi="Arial" w:cs="Arial"/>
          <w:sz w:val="20"/>
        </w:rPr>
        <w:t>.</w:t>
      </w:r>
    </w:p>
    <w:p w14:paraId="73FD36DC" w14:textId="77777777" w:rsidR="001A2ED5" w:rsidRPr="009B033A" w:rsidRDefault="001A2ED5" w:rsidP="001A2ED5">
      <w:pPr>
        <w:widowControl/>
        <w:suppressAutoHyphens/>
        <w:spacing w:before="0" w:after="0"/>
        <w:rPr>
          <w:rFonts w:ascii="Arial" w:hAnsi="Arial" w:cs="Arial"/>
          <w:sz w:val="20"/>
        </w:rPr>
      </w:pPr>
    </w:p>
    <w:p w14:paraId="542E973F" w14:textId="77777777" w:rsidR="001A2ED5" w:rsidRPr="009B033A" w:rsidRDefault="001A2ED5" w:rsidP="000D17D2">
      <w:pPr>
        <w:spacing w:before="0"/>
        <w:jc w:val="both"/>
        <w:rPr>
          <w:rFonts w:ascii="Arial" w:hAnsi="Arial"/>
          <w:b/>
          <w:sz w:val="20"/>
          <w:u w:val="single"/>
        </w:rPr>
      </w:pPr>
      <w:r>
        <w:rPr>
          <w:rFonts w:ascii="Arial" w:hAnsi="Arial"/>
          <w:b/>
          <w:sz w:val="20"/>
          <w:u w:val="single"/>
        </w:rPr>
        <w:t>General Information</w:t>
      </w:r>
      <w:r w:rsidRPr="009B033A">
        <w:rPr>
          <w:rFonts w:ascii="Arial" w:hAnsi="Arial"/>
          <w:b/>
          <w:sz w:val="20"/>
          <w:u w:val="single"/>
        </w:rPr>
        <w:t xml:space="preserve">: </w:t>
      </w:r>
    </w:p>
    <w:p w14:paraId="1A6D3982" w14:textId="77777777" w:rsidR="007B481B" w:rsidRPr="00BE3A1A" w:rsidRDefault="007B481B" w:rsidP="007B481B">
      <w:pPr>
        <w:numPr>
          <w:ilvl w:val="0"/>
          <w:numId w:val="1"/>
        </w:numPr>
        <w:jc w:val="both"/>
        <w:rPr>
          <w:rFonts w:ascii="Arial" w:hAnsi="Arial"/>
          <w:sz w:val="20"/>
        </w:rPr>
      </w:pPr>
      <w:bookmarkStart w:id="1" w:name="_Hlk502820721"/>
      <w:r>
        <w:rPr>
          <w:rFonts w:ascii="Arial" w:hAnsi="Arial"/>
          <w:sz w:val="20"/>
        </w:rPr>
        <w:t>Sample duplicates are not a required quality control element for Field parameters.</w:t>
      </w:r>
    </w:p>
    <w:p w14:paraId="6B440019" w14:textId="76A23168" w:rsidR="001A2ED5" w:rsidRDefault="001A2ED5" w:rsidP="001A2ED5">
      <w:pPr>
        <w:numPr>
          <w:ilvl w:val="0"/>
          <w:numId w:val="1"/>
        </w:numPr>
        <w:jc w:val="both"/>
        <w:rPr>
          <w:rFonts w:ascii="Arial" w:hAnsi="Arial"/>
          <w:sz w:val="20"/>
        </w:rPr>
      </w:pPr>
      <w:r w:rsidRPr="009B033A">
        <w:rPr>
          <w:rFonts w:ascii="Arial" w:hAnsi="Arial"/>
          <w:sz w:val="20"/>
        </w:rPr>
        <w:t xml:space="preserve">Some </w:t>
      </w:r>
      <w:r w:rsidRPr="002E5322">
        <w:rPr>
          <w:rFonts w:ascii="Arial" w:hAnsi="Arial"/>
          <w:sz w:val="20"/>
        </w:rPr>
        <w:t xml:space="preserve">meters </w:t>
      </w:r>
      <w:r w:rsidR="00E92660">
        <w:rPr>
          <w:rFonts w:ascii="Arial" w:hAnsi="Arial"/>
          <w:sz w:val="20"/>
        </w:rPr>
        <w:t xml:space="preserve">may </w:t>
      </w:r>
      <w:r w:rsidRPr="002E5322">
        <w:rPr>
          <w:rFonts w:ascii="Arial" w:hAnsi="Arial"/>
          <w:sz w:val="20"/>
        </w:rPr>
        <w:t>display u</w:t>
      </w:r>
      <w:r w:rsidRPr="00F61A31">
        <w:rPr>
          <w:rFonts w:ascii="Arial" w:hAnsi="Arial"/>
          <w:sz w:val="20"/>
        </w:rPr>
        <w:t xml:space="preserve">nits in </w:t>
      </w:r>
      <w:r w:rsidRPr="00F61A31">
        <w:rPr>
          <w:rFonts w:ascii="Symbol" w:eastAsia="Symbol" w:hAnsi="Symbol" w:cs="Symbol"/>
          <w:sz w:val="20"/>
        </w:rPr>
        <w:sym w:font="Symbol" w:char="F06D"/>
      </w:r>
      <w:r w:rsidRPr="00F61A31">
        <w:rPr>
          <w:rFonts w:ascii="Arial" w:hAnsi="Arial"/>
          <w:sz w:val="20"/>
        </w:rPr>
        <w:t>S/cm</w:t>
      </w:r>
      <w:r w:rsidR="00E92660">
        <w:rPr>
          <w:rFonts w:ascii="Arial" w:hAnsi="Arial"/>
          <w:sz w:val="20"/>
        </w:rPr>
        <w:t>, however sample results are to be report</w:t>
      </w:r>
      <w:r w:rsidR="002D00AF">
        <w:rPr>
          <w:rFonts w:ascii="Arial" w:hAnsi="Arial"/>
          <w:sz w:val="20"/>
        </w:rPr>
        <w:t>ed</w:t>
      </w:r>
      <w:r w:rsidR="00E92660">
        <w:rPr>
          <w:rFonts w:ascii="Arial" w:hAnsi="Arial"/>
          <w:sz w:val="20"/>
        </w:rPr>
        <w:t xml:space="preserve"> in units of </w:t>
      </w:r>
      <w:r w:rsidR="00E92660" w:rsidRPr="009B033A">
        <w:rPr>
          <w:rFonts w:ascii="Arial" w:hAnsi="Arial"/>
          <w:sz w:val="20"/>
        </w:rPr>
        <w:t>µmhos/cm</w:t>
      </w:r>
      <w:r w:rsidRPr="00F61A31">
        <w:rPr>
          <w:rFonts w:ascii="Arial" w:hAnsi="Arial"/>
          <w:sz w:val="20"/>
        </w:rPr>
        <w:t xml:space="preserve"> (1</w:t>
      </w:r>
      <w:r w:rsidR="00CA7361">
        <w:rPr>
          <w:rFonts w:ascii="Arial" w:hAnsi="Arial"/>
          <w:sz w:val="20"/>
        </w:rPr>
        <w:t xml:space="preserve"> </w:t>
      </w:r>
      <w:r w:rsidRPr="00F61A31">
        <w:rPr>
          <w:rFonts w:ascii="Arial" w:hAnsi="Arial"/>
          <w:sz w:val="20"/>
        </w:rPr>
        <w:t>µmho/cm = 1</w:t>
      </w:r>
      <w:r w:rsidR="00CA7361">
        <w:rPr>
          <w:rFonts w:ascii="Arial" w:hAnsi="Arial"/>
          <w:sz w:val="20"/>
        </w:rPr>
        <w:t xml:space="preserve"> </w:t>
      </w:r>
      <w:r w:rsidRPr="00F61A31">
        <w:rPr>
          <w:rFonts w:ascii="Symbol" w:eastAsia="Symbol" w:hAnsi="Symbol" w:cs="Symbol"/>
          <w:sz w:val="20"/>
        </w:rPr>
        <w:sym w:font="Symbol" w:char="F06D"/>
      </w:r>
      <w:r w:rsidRPr="00F61A31">
        <w:rPr>
          <w:rFonts w:ascii="Arial" w:hAnsi="Arial"/>
          <w:sz w:val="20"/>
        </w:rPr>
        <w:t>S/cm)</w:t>
      </w:r>
    </w:p>
    <w:bookmarkEnd w:id="1"/>
    <w:p w14:paraId="2AC4B10D" w14:textId="3EC73969" w:rsidR="00D925ED" w:rsidRDefault="001A2ED5" w:rsidP="001A2ED5">
      <w:pPr>
        <w:numPr>
          <w:ilvl w:val="0"/>
          <w:numId w:val="1"/>
        </w:numPr>
        <w:jc w:val="both"/>
        <w:rPr>
          <w:rFonts w:ascii="Arial" w:hAnsi="Arial"/>
          <w:sz w:val="20"/>
        </w:rPr>
      </w:pPr>
      <w:r w:rsidRPr="00BE3A1A">
        <w:rPr>
          <w:rFonts w:ascii="Arial" w:hAnsi="Arial"/>
          <w:sz w:val="20"/>
        </w:rPr>
        <w:t>Conductivity samples must not be diluted.</w:t>
      </w:r>
      <w:r>
        <w:rPr>
          <w:rFonts w:ascii="Arial" w:hAnsi="Arial"/>
          <w:sz w:val="20"/>
        </w:rPr>
        <w:t xml:space="preserve"> </w:t>
      </w:r>
    </w:p>
    <w:p w14:paraId="56C8FDD6" w14:textId="77777777" w:rsidR="00A045AF" w:rsidRDefault="001A2ED5" w:rsidP="001A2ED5">
      <w:pPr>
        <w:numPr>
          <w:ilvl w:val="0"/>
          <w:numId w:val="1"/>
        </w:numPr>
        <w:jc w:val="both"/>
        <w:rPr>
          <w:rFonts w:ascii="Arial" w:hAnsi="Arial"/>
          <w:sz w:val="20"/>
        </w:rPr>
      </w:pPr>
      <w:r>
        <w:rPr>
          <w:rFonts w:ascii="Arial" w:hAnsi="Arial"/>
          <w:sz w:val="20"/>
        </w:rPr>
        <w:t>Thoroughly rinse conductivity cell with one or more portions of sample prior to sample measurement.</w:t>
      </w:r>
      <w:r w:rsidR="0034125E">
        <w:rPr>
          <w:rFonts w:ascii="Arial" w:hAnsi="Arial"/>
          <w:sz w:val="20"/>
        </w:rPr>
        <w:t xml:space="preserve"> </w:t>
      </w:r>
    </w:p>
    <w:p w14:paraId="77BEEAD5" w14:textId="77777777" w:rsidR="0070141C" w:rsidRDefault="0070141C" w:rsidP="001A2ED5">
      <w:pPr>
        <w:numPr>
          <w:ilvl w:val="0"/>
          <w:numId w:val="1"/>
        </w:numPr>
        <w:jc w:val="both"/>
        <w:rPr>
          <w:rFonts w:ascii="Arial" w:hAnsi="Arial"/>
          <w:sz w:val="20"/>
        </w:rPr>
      </w:pPr>
      <w:r>
        <w:rPr>
          <w:rFonts w:ascii="Arial" w:hAnsi="Arial"/>
          <w:sz w:val="20"/>
        </w:rPr>
        <w:t>Keep the conductivity cell clean when not in use</w:t>
      </w:r>
      <w:r w:rsidR="00686F9B">
        <w:rPr>
          <w:rFonts w:ascii="Arial" w:hAnsi="Arial"/>
          <w:sz w:val="20"/>
        </w:rPr>
        <w:t>.</w:t>
      </w:r>
    </w:p>
    <w:p w14:paraId="7243E363" w14:textId="75FA795A" w:rsidR="001A2ED5" w:rsidRPr="00BE3A1A" w:rsidRDefault="00733661" w:rsidP="0026311C">
      <w:pPr>
        <w:numPr>
          <w:ilvl w:val="0"/>
          <w:numId w:val="1"/>
        </w:numPr>
        <w:jc w:val="both"/>
        <w:rPr>
          <w:rFonts w:ascii="Arial" w:hAnsi="Arial"/>
          <w:sz w:val="20"/>
        </w:rPr>
      </w:pPr>
      <w:r w:rsidRPr="00854C7F">
        <w:rPr>
          <w:rFonts w:ascii="Arial" w:hAnsi="Arial"/>
          <w:sz w:val="20"/>
        </w:rPr>
        <w:t>A post-analysis calibration verification must be performed at the end of the run anytime the meter is transported by vehicle to another location after calibration.</w:t>
      </w:r>
      <w:r w:rsidR="001A2ED5" w:rsidRPr="00BE3A1A">
        <w:rPr>
          <w:rFonts w:ascii="Arial" w:hAnsi="Arial"/>
          <w:sz w:val="20"/>
        </w:rPr>
        <w:t xml:space="preserve"> It is recommended that a mid-day</w:t>
      </w:r>
      <w:r w:rsidR="00D91430">
        <w:rPr>
          <w:rFonts w:ascii="Arial" w:hAnsi="Arial"/>
          <w:sz w:val="20"/>
        </w:rPr>
        <w:t xml:space="preserve"> or a mid-batch</w:t>
      </w:r>
      <w:r w:rsidR="001A2ED5" w:rsidRPr="00BE3A1A">
        <w:rPr>
          <w:rFonts w:ascii="Arial" w:hAnsi="Arial"/>
          <w:sz w:val="20"/>
        </w:rPr>
        <w:t xml:space="preserve"> calibration verification be performed when samples are analyzed over an extended </w:t>
      </w:r>
      <w:proofErr w:type="gramStart"/>
      <w:r w:rsidR="001A2ED5" w:rsidRPr="00BE3A1A">
        <w:rPr>
          <w:rFonts w:ascii="Arial" w:hAnsi="Arial"/>
          <w:sz w:val="20"/>
        </w:rPr>
        <w:t>period of time</w:t>
      </w:r>
      <w:proofErr w:type="gramEnd"/>
      <w:r w:rsidR="001A2ED5" w:rsidRPr="00BE3A1A">
        <w:rPr>
          <w:rFonts w:ascii="Arial" w:hAnsi="Arial"/>
          <w:sz w:val="20"/>
        </w:rPr>
        <w:t xml:space="preserve">. </w:t>
      </w:r>
      <w:r w:rsidR="001A2ED5" w:rsidRPr="006E073B">
        <w:rPr>
          <w:rFonts w:ascii="Arial" w:hAnsi="Arial"/>
          <w:sz w:val="20"/>
        </w:rPr>
        <w:t xml:space="preserve">The value obtained for the </w:t>
      </w:r>
      <w:r w:rsidR="00C37CFF" w:rsidRPr="006E073B">
        <w:rPr>
          <w:rFonts w:ascii="Arial" w:hAnsi="Arial"/>
          <w:sz w:val="20"/>
        </w:rPr>
        <w:t>post</w:t>
      </w:r>
      <w:r w:rsidR="00C37CFF">
        <w:rPr>
          <w:rFonts w:ascii="Arial" w:hAnsi="Arial"/>
          <w:sz w:val="20"/>
        </w:rPr>
        <w:t>-</w:t>
      </w:r>
      <w:r w:rsidR="001A2ED5" w:rsidRPr="006E073B">
        <w:rPr>
          <w:rFonts w:ascii="Arial" w:hAnsi="Arial"/>
          <w:sz w:val="20"/>
        </w:rPr>
        <w:t xml:space="preserve">analysis calibration verification </w:t>
      </w:r>
      <w:r w:rsidR="00C37CFF" w:rsidRPr="006E073B">
        <w:rPr>
          <w:rFonts w:ascii="Arial" w:hAnsi="Arial"/>
          <w:sz w:val="20"/>
        </w:rPr>
        <w:t>check</w:t>
      </w:r>
      <w:r w:rsidR="00F052D9">
        <w:rPr>
          <w:rFonts w:ascii="Arial" w:hAnsi="Arial"/>
          <w:sz w:val="20"/>
        </w:rPr>
        <w:t xml:space="preserve"> </w:t>
      </w:r>
      <w:r w:rsidR="001A2ED5" w:rsidRPr="006E073B">
        <w:rPr>
          <w:rFonts w:ascii="Arial" w:hAnsi="Arial"/>
          <w:sz w:val="20"/>
        </w:rPr>
        <w:t xml:space="preserve">standard must </w:t>
      </w:r>
      <w:proofErr w:type="gramStart"/>
      <w:r w:rsidR="001A2ED5" w:rsidRPr="006E073B">
        <w:rPr>
          <w:rFonts w:ascii="Arial" w:hAnsi="Arial"/>
          <w:sz w:val="20"/>
        </w:rPr>
        <w:t>read</w:t>
      </w:r>
      <w:proofErr w:type="gramEnd"/>
      <w:r w:rsidR="001A2ED5" w:rsidRPr="006E073B">
        <w:rPr>
          <w:rFonts w:ascii="Arial" w:hAnsi="Arial"/>
          <w:sz w:val="20"/>
        </w:rPr>
        <w:t xml:space="preserve"> within 10% of the standard’s true value.</w:t>
      </w:r>
      <w:r w:rsidR="001A2ED5">
        <w:rPr>
          <w:rFonts w:ascii="Arial" w:hAnsi="Arial"/>
          <w:sz w:val="20"/>
        </w:rPr>
        <w:t xml:space="preserve"> </w:t>
      </w:r>
      <w:r w:rsidR="001A2ED5" w:rsidRPr="00BE3A1A">
        <w:rPr>
          <w:rFonts w:ascii="Arial" w:hAnsi="Arial"/>
          <w:sz w:val="20"/>
        </w:rPr>
        <w:t xml:space="preserve">If the obtained value is outside of the </w:t>
      </w:r>
      <w:r w:rsidR="001A2ED5" w:rsidRPr="00BE3A1A">
        <w:rPr>
          <w:rFonts w:ascii="Arial" w:hAnsi="Arial" w:cs="Arial"/>
          <w:sz w:val="20"/>
        </w:rPr>
        <w:t>±</w:t>
      </w:r>
      <w:r w:rsidR="001A2ED5" w:rsidRPr="00BE3A1A">
        <w:rPr>
          <w:rFonts w:ascii="Arial" w:hAnsi="Arial"/>
          <w:sz w:val="20"/>
        </w:rPr>
        <w:t>10% range, corrective action must be taken.</w:t>
      </w:r>
      <w:r w:rsidR="0026311C">
        <w:rPr>
          <w:rFonts w:ascii="Arial" w:hAnsi="Arial"/>
          <w:sz w:val="20"/>
        </w:rPr>
        <w:t xml:space="preserve"> </w:t>
      </w:r>
      <w:r w:rsidR="0026311C" w:rsidRPr="0026311C">
        <w:rPr>
          <w:rFonts w:ascii="Arial" w:hAnsi="Arial"/>
          <w:sz w:val="20"/>
        </w:rPr>
        <w:t>If recalibration is necessary, all samples analyzed since the last acceptable calibration verification must be reanalyzed, if possible. If samples cannot be reanalyzed, the data must be qualified.</w:t>
      </w:r>
    </w:p>
    <w:p w14:paraId="31775077" w14:textId="154206A2" w:rsidR="001A2ED5" w:rsidRPr="00581F55" w:rsidRDefault="001A2ED5" w:rsidP="7DC854A1">
      <w:pPr>
        <w:numPr>
          <w:ilvl w:val="0"/>
          <w:numId w:val="1"/>
        </w:numPr>
        <w:jc w:val="both"/>
        <w:rPr>
          <w:rFonts w:ascii="Arial" w:hAnsi="Arial" w:cs="Arial"/>
          <w:sz w:val="20"/>
          <w:u w:val="single"/>
        </w:rPr>
      </w:pPr>
      <w:r w:rsidRPr="7DC854A1">
        <w:rPr>
          <w:rFonts w:ascii="Arial" w:hAnsi="Arial" w:cs="Arial"/>
          <w:sz w:val="20"/>
        </w:rPr>
        <w:t xml:space="preserve">The Automatic Temperature Compensator (ATC) must be verified prior to initial use and annually (i.e., 12 months) thereafter at two temperatures by analyzing a standard or sample at </w:t>
      </w:r>
      <w:r w:rsidRPr="7DC854A1">
        <w:rPr>
          <w:rFonts w:ascii="Arial" w:hAnsi="Arial" w:cs="Arial"/>
          <w:spacing w:val="-2"/>
          <w:sz w:val="20"/>
        </w:rPr>
        <w:t>25</w:t>
      </w:r>
      <w:r w:rsidR="007F2B81">
        <w:rPr>
          <w:rFonts w:ascii="Arial" w:hAnsi="Arial" w:cs="Arial"/>
          <w:spacing w:val="-2"/>
          <w:sz w:val="20"/>
        </w:rPr>
        <w:t xml:space="preserve"> </w:t>
      </w:r>
      <w:r w:rsidR="008A54DB" w:rsidRPr="009E36DC">
        <w:rPr>
          <w:rFonts w:ascii="Arial" w:hAnsi="Arial" w:cs="Arial"/>
          <w:spacing w:val="-2"/>
          <w:sz w:val="20"/>
        </w:rPr>
        <w:t>°C</w:t>
      </w:r>
      <w:r w:rsidRPr="7DC854A1">
        <w:rPr>
          <w:rFonts w:ascii="Arial" w:hAnsi="Arial" w:cs="Arial"/>
          <w:spacing w:val="-2"/>
          <w:sz w:val="20"/>
        </w:rPr>
        <w:t xml:space="preserve"> (i.e., the temperature to which conductivity values are reported)</w:t>
      </w:r>
      <w:r w:rsidRPr="7DC854A1">
        <w:rPr>
          <w:rFonts w:ascii="Arial" w:hAnsi="Arial" w:cs="Arial"/>
          <w:sz w:val="20"/>
        </w:rPr>
        <w:t xml:space="preserve"> and a temperature(s) that brackets the temperature ranges of the </w:t>
      </w:r>
      <w:r w:rsidR="00473BD3">
        <w:rPr>
          <w:rFonts w:ascii="Arial" w:hAnsi="Arial" w:cs="Arial"/>
          <w:sz w:val="20"/>
        </w:rPr>
        <w:t>compliance</w:t>
      </w:r>
      <w:r w:rsidR="00473BD3" w:rsidRPr="7DC854A1">
        <w:rPr>
          <w:rFonts w:ascii="Arial" w:hAnsi="Arial" w:cs="Arial"/>
          <w:sz w:val="20"/>
        </w:rPr>
        <w:t xml:space="preserve"> </w:t>
      </w:r>
      <w:r w:rsidRPr="7DC854A1">
        <w:rPr>
          <w:rFonts w:ascii="Arial" w:hAnsi="Arial" w:cs="Arial"/>
          <w:sz w:val="20"/>
        </w:rPr>
        <w:t xml:space="preserve">samples routinely analyzed. This may require the analysis of a third temperature reading that is &gt; </w:t>
      </w:r>
      <w:r w:rsidRPr="7DC854A1">
        <w:rPr>
          <w:rFonts w:ascii="Arial" w:hAnsi="Arial" w:cs="Arial"/>
          <w:spacing w:val="-2"/>
          <w:sz w:val="20"/>
        </w:rPr>
        <w:t>25</w:t>
      </w:r>
      <w:r w:rsidR="0015241D">
        <w:rPr>
          <w:rFonts w:ascii="Arial" w:hAnsi="Arial" w:cs="Arial"/>
          <w:spacing w:val="-2"/>
          <w:sz w:val="20"/>
        </w:rPr>
        <w:t xml:space="preserve"> </w:t>
      </w:r>
      <w:r w:rsidRPr="7DC854A1">
        <w:rPr>
          <w:rFonts w:ascii="Arial" w:hAnsi="Arial" w:cs="Arial"/>
          <w:spacing w:val="-2"/>
          <w:sz w:val="20"/>
        </w:rPr>
        <w:t>°C (see #3 below)</w:t>
      </w:r>
      <w:r w:rsidRPr="7DC854A1">
        <w:rPr>
          <w:rFonts w:ascii="Arial" w:hAnsi="Arial" w:cs="Arial"/>
          <w:sz w:val="20"/>
        </w:rPr>
        <w:t xml:space="preserve">. The </w:t>
      </w:r>
      <w:proofErr w:type="gramStart"/>
      <w:r w:rsidRPr="7DC854A1">
        <w:rPr>
          <w:rFonts w:ascii="Arial" w:hAnsi="Arial" w:cs="Arial"/>
          <w:sz w:val="20"/>
        </w:rPr>
        <w:t>manner in which</w:t>
      </w:r>
      <w:proofErr w:type="gramEnd"/>
      <w:r w:rsidRPr="7DC854A1">
        <w:rPr>
          <w:rFonts w:ascii="Arial" w:hAnsi="Arial" w:cs="Arial"/>
          <w:sz w:val="20"/>
        </w:rPr>
        <w:t xml:space="preserve"> the ATC is verified may depend upon the meter’s capabilities and the manufacturer’s instructions. The following is one option</w:t>
      </w:r>
      <w:r w:rsidR="00672D7B">
        <w:rPr>
          <w:rFonts w:ascii="Arial" w:hAnsi="Arial" w:cs="Arial"/>
          <w:sz w:val="20"/>
        </w:rPr>
        <w:t>:</w:t>
      </w:r>
      <w:r w:rsidRPr="7DC854A1">
        <w:rPr>
          <w:rFonts w:ascii="Arial" w:hAnsi="Arial" w:cs="Arial"/>
          <w:sz w:val="20"/>
        </w:rPr>
        <w:t xml:space="preserve"> </w:t>
      </w:r>
    </w:p>
    <w:p w14:paraId="4956B6AD" w14:textId="210535AB" w:rsidR="001A2ED5" w:rsidRPr="009E36DC" w:rsidRDefault="00581F55" w:rsidP="00581F55">
      <w:pPr>
        <w:suppressAutoHyphens/>
        <w:ind w:left="1260" w:hanging="360"/>
        <w:jc w:val="both"/>
        <w:rPr>
          <w:rFonts w:ascii="Arial" w:hAnsi="Arial" w:cs="Arial"/>
          <w:spacing w:val="-2"/>
          <w:sz w:val="20"/>
        </w:rPr>
      </w:pPr>
      <w:r>
        <w:rPr>
          <w:rFonts w:ascii="Arial" w:hAnsi="Arial" w:cs="Arial"/>
          <w:spacing w:val="-2"/>
          <w:sz w:val="20"/>
        </w:rPr>
        <w:t>1.</w:t>
      </w:r>
      <w:r>
        <w:rPr>
          <w:rFonts w:ascii="Arial" w:hAnsi="Arial" w:cs="Arial"/>
          <w:spacing w:val="-2"/>
          <w:sz w:val="20"/>
        </w:rPr>
        <w:tab/>
      </w:r>
      <w:r w:rsidR="001A2ED5" w:rsidRPr="009E36DC">
        <w:rPr>
          <w:rFonts w:ascii="Arial" w:hAnsi="Arial" w:cs="Arial"/>
          <w:spacing w:val="-2"/>
          <w:sz w:val="20"/>
        </w:rPr>
        <w:t>Pour an adequate amount of conductivity standard or sample into a beaker or other container and analyze at 25</w:t>
      </w:r>
      <w:r w:rsidR="008A54DB">
        <w:rPr>
          <w:rFonts w:ascii="Arial" w:hAnsi="Arial" w:cs="Arial"/>
          <w:spacing w:val="-2"/>
          <w:sz w:val="20"/>
        </w:rPr>
        <w:t xml:space="preserve"> ± 0.5</w:t>
      </w:r>
      <w:r w:rsidR="0015241D">
        <w:rPr>
          <w:rFonts w:ascii="Arial" w:hAnsi="Arial" w:cs="Arial"/>
          <w:spacing w:val="-2"/>
          <w:sz w:val="20"/>
        </w:rPr>
        <w:t xml:space="preserve"> </w:t>
      </w:r>
      <w:r w:rsidR="001A2ED5" w:rsidRPr="009E36DC">
        <w:rPr>
          <w:rFonts w:ascii="Arial" w:hAnsi="Arial" w:cs="Arial"/>
          <w:spacing w:val="-2"/>
          <w:sz w:val="20"/>
        </w:rPr>
        <w:t>°C. Document the temperature and conductivity value.</w:t>
      </w:r>
    </w:p>
    <w:p w14:paraId="1EAAF5B3" w14:textId="77777777" w:rsidR="001A2ED5" w:rsidRPr="009E36DC" w:rsidRDefault="00581F55" w:rsidP="00581F55">
      <w:pPr>
        <w:suppressAutoHyphens/>
        <w:ind w:left="1260" w:hanging="360"/>
        <w:jc w:val="both"/>
        <w:rPr>
          <w:rFonts w:ascii="Arial" w:hAnsi="Arial" w:cs="Arial"/>
          <w:spacing w:val="-2"/>
          <w:sz w:val="20"/>
        </w:rPr>
      </w:pPr>
      <w:r>
        <w:rPr>
          <w:rFonts w:ascii="Arial" w:hAnsi="Arial" w:cs="Arial"/>
          <w:spacing w:val="-2"/>
          <w:sz w:val="20"/>
        </w:rPr>
        <w:t>2.</w:t>
      </w:r>
      <w:r>
        <w:rPr>
          <w:rFonts w:ascii="Arial" w:hAnsi="Arial" w:cs="Arial"/>
          <w:spacing w:val="-2"/>
          <w:sz w:val="20"/>
        </w:rPr>
        <w:tab/>
      </w:r>
      <w:r w:rsidR="001A2ED5" w:rsidRPr="009E36DC">
        <w:rPr>
          <w:rFonts w:ascii="Arial" w:hAnsi="Arial" w:cs="Arial"/>
          <w:spacing w:val="-2"/>
          <w:sz w:val="20"/>
        </w:rPr>
        <w:t xml:space="preserve">Lower the temperature of the </w:t>
      </w:r>
      <w:r w:rsidR="001A2ED5" w:rsidRPr="00BE3A1A">
        <w:rPr>
          <w:rFonts w:ascii="Arial" w:hAnsi="Arial" w:cs="Arial"/>
          <w:spacing w:val="-2"/>
          <w:sz w:val="20"/>
        </w:rPr>
        <w:t>standard or sample</w:t>
      </w:r>
      <w:r w:rsidR="001A2ED5" w:rsidRPr="009E36DC">
        <w:rPr>
          <w:rFonts w:ascii="Arial" w:hAnsi="Arial" w:cs="Arial"/>
          <w:spacing w:val="-2"/>
          <w:sz w:val="20"/>
        </w:rPr>
        <w:t xml:space="preserve"> </w:t>
      </w:r>
      <w:r w:rsidR="001A2ED5">
        <w:rPr>
          <w:rFonts w:ascii="Arial" w:hAnsi="Arial" w:cs="Arial"/>
          <w:spacing w:val="-2"/>
          <w:sz w:val="20"/>
        </w:rPr>
        <w:t xml:space="preserve">(e.g., </w:t>
      </w:r>
      <w:r w:rsidR="001A2ED5" w:rsidRPr="009E36DC">
        <w:rPr>
          <w:rFonts w:ascii="Arial" w:hAnsi="Arial" w:cs="Arial"/>
          <w:spacing w:val="-2"/>
          <w:sz w:val="20"/>
        </w:rPr>
        <w:t>by placing the container in a refrigerator</w:t>
      </w:r>
      <w:r w:rsidR="001A2ED5">
        <w:rPr>
          <w:rFonts w:ascii="Arial" w:hAnsi="Arial" w:cs="Arial"/>
          <w:spacing w:val="-2"/>
          <w:sz w:val="20"/>
        </w:rPr>
        <w:t xml:space="preserve"> or ice chest)</w:t>
      </w:r>
      <w:r w:rsidR="001A2ED5" w:rsidRPr="009E36DC">
        <w:rPr>
          <w:rFonts w:ascii="Arial" w:hAnsi="Arial" w:cs="Arial"/>
          <w:spacing w:val="-2"/>
          <w:sz w:val="20"/>
        </w:rPr>
        <w:t xml:space="preserve"> to less than the lowest anticipated sample temperature and analyze. Document the temperature and conductivity value.</w:t>
      </w:r>
    </w:p>
    <w:p w14:paraId="1FA08841" w14:textId="787FB396" w:rsidR="001A2ED5" w:rsidRPr="00794A30" w:rsidRDefault="00581F55" w:rsidP="00581F55">
      <w:pPr>
        <w:suppressAutoHyphens/>
        <w:ind w:left="1260" w:hanging="360"/>
        <w:jc w:val="both"/>
        <w:rPr>
          <w:rFonts w:ascii="Arial" w:hAnsi="Arial" w:cs="Arial"/>
          <w:spacing w:val="-2"/>
          <w:sz w:val="20"/>
        </w:rPr>
      </w:pPr>
      <w:r>
        <w:rPr>
          <w:rFonts w:ascii="Arial" w:hAnsi="Arial" w:cs="Arial"/>
          <w:spacing w:val="-2"/>
          <w:sz w:val="20"/>
        </w:rPr>
        <w:t>3.</w:t>
      </w:r>
      <w:r>
        <w:rPr>
          <w:rFonts w:ascii="Arial" w:hAnsi="Arial" w:cs="Arial"/>
          <w:spacing w:val="-2"/>
          <w:sz w:val="20"/>
        </w:rPr>
        <w:tab/>
      </w:r>
      <w:r w:rsidR="001A2ED5" w:rsidRPr="009E36DC">
        <w:rPr>
          <w:rFonts w:ascii="Arial" w:hAnsi="Arial" w:cs="Arial"/>
          <w:spacing w:val="-2"/>
          <w:sz w:val="20"/>
        </w:rPr>
        <w:t xml:space="preserve">If samples greater than 25°C are to be analyzed, perform the following additional step: </w:t>
      </w:r>
      <w:r w:rsidR="001A2ED5">
        <w:rPr>
          <w:rFonts w:ascii="Arial" w:hAnsi="Arial" w:cs="Arial"/>
          <w:spacing w:val="-2"/>
          <w:sz w:val="20"/>
        </w:rPr>
        <w:t>R</w:t>
      </w:r>
      <w:r w:rsidR="001A2ED5" w:rsidRPr="00F61A31">
        <w:rPr>
          <w:rFonts w:ascii="Arial" w:hAnsi="Arial" w:cs="Arial"/>
          <w:spacing w:val="-2"/>
          <w:sz w:val="20"/>
        </w:rPr>
        <w:t>aise the temperature above 25</w:t>
      </w:r>
      <w:r w:rsidR="00394A70">
        <w:rPr>
          <w:rFonts w:ascii="Arial" w:hAnsi="Arial" w:cs="Arial"/>
          <w:spacing w:val="-2"/>
          <w:sz w:val="20"/>
        </w:rPr>
        <w:t xml:space="preserve"> </w:t>
      </w:r>
      <w:r w:rsidR="001A2ED5" w:rsidRPr="00F61A31">
        <w:rPr>
          <w:rFonts w:ascii="Arial" w:hAnsi="Arial" w:cs="Arial"/>
          <w:spacing w:val="-2"/>
          <w:sz w:val="20"/>
        </w:rPr>
        <w:t xml:space="preserve">°C to greater than the highest anticipated sample temperature </w:t>
      </w:r>
      <w:r w:rsidR="001A2ED5">
        <w:rPr>
          <w:rFonts w:ascii="Arial" w:hAnsi="Arial" w:cs="Arial"/>
          <w:spacing w:val="-2"/>
          <w:sz w:val="20"/>
        </w:rPr>
        <w:t xml:space="preserve">(e.g., by placing the container in a hot water bath) </w:t>
      </w:r>
      <w:r w:rsidR="001A2ED5" w:rsidRPr="00F61A31">
        <w:rPr>
          <w:rFonts w:ascii="Arial" w:hAnsi="Arial" w:cs="Arial"/>
          <w:spacing w:val="-2"/>
          <w:sz w:val="20"/>
        </w:rPr>
        <w:t>and analyze. Document the temperature and conductivity value.</w:t>
      </w:r>
    </w:p>
    <w:p w14:paraId="6C97F03D" w14:textId="73C8BF46" w:rsidR="001A2ED5" w:rsidRPr="00F61A31" w:rsidRDefault="001A2ED5" w:rsidP="00581F55">
      <w:pPr>
        <w:tabs>
          <w:tab w:val="left" w:pos="-720"/>
        </w:tabs>
        <w:suppressAutoHyphens/>
        <w:ind w:left="1260"/>
        <w:jc w:val="both"/>
        <w:rPr>
          <w:rFonts w:ascii="Arial" w:hAnsi="Arial"/>
          <w:spacing w:val="-3"/>
          <w:sz w:val="20"/>
        </w:rPr>
      </w:pPr>
      <w:r w:rsidRPr="00F61A31">
        <w:rPr>
          <w:rFonts w:ascii="Arial" w:hAnsi="Arial" w:cs="Arial"/>
          <w:sz w:val="20"/>
        </w:rPr>
        <w:t xml:space="preserve">As the temperature increases or decreases, the value of the conductivity standard </w:t>
      </w:r>
      <w:r>
        <w:rPr>
          <w:rFonts w:ascii="Arial" w:hAnsi="Arial" w:cs="Arial"/>
          <w:sz w:val="20"/>
        </w:rPr>
        <w:t xml:space="preserve">or sample </w:t>
      </w:r>
      <w:r w:rsidRPr="00F61A31">
        <w:rPr>
          <w:rFonts w:ascii="Arial" w:hAnsi="Arial" w:cs="Arial"/>
          <w:sz w:val="20"/>
        </w:rPr>
        <w:t xml:space="preserve">must be within </w:t>
      </w:r>
      <w:r w:rsidRPr="00F61A31">
        <w:rPr>
          <w:rFonts w:ascii="Symbol" w:eastAsia="Symbol" w:hAnsi="Symbol" w:cs="Symbol"/>
          <w:sz w:val="20"/>
        </w:rPr>
        <w:sym w:font="Symbol" w:char="F0B1"/>
      </w:r>
      <w:r w:rsidRPr="00F61A31">
        <w:rPr>
          <w:rFonts w:ascii="Arial" w:hAnsi="Arial" w:cs="Arial"/>
          <w:sz w:val="20"/>
        </w:rPr>
        <w:t>10% of the true value of the standard</w:t>
      </w:r>
      <w:r>
        <w:rPr>
          <w:rFonts w:ascii="Arial" w:hAnsi="Arial" w:cs="Arial"/>
          <w:sz w:val="20"/>
        </w:rPr>
        <w:t xml:space="preserve"> </w:t>
      </w:r>
      <w:r w:rsidRPr="00BE3A1A">
        <w:rPr>
          <w:rFonts w:ascii="Arial" w:hAnsi="Arial" w:cs="Arial"/>
          <w:sz w:val="20"/>
        </w:rPr>
        <w:t xml:space="preserve">or </w:t>
      </w:r>
      <w:r w:rsidRPr="00BE3A1A">
        <w:rPr>
          <w:rFonts w:ascii="Symbol" w:eastAsia="Symbol" w:hAnsi="Symbol" w:cs="Symbol"/>
          <w:sz w:val="20"/>
        </w:rPr>
        <w:sym w:font="Symbol" w:char="F0B1"/>
      </w:r>
      <w:r w:rsidRPr="00BE3A1A">
        <w:rPr>
          <w:rFonts w:ascii="Arial" w:hAnsi="Arial" w:cs="Arial"/>
          <w:sz w:val="20"/>
        </w:rPr>
        <w:t>10% of the value of the sample at 25</w:t>
      </w:r>
      <w:r w:rsidR="00FB4B0A">
        <w:rPr>
          <w:rFonts w:ascii="Arial" w:hAnsi="Arial" w:cs="Arial"/>
          <w:sz w:val="20"/>
        </w:rPr>
        <w:t xml:space="preserve"> </w:t>
      </w:r>
      <w:r w:rsidRPr="00BE3A1A">
        <w:rPr>
          <w:rFonts w:ascii="Arial" w:hAnsi="Arial" w:cs="Arial"/>
          <w:sz w:val="20"/>
        </w:rPr>
        <w:t>°C. If not, corrective action must be taken.</w:t>
      </w:r>
    </w:p>
    <w:p w14:paraId="1BE85111" w14:textId="77777777" w:rsidR="001A2ED5" w:rsidRPr="00F61A31" w:rsidRDefault="001A2ED5" w:rsidP="00E90A21">
      <w:pPr>
        <w:suppressAutoHyphens/>
        <w:ind w:left="720"/>
        <w:jc w:val="both"/>
        <w:rPr>
          <w:rFonts w:ascii="Arial" w:hAnsi="Arial" w:cs="Arial"/>
          <w:sz w:val="20"/>
        </w:rPr>
      </w:pPr>
      <w:r w:rsidRPr="00F61A31">
        <w:rPr>
          <w:rFonts w:ascii="Arial" w:hAnsi="Arial" w:cs="Arial"/>
          <w:spacing w:val="-2"/>
          <w:sz w:val="20"/>
        </w:rPr>
        <w:t xml:space="preserve">Anticipated temperatures can be obtained from a review of the </w:t>
      </w:r>
      <w:r w:rsidR="00C37CFF">
        <w:rPr>
          <w:rFonts w:ascii="Arial" w:hAnsi="Arial" w:cs="Arial"/>
          <w:spacing w:val="-2"/>
          <w:sz w:val="20"/>
        </w:rPr>
        <w:t xml:space="preserve">electronic </w:t>
      </w:r>
      <w:r w:rsidRPr="00F61A31">
        <w:rPr>
          <w:rFonts w:ascii="Arial" w:hAnsi="Arial" w:cs="Arial"/>
          <w:spacing w:val="-2"/>
          <w:sz w:val="20"/>
        </w:rPr>
        <w:t>Discharge Monitoring Reports (</w:t>
      </w:r>
      <w:r w:rsidR="00C37CFF">
        <w:rPr>
          <w:rFonts w:ascii="Arial" w:hAnsi="Arial" w:cs="Arial"/>
          <w:spacing w:val="-2"/>
          <w:sz w:val="20"/>
        </w:rPr>
        <w:t>e</w:t>
      </w:r>
      <w:r w:rsidRPr="00F61A31">
        <w:rPr>
          <w:rFonts w:ascii="Arial" w:hAnsi="Arial" w:cs="Arial"/>
          <w:spacing w:val="-2"/>
          <w:sz w:val="20"/>
        </w:rPr>
        <w:t>DMRs) from the peak summer and winter months. Historical data should provide a reasonably</w:t>
      </w:r>
      <w:r>
        <w:rPr>
          <w:rFonts w:ascii="Arial" w:hAnsi="Arial" w:cs="Arial"/>
          <w:spacing w:val="-2"/>
          <w:sz w:val="20"/>
        </w:rPr>
        <w:t xml:space="preserve"> </w:t>
      </w:r>
      <w:r w:rsidRPr="00F61A31">
        <w:rPr>
          <w:rFonts w:ascii="Arial" w:hAnsi="Arial" w:cs="Arial"/>
          <w:spacing w:val="-2"/>
          <w:sz w:val="20"/>
        </w:rPr>
        <w:t>accurate estimation of ranges that will bracket the expected sample temperatures.</w:t>
      </w:r>
      <w:r>
        <w:rPr>
          <w:rFonts w:ascii="Arial" w:hAnsi="Arial" w:cs="Arial"/>
          <w:spacing w:val="-2"/>
          <w:sz w:val="20"/>
        </w:rPr>
        <w:t xml:space="preserve"> </w:t>
      </w:r>
    </w:p>
    <w:p w14:paraId="3A7ACB39" w14:textId="77777777" w:rsidR="001A2ED5" w:rsidRPr="00F61A31" w:rsidRDefault="001A2ED5" w:rsidP="00C23134">
      <w:pPr>
        <w:spacing w:after="0"/>
        <w:ind w:left="720"/>
        <w:jc w:val="both"/>
        <w:rPr>
          <w:rFonts w:ascii="Arial" w:hAnsi="Arial"/>
          <w:sz w:val="20"/>
        </w:rPr>
      </w:pPr>
      <w:r w:rsidRPr="00F61A31">
        <w:rPr>
          <w:rFonts w:ascii="Arial" w:hAnsi="Arial"/>
          <w:sz w:val="20"/>
        </w:rPr>
        <w:t xml:space="preserve">Other </w:t>
      </w:r>
      <w:r>
        <w:rPr>
          <w:rFonts w:ascii="Arial" w:hAnsi="Arial"/>
          <w:sz w:val="20"/>
        </w:rPr>
        <w:t>C</w:t>
      </w:r>
      <w:r w:rsidRPr="00F61A31">
        <w:rPr>
          <w:rFonts w:ascii="Arial" w:hAnsi="Arial"/>
          <w:sz w:val="20"/>
        </w:rPr>
        <w:t xml:space="preserve">ertified laboratories may </w:t>
      </w:r>
      <w:proofErr w:type="gramStart"/>
      <w:r w:rsidRPr="00F61A31">
        <w:rPr>
          <w:rFonts w:ascii="Arial" w:hAnsi="Arial"/>
          <w:sz w:val="20"/>
        </w:rPr>
        <w:t>provide assistance</w:t>
      </w:r>
      <w:proofErr w:type="gramEnd"/>
      <w:r w:rsidRPr="00F61A31">
        <w:rPr>
          <w:rFonts w:ascii="Arial" w:hAnsi="Arial"/>
          <w:sz w:val="20"/>
        </w:rPr>
        <w:t xml:space="preserve"> in meeting this </w:t>
      </w:r>
      <w:r>
        <w:rPr>
          <w:rFonts w:ascii="Arial" w:hAnsi="Arial"/>
          <w:sz w:val="20"/>
        </w:rPr>
        <w:t xml:space="preserve">ATC verification </w:t>
      </w:r>
      <w:r w:rsidRPr="00F61A31">
        <w:rPr>
          <w:rFonts w:ascii="Arial" w:hAnsi="Arial"/>
          <w:sz w:val="20"/>
        </w:rPr>
        <w:t>requirement.</w:t>
      </w:r>
    </w:p>
    <w:p w14:paraId="13D31F94" w14:textId="77777777" w:rsidR="001A2ED5" w:rsidRDefault="001A2ED5" w:rsidP="00C23134">
      <w:pPr>
        <w:spacing w:before="0" w:after="0"/>
        <w:jc w:val="both"/>
        <w:rPr>
          <w:rFonts w:ascii="Arial" w:hAnsi="Arial"/>
          <w:b/>
          <w:sz w:val="20"/>
          <w:u w:val="single"/>
        </w:rPr>
      </w:pPr>
    </w:p>
    <w:p w14:paraId="256F2A63" w14:textId="77777777" w:rsidR="001A2ED5" w:rsidRPr="00F61A31" w:rsidRDefault="001A2ED5" w:rsidP="00C23134">
      <w:pPr>
        <w:spacing w:before="0" w:after="0"/>
        <w:jc w:val="both"/>
        <w:rPr>
          <w:rFonts w:ascii="Arial" w:hAnsi="Arial"/>
          <w:b/>
          <w:sz w:val="20"/>
        </w:rPr>
      </w:pPr>
      <w:r w:rsidRPr="00F61A31">
        <w:rPr>
          <w:rFonts w:ascii="Arial" w:hAnsi="Arial"/>
          <w:b/>
          <w:sz w:val="20"/>
          <w:u w:val="single"/>
        </w:rPr>
        <w:t>Standards:</w:t>
      </w:r>
      <w:r w:rsidRPr="00F61A31">
        <w:rPr>
          <w:rFonts w:ascii="Arial" w:hAnsi="Arial"/>
          <w:b/>
          <w:sz w:val="20"/>
        </w:rPr>
        <w:t xml:space="preserve"> </w:t>
      </w:r>
    </w:p>
    <w:p w14:paraId="34B9E597" w14:textId="74CEF8F7" w:rsidR="00956099" w:rsidRDefault="001A2ED5" w:rsidP="00956099">
      <w:pPr>
        <w:jc w:val="both"/>
        <w:rPr>
          <w:rFonts w:ascii="Arial" w:hAnsi="Arial"/>
          <w:sz w:val="20"/>
        </w:rPr>
      </w:pPr>
      <w:r>
        <w:rPr>
          <w:rFonts w:ascii="Arial" w:hAnsi="Arial"/>
          <w:sz w:val="20"/>
        </w:rPr>
        <w:t xml:space="preserve">Potassium Chloride (KCl) </w:t>
      </w:r>
      <w:r w:rsidR="0034365E">
        <w:rPr>
          <w:rFonts w:ascii="Arial" w:hAnsi="Arial"/>
          <w:sz w:val="20"/>
        </w:rPr>
        <w:t>c</w:t>
      </w:r>
      <w:r w:rsidRPr="00F61A31">
        <w:rPr>
          <w:rFonts w:ascii="Arial" w:hAnsi="Arial"/>
          <w:sz w:val="20"/>
        </w:rPr>
        <w:t>onductivity standards may be purchased in the ranges desired, or they may be prepared according to Table 2510:</w:t>
      </w:r>
      <w:r w:rsidR="00C13110">
        <w:rPr>
          <w:rFonts w:ascii="Arial" w:hAnsi="Arial"/>
          <w:sz w:val="20"/>
        </w:rPr>
        <w:t>1</w:t>
      </w:r>
      <w:r w:rsidRPr="00F61A31">
        <w:rPr>
          <w:rFonts w:ascii="Arial" w:hAnsi="Arial"/>
          <w:sz w:val="20"/>
        </w:rPr>
        <w:t xml:space="preserve"> </w:t>
      </w:r>
      <w:r>
        <w:rPr>
          <w:rFonts w:ascii="Arial" w:hAnsi="Arial"/>
          <w:sz w:val="20"/>
        </w:rPr>
        <w:t xml:space="preserve">of Standard Methods, </w:t>
      </w:r>
      <w:r w:rsidRPr="00F61A31">
        <w:rPr>
          <w:rFonts w:ascii="Arial" w:hAnsi="Arial"/>
          <w:sz w:val="20"/>
        </w:rPr>
        <w:t>2510 A</w:t>
      </w:r>
      <w:r>
        <w:rPr>
          <w:rFonts w:ascii="Arial" w:hAnsi="Arial"/>
          <w:sz w:val="20"/>
        </w:rPr>
        <w:t>-20</w:t>
      </w:r>
      <w:r w:rsidR="001C1F0D">
        <w:rPr>
          <w:rFonts w:ascii="Arial" w:hAnsi="Arial"/>
          <w:sz w:val="20"/>
        </w:rPr>
        <w:t>2</w:t>
      </w:r>
      <w:r>
        <w:rPr>
          <w:rFonts w:ascii="Arial" w:hAnsi="Arial"/>
          <w:sz w:val="20"/>
        </w:rPr>
        <w:t>1</w:t>
      </w:r>
      <w:r w:rsidRPr="00F61A31">
        <w:rPr>
          <w:rFonts w:ascii="Arial" w:hAnsi="Arial"/>
          <w:sz w:val="20"/>
        </w:rPr>
        <w:t>.</w:t>
      </w:r>
      <w:r w:rsidR="00EB20B5">
        <w:rPr>
          <w:rFonts w:ascii="Arial" w:hAnsi="Arial"/>
          <w:sz w:val="20"/>
        </w:rPr>
        <w:t xml:space="preserve"> </w:t>
      </w:r>
      <w:r w:rsidRPr="00F61A31">
        <w:rPr>
          <w:rFonts w:ascii="Arial" w:hAnsi="Arial"/>
          <w:sz w:val="20"/>
        </w:rPr>
        <w:t>A portion of the standard should not be used for more than one calibration. Discard any used standard portions.</w:t>
      </w:r>
    </w:p>
    <w:p w14:paraId="3B351170" w14:textId="5B91BC48" w:rsidR="00BE5326" w:rsidRDefault="00BE5326" w:rsidP="00956099">
      <w:pPr>
        <w:jc w:val="both"/>
        <w:rPr>
          <w:rFonts w:ascii="Arial" w:hAnsi="Arial"/>
          <w:sz w:val="20"/>
        </w:rPr>
      </w:pPr>
      <w:r w:rsidRPr="00BE5326">
        <w:rPr>
          <w:rFonts w:ascii="Arial" w:hAnsi="Arial"/>
          <w:b/>
          <w:sz w:val="20"/>
        </w:rPr>
        <w:t>Note:</w:t>
      </w:r>
      <w:r>
        <w:rPr>
          <w:rFonts w:ascii="Arial" w:hAnsi="Arial"/>
          <w:sz w:val="20"/>
        </w:rPr>
        <w:t xml:space="preserve"> </w:t>
      </w:r>
      <w:r w:rsidRPr="00956099">
        <w:rPr>
          <w:rFonts w:ascii="Arial" w:hAnsi="Arial"/>
          <w:sz w:val="20"/>
        </w:rPr>
        <w:t>The preparation of the standards in Table 2510:</w:t>
      </w:r>
      <w:r w:rsidR="00C13110">
        <w:rPr>
          <w:rFonts w:ascii="Arial" w:hAnsi="Arial"/>
          <w:sz w:val="20"/>
        </w:rPr>
        <w:t>1</w:t>
      </w:r>
      <w:r w:rsidRPr="00956099">
        <w:rPr>
          <w:rFonts w:ascii="Arial" w:hAnsi="Arial"/>
          <w:sz w:val="20"/>
        </w:rPr>
        <w:t xml:space="preserve"> indicates that the relationship between mass of KCl used and standard concentration is not linear; </w:t>
      </w:r>
      <w:proofErr w:type="gramStart"/>
      <w:r w:rsidRPr="00956099">
        <w:rPr>
          <w:rFonts w:ascii="Arial" w:hAnsi="Arial"/>
          <w:sz w:val="20"/>
        </w:rPr>
        <w:t>therefore</w:t>
      </w:r>
      <w:proofErr w:type="gramEnd"/>
      <w:r w:rsidRPr="00956099">
        <w:rPr>
          <w:rFonts w:ascii="Arial" w:hAnsi="Arial"/>
          <w:sz w:val="20"/>
        </w:rPr>
        <w:t xml:space="preserve"> standards may not be </w:t>
      </w:r>
      <w:proofErr w:type="gramStart"/>
      <w:r w:rsidRPr="00956099">
        <w:rPr>
          <w:rFonts w:ascii="Arial" w:hAnsi="Arial"/>
          <w:sz w:val="20"/>
        </w:rPr>
        <w:t>diluted, but</w:t>
      </w:r>
      <w:proofErr w:type="gramEnd"/>
      <w:r w:rsidRPr="00956099">
        <w:rPr>
          <w:rFonts w:ascii="Arial" w:hAnsi="Arial"/>
          <w:sz w:val="20"/>
        </w:rPr>
        <w:t xml:space="preserve"> must be prepared individually.</w:t>
      </w:r>
    </w:p>
    <w:p w14:paraId="7DEAD392" w14:textId="7BF354F0" w:rsidR="004630BA" w:rsidRPr="001A6EF1" w:rsidRDefault="004630BA" w:rsidP="006125E9">
      <w:pPr>
        <w:pStyle w:val="BodyText"/>
        <w:kinsoku w:val="0"/>
        <w:overflowPunct w:val="0"/>
        <w:spacing w:before="0" w:line="204" w:lineRule="exact"/>
        <w:ind w:left="990"/>
        <w:rPr>
          <w:rFonts w:eastAsia="Calibri"/>
          <w:color w:val="231F20"/>
          <w:w w:val="110"/>
          <w:position w:val="7"/>
          <w:sz w:val="11"/>
          <w:szCs w:val="11"/>
        </w:rPr>
      </w:pPr>
      <w:r w:rsidRPr="001A6EF1">
        <w:rPr>
          <w:rFonts w:eastAsia="Calibri"/>
          <w:color w:val="231F20"/>
          <w:w w:val="105"/>
          <w:sz w:val="17"/>
          <w:szCs w:val="17"/>
        </w:rPr>
        <w:lastRenderedPageBreak/>
        <w:t>T</w:t>
      </w:r>
      <w:r w:rsidRPr="001A6EF1">
        <w:rPr>
          <w:rFonts w:eastAsia="Calibri"/>
          <w:color w:val="231F20"/>
          <w:w w:val="105"/>
          <w:sz w:val="12"/>
          <w:szCs w:val="12"/>
        </w:rPr>
        <w:t xml:space="preserve">ABLE </w:t>
      </w:r>
      <w:r w:rsidRPr="001A6EF1">
        <w:rPr>
          <w:rFonts w:eastAsia="Calibri"/>
          <w:color w:val="231F20"/>
          <w:w w:val="105"/>
          <w:sz w:val="17"/>
          <w:szCs w:val="17"/>
        </w:rPr>
        <w:t>2510:</w:t>
      </w:r>
      <w:r w:rsidR="00C13110">
        <w:rPr>
          <w:rFonts w:eastAsia="Calibri"/>
          <w:color w:val="231F20"/>
          <w:w w:val="105"/>
          <w:sz w:val="17"/>
          <w:szCs w:val="17"/>
        </w:rPr>
        <w:t>1</w:t>
      </w:r>
      <w:r w:rsidRPr="001A6EF1">
        <w:rPr>
          <w:rFonts w:eastAsia="Calibri"/>
          <w:color w:val="231F20"/>
          <w:w w:val="105"/>
          <w:sz w:val="17"/>
          <w:szCs w:val="17"/>
        </w:rPr>
        <w:t>.  E</w:t>
      </w:r>
      <w:r w:rsidRPr="001A6EF1">
        <w:rPr>
          <w:rFonts w:eastAsia="Calibri"/>
          <w:color w:val="231F20"/>
          <w:w w:val="105"/>
          <w:sz w:val="11"/>
          <w:szCs w:val="11"/>
        </w:rPr>
        <w:t xml:space="preserve">QUIVALENT </w:t>
      </w:r>
      <w:r w:rsidRPr="001A6EF1">
        <w:rPr>
          <w:rFonts w:eastAsia="Calibri"/>
          <w:color w:val="231F20"/>
          <w:w w:val="105"/>
          <w:sz w:val="17"/>
          <w:szCs w:val="17"/>
        </w:rPr>
        <w:t>C</w:t>
      </w:r>
      <w:r w:rsidRPr="001A6EF1">
        <w:rPr>
          <w:rFonts w:eastAsia="Calibri"/>
          <w:color w:val="231F20"/>
          <w:w w:val="105"/>
          <w:sz w:val="11"/>
          <w:szCs w:val="11"/>
        </w:rPr>
        <w:t xml:space="preserve">ONDUCTIVITY, </w:t>
      </w:r>
      <w:r w:rsidRPr="001A6EF1">
        <w:rPr>
          <w:rFonts w:ascii="Lucida Sans Unicode" w:eastAsia="Calibri" w:hAnsi="Lucida Sans Unicode" w:cs="Lucida Sans Unicode"/>
          <w:color w:val="231F20"/>
          <w:w w:val="105"/>
          <w:sz w:val="17"/>
          <w:szCs w:val="17"/>
        </w:rPr>
        <w:t>A</w:t>
      </w:r>
      <w:r w:rsidRPr="001A6EF1">
        <w:rPr>
          <w:rFonts w:eastAsia="Calibri"/>
          <w:color w:val="231F20"/>
          <w:w w:val="105"/>
          <w:sz w:val="17"/>
          <w:szCs w:val="17"/>
        </w:rPr>
        <w:t xml:space="preserve">, </w:t>
      </w:r>
      <w:r w:rsidRPr="001A6EF1">
        <w:rPr>
          <w:rFonts w:eastAsia="Calibri"/>
          <w:color w:val="231F20"/>
          <w:w w:val="105"/>
          <w:sz w:val="11"/>
          <w:szCs w:val="11"/>
        </w:rPr>
        <w:t xml:space="preserve">AND </w:t>
      </w:r>
      <w:r w:rsidRPr="001A6EF1">
        <w:rPr>
          <w:rFonts w:eastAsia="Calibri"/>
          <w:color w:val="231F20"/>
          <w:w w:val="105"/>
          <w:sz w:val="17"/>
          <w:szCs w:val="17"/>
        </w:rPr>
        <w:t>C</w:t>
      </w:r>
      <w:r w:rsidRPr="001A6EF1">
        <w:rPr>
          <w:rFonts w:eastAsia="Calibri"/>
          <w:color w:val="231F20"/>
          <w:w w:val="105"/>
          <w:sz w:val="11"/>
          <w:szCs w:val="11"/>
        </w:rPr>
        <w:t xml:space="preserve">ONDUCTIVITY, </w:t>
      </w:r>
      <w:r w:rsidRPr="001A6EF1">
        <w:rPr>
          <w:rFonts w:eastAsia="Calibri"/>
          <w:i/>
          <w:iCs/>
          <w:color w:val="231F20"/>
          <w:w w:val="105"/>
          <w:sz w:val="17"/>
          <w:szCs w:val="17"/>
        </w:rPr>
        <w:t>k</w:t>
      </w:r>
      <w:r w:rsidRPr="001A6EF1">
        <w:rPr>
          <w:rFonts w:eastAsia="Calibri"/>
          <w:color w:val="231F20"/>
          <w:w w:val="105"/>
          <w:sz w:val="17"/>
          <w:szCs w:val="17"/>
        </w:rPr>
        <w:t xml:space="preserve">, </w:t>
      </w:r>
      <w:r w:rsidRPr="001A6EF1">
        <w:rPr>
          <w:rFonts w:eastAsia="Calibri"/>
          <w:color w:val="231F20"/>
          <w:w w:val="105"/>
          <w:sz w:val="11"/>
          <w:szCs w:val="11"/>
        </w:rPr>
        <w:t xml:space="preserve">OF </w:t>
      </w:r>
      <w:r w:rsidRPr="001A6EF1">
        <w:rPr>
          <w:rFonts w:eastAsia="Calibri"/>
          <w:color w:val="231F20"/>
          <w:w w:val="110"/>
          <w:sz w:val="17"/>
          <w:szCs w:val="17"/>
        </w:rPr>
        <w:t>P</w:t>
      </w:r>
      <w:r w:rsidRPr="001A6EF1">
        <w:rPr>
          <w:rFonts w:eastAsia="Calibri"/>
          <w:color w:val="231F20"/>
          <w:w w:val="110"/>
          <w:sz w:val="11"/>
          <w:szCs w:val="11"/>
        </w:rPr>
        <w:t xml:space="preserve">OTASSIUM </w:t>
      </w:r>
      <w:r w:rsidRPr="001A6EF1">
        <w:rPr>
          <w:rFonts w:eastAsia="Calibri"/>
          <w:color w:val="231F20"/>
          <w:w w:val="110"/>
          <w:sz w:val="17"/>
          <w:szCs w:val="17"/>
        </w:rPr>
        <w:t>C</w:t>
      </w:r>
      <w:r w:rsidRPr="001A6EF1">
        <w:rPr>
          <w:rFonts w:eastAsia="Calibri"/>
          <w:color w:val="231F20"/>
          <w:w w:val="110"/>
          <w:sz w:val="11"/>
          <w:szCs w:val="11"/>
        </w:rPr>
        <w:t xml:space="preserve">HLORIDE AT </w:t>
      </w:r>
      <w:r w:rsidRPr="001A6EF1">
        <w:rPr>
          <w:rFonts w:eastAsia="Calibri"/>
          <w:color w:val="231F20"/>
          <w:w w:val="110"/>
          <w:sz w:val="17"/>
          <w:szCs w:val="17"/>
        </w:rPr>
        <w:t>25.0°C.*</w:t>
      </w:r>
    </w:p>
    <w:tbl>
      <w:tblPr>
        <w:tblW w:w="6319" w:type="dxa"/>
        <w:tblInd w:w="1440" w:type="dxa"/>
        <w:tblLayout w:type="fixed"/>
        <w:tblCellMar>
          <w:left w:w="0" w:type="dxa"/>
          <w:right w:w="0" w:type="dxa"/>
        </w:tblCellMar>
        <w:tblLook w:val="0000" w:firstRow="0" w:lastRow="0" w:firstColumn="0" w:lastColumn="0" w:noHBand="0" w:noVBand="0"/>
      </w:tblPr>
      <w:tblGrid>
        <w:gridCol w:w="1127"/>
        <w:gridCol w:w="2833"/>
        <w:gridCol w:w="2359"/>
      </w:tblGrid>
      <w:tr w:rsidR="004630BA" w:rsidRPr="004630BA" w14:paraId="5C0C5667" w14:textId="77777777" w:rsidTr="006125E9">
        <w:trPr>
          <w:trHeight w:val="460"/>
        </w:trPr>
        <w:tc>
          <w:tcPr>
            <w:tcW w:w="1127" w:type="dxa"/>
            <w:tcBorders>
              <w:top w:val="single" w:sz="4" w:space="0" w:color="231F20"/>
              <w:left w:val="none" w:sz="6" w:space="0" w:color="auto"/>
              <w:bottom w:val="none" w:sz="6" w:space="0" w:color="auto"/>
              <w:right w:val="none" w:sz="6" w:space="0" w:color="auto"/>
            </w:tcBorders>
          </w:tcPr>
          <w:p w14:paraId="34C378BB" w14:textId="77777777" w:rsidR="004630BA" w:rsidRPr="001A6EF1" w:rsidRDefault="004630BA" w:rsidP="004630BA">
            <w:pPr>
              <w:widowControl/>
              <w:kinsoku w:val="0"/>
              <w:overflowPunct w:val="0"/>
              <w:autoSpaceDE w:val="0"/>
              <w:autoSpaceDN w:val="0"/>
              <w:adjustRightInd w:val="0"/>
              <w:spacing w:before="6" w:after="0"/>
              <w:ind w:left="90"/>
              <w:rPr>
                <w:rFonts w:eastAsia="Calibri"/>
                <w:sz w:val="23"/>
                <w:szCs w:val="23"/>
              </w:rPr>
            </w:pPr>
          </w:p>
          <w:p w14:paraId="49FB7EF7" w14:textId="77777777" w:rsidR="004630BA" w:rsidRPr="001A6EF1" w:rsidRDefault="004630BA" w:rsidP="004630BA">
            <w:pPr>
              <w:widowControl/>
              <w:kinsoku w:val="0"/>
              <w:overflowPunct w:val="0"/>
              <w:autoSpaceDE w:val="0"/>
              <w:autoSpaceDN w:val="0"/>
              <w:adjustRightInd w:val="0"/>
              <w:spacing w:before="1" w:after="0" w:line="187" w:lineRule="exact"/>
              <w:ind w:left="90"/>
              <w:rPr>
                <w:rFonts w:eastAsia="Calibri"/>
                <w:color w:val="231F20"/>
                <w:sz w:val="17"/>
                <w:szCs w:val="17"/>
              </w:rPr>
            </w:pPr>
            <w:r w:rsidRPr="001A6EF1">
              <w:rPr>
                <w:rFonts w:eastAsia="Calibri"/>
                <w:color w:val="231F20"/>
                <w:sz w:val="17"/>
                <w:szCs w:val="17"/>
              </w:rPr>
              <w:t>KCl Concentration</w:t>
            </w:r>
          </w:p>
        </w:tc>
        <w:tc>
          <w:tcPr>
            <w:tcW w:w="2833" w:type="dxa"/>
            <w:tcBorders>
              <w:top w:val="single" w:sz="4" w:space="0" w:color="231F20"/>
              <w:left w:val="none" w:sz="6" w:space="0" w:color="auto"/>
              <w:bottom w:val="none" w:sz="6" w:space="0" w:color="auto"/>
              <w:right w:val="none" w:sz="6" w:space="0" w:color="auto"/>
            </w:tcBorders>
          </w:tcPr>
          <w:p w14:paraId="5042AC30" w14:textId="77777777" w:rsidR="004630BA" w:rsidRPr="001A6EF1" w:rsidRDefault="004630BA" w:rsidP="004630BA">
            <w:pPr>
              <w:widowControl/>
              <w:kinsoku w:val="0"/>
              <w:overflowPunct w:val="0"/>
              <w:autoSpaceDE w:val="0"/>
              <w:autoSpaceDN w:val="0"/>
              <w:adjustRightInd w:val="0"/>
              <w:spacing w:before="71" w:after="0" w:line="184" w:lineRule="exact"/>
              <w:ind w:left="90" w:right="252"/>
              <w:jc w:val="center"/>
              <w:rPr>
                <w:rFonts w:eastAsia="Calibri"/>
                <w:color w:val="231F20"/>
                <w:sz w:val="17"/>
                <w:szCs w:val="17"/>
              </w:rPr>
            </w:pPr>
            <w:r w:rsidRPr="001A6EF1">
              <w:rPr>
                <w:rFonts w:eastAsia="Calibri"/>
                <w:color w:val="231F20"/>
                <w:sz w:val="17"/>
                <w:szCs w:val="17"/>
              </w:rPr>
              <w:t>Equivalent</w:t>
            </w:r>
          </w:p>
          <w:p w14:paraId="28D47AD7" w14:textId="77777777" w:rsidR="004630BA" w:rsidRPr="001A6EF1" w:rsidRDefault="004630BA" w:rsidP="004630BA">
            <w:pPr>
              <w:widowControl/>
              <w:kinsoku w:val="0"/>
              <w:overflowPunct w:val="0"/>
              <w:autoSpaceDE w:val="0"/>
              <w:autoSpaceDN w:val="0"/>
              <w:adjustRightInd w:val="0"/>
              <w:spacing w:before="0" w:after="0" w:line="203" w:lineRule="exact"/>
              <w:ind w:left="90" w:right="252"/>
              <w:jc w:val="center"/>
              <w:rPr>
                <w:rFonts w:ascii="Lucida Sans Unicode" w:eastAsia="Calibri" w:hAnsi="Lucida Sans Unicode" w:cs="Lucida Sans Unicode"/>
                <w:color w:val="231F20"/>
                <w:sz w:val="17"/>
                <w:szCs w:val="17"/>
              </w:rPr>
            </w:pPr>
            <w:r w:rsidRPr="001A6EF1">
              <w:rPr>
                <w:rFonts w:eastAsia="Calibri"/>
                <w:color w:val="231F20"/>
                <w:sz w:val="17"/>
                <w:szCs w:val="17"/>
              </w:rPr>
              <w:t xml:space="preserve">Conductivity, </w:t>
            </w:r>
            <w:r w:rsidRPr="001A6EF1">
              <w:rPr>
                <w:rFonts w:ascii="Lucida Sans Unicode" w:eastAsia="Calibri" w:hAnsi="Lucida Sans Unicode" w:cs="Lucida Sans Unicode"/>
                <w:color w:val="231F20"/>
                <w:sz w:val="17"/>
                <w:szCs w:val="17"/>
              </w:rPr>
              <w:t>A</w:t>
            </w:r>
          </w:p>
        </w:tc>
        <w:tc>
          <w:tcPr>
            <w:tcW w:w="2359" w:type="dxa"/>
            <w:tcBorders>
              <w:top w:val="single" w:sz="4" w:space="0" w:color="231F20"/>
              <w:left w:val="none" w:sz="6" w:space="0" w:color="auto"/>
              <w:bottom w:val="none" w:sz="6" w:space="0" w:color="auto"/>
              <w:right w:val="none" w:sz="6" w:space="0" w:color="auto"/>
            </w:tcBorders>
          </w:tcPr>
          <w:p w14:paraId="7A7955EE" w14:textId="77777777" w:rsidR="004630BA" w:rsidRPr="001A6EF1" w:rsidRDefault="004630BA" w:rsidP="004630BA">
            <w:pPr>
              <w:widowControl/>
              <w:kinsoku w:val="0"/>
              <w:overflowPunct w:val="0"/>
              <w:autoSpaceDE w:val="0"/>
              <w:autoSpaceDN w:val="0"/>
              <w:adjustRightInd w:val="0"/>
              <w:spacing w:before="6" w:after="0"/>
              <w:ind w:left="90"/>
              <w:rPr>
                <w:rFonts w:eastAsia="Calibri"/>
                <w:sz w:val="23"/>
                <w:szCs w:val="23"/>
              </w:rPr>
            </w:pPr>
          </w:p>
          <w:p w14:paraId="1BE284C6" w14:textId="77777777" w:rsidR="004630BA" w:rsidRPr="001A6EF1" w:rsidRDefault="004630BA" w:rsidP="004630BA">
            <w:pPr>
              <w:widowControl/>
              <w:kinsoku w:val="0"/>
              <w:overflowPunct w:val="0"/>
              <w:autoSpaceDE w:val="0"/>
              <w:autoSpaceDN w:val="0"/>
              <w:adjustRightInd w:val="0"/>
              <w:spacing w:before="1" w:after="0" w:line="187" w:lineRule="exact"/>
              <w:ind w:left="90"/>
              <w:rPr>
                <w:rFonts w:eastAsia="Calibri"/>
                <w:i/>
                <w:iCs/>
                <w:color w:val="231F20"/>
                <w:position w:val="-4"/>
                <w:sz w:val="11"/>
                <w:szCs w:val="11"/>
              </w:rPr>
            </w:pPr>
            <w:r w:rsidRPr="001A6EF1">
              <w:rPr>
                <w:rFonts w:eastAsia="Calibri"/>
                <w:color w:val="231F20"/>
                <w:sz w:val="17"/>
                <w:szCs w:val="17"/>
              </w:rPr>
              <w:t xml:space="preserve">Conductivity, </w:t>
            </w:r>
            <w:r w:rsidRPr="001A6EF1">
              <w:rPr>
                <w:rFonts w:eastAsia="Calibri"/>
                <w:i/>
                <w:iCs/>
                <w:color w:val="231F20"/>
                <w:sz w:val="17"/>
                <w:szCs w:val="17"/>
              </w:rPr>
              <w:t>k</w:t>
            </w:r>
            <w:r w:rsidRPr="001A6EF1">
              <w:rPr>
                <w:rFonts w:eastAsia="Calibri"/>
                <w:i/>
                <w:iCs/>
                <w:color w:val="231F20"/>
                <w:position w:val="-4"/>
                <w:sz w:val="11"/>
                <w:szCs w:val="11"/>
              </w:rPr>
              <w:t>s</w:t>
            </w:r>
          </w:p>
        </w:tc>
      </w:tr>
      <w:tr w:rsidR="004630BA" w:rsidRPr="004630BA" w14:paraId="2614E55E" w14:textId="77777777" w:rsidTr="006125E9">
        <w:trPr>
          <w:trHeight w:val="240"/>
        </w:trPr>
        <w:tc>
          <w:tcPr>
            <w:tcW w:w="1127" w:type="dxa"/>
            <w:tcBorders>
              <w:top w:val="none" w:sz="6" w:space="0" w:color="auto"/>
              <w:left w:val="none" w:sz="6" w:space="0" w:color="auto"/>
              <w:bottom w:val="single" w:sz="6" w:space="0" w:color="231F20"/>
              <w:right w:val="none" w:sz="6" w:space="0" w:color="auto"/>
            </w:tcBorders>
          </w:tcPr>
          <w:p w14:paraId="605B8947" w14:textId="77777777" w:rsidR="004630BA" w:rsidRPr="001A6EF1" w:rsidRDefault="004630BA" w:rsidP="004630BA">
            <w:pPr>
              <w:widowControl/>
              <w:kinsoku w:val="0"/>
              <w:overflowPunct w:val="0"/>
              <w:autoSpaceDE w:val="0"/>
              <w:autoSpaceDN w:val="0"/>
              <w:adjustRightInd w:val="0"/>
              <w:spacing w:before="0" w:after="0" w:line="188" w:lineRule="exact"/>
              <w:ind w:left="90"/>
              <w:rPr>
                <w:rFonts w:eastAsia="Calibri"/>
                <w:i/>
                <w:iCs/>
                <w:color w:val="231F20"/>
                <w:sz w:val="17"/>
                <w:szCs w:val="17"/>
              </w:rPr>
            </w:pPr>
            <w:r w:rsidRPr="001A6EF1">
              <w:rPr>
                <w:rFonts w:eastAsia="Calibri"/>
                <w:i/>
                <w:iCs/>
                <w:color w:val="231F20"/>
                <w:sz w:val="17"/>
                <w:szCs w:val="17"/>
              </w:rPr>
              <w:t>M or equivalent/L</w:t>
            </w:r>
          </w:p>
        </w:tc>
        <w:tc>
          <w:tcPr>
            <w:tcW w:w="2833" w:type="dxa"/>
            <w:tcBorders>
              <w:top w:val="none" w:sz="6" w:space="0" w:color="auto"/>
              <w:left w:val="none" w:sz="6" w:space="0" w:color="auto"/>
              <w:bottom w:val="single" w:sz="6" w:space="0" w:color="231F20"/>
              <w:right w:val="none" w:sz="6" w:space="0" w:color="auto"/>
            </w:tcBorders>
          </w:tcPr>
          <w:p w14:paraId="32AE5D28" w14:textId="77777777" w:rsidR="004630BA" w:rsidRPr="001A6EF1" w:rsidRDefault="004630BA" w:rsidP="004630BA">
            <w:pPr>
              <w:widowControl/>
              <w:kinsoku w:val="0"/>
              <w:overflowPunct w:val="0"/>
              <w:autoSpaceDE w:val="0"/>
              <w:autoSpaceDN w:val="0"/>
              <w:adjustRightInd w:val="0"/>
              <w:spacing w:before="0" w:after="0" w:line="188" w:lineRule="exact"/>
              <w:ind w:left="90" w:right="252"/>
              <w:jc w:val="center"/>
              <w:rPr>
                <w:rFonts w:eastAsia="Calibri"/>
                <w:i/>
                <w:iCs/>
                <w:color w:val="231F20"/>
                <w:sz w:val="17"/>
                <w:szCs w:val="17"/>
              </w:rPr>
            </w:pPr>
            <w:r w:rsidRPr="001A6EF1">
              <w:rPr>
                <w:rFonts w:eastAsia="Calibri"/>
                <w:i/>
                <w:iCs/>
                <w:color w:val="231F20"/>
                <w:sz w:val="17"/>
                <w:szCs w:val="17"/>
              </w:rPr>
              <w:t>mho-cm</w:t>
            </w:r>
            <w:r w:rsidRPr="001A6EF1">
              <w:rPr>
                <w:rFonts w:eastAsia="Calibri"/>
                <w:i/>
                <w:iCs/>
                <w:color w:val="231F20"/>
                <w:position w:val="7"/>
                <w:sz w:val="11"/>
                <w:szCs w:val="11"/>
              </w:rPr>
              <w:t>2</w:t>
            </w:r>
            <w:r w:rsidRPr="001A6EF1">
              <w:rPr>
                <w:rFonts w:eastAsia="Calibri"/>
                <w:i/>
                <w:iCs/>
                <w:color w:val="231F20"/>
                <w:sz w:val="17"/>
                <w:szCs w:val="17"/>
              </w:rPr>
              <w:t>/equivalent</w:t>
            </w:r>
          </w:p>
        </w:tc>
        <w:tc>
          <w:tcPr>
            <w:tcW w:w="2359" w:type="dxa"/>
            <w:tcBorders>
              <w:top w:val="none" w:sz="6" w:space="0" w:color="auto"/>
              <w:left w:val="none" w:sz="6" w:space="0" w:color="auto"/>
              <w:bottom w:val="single" w:sz="6" w:space="0" w:color="231F20"/>
              <w:right w:val="none" w:sz="6" w:space="0" w:color="auto"/>
            </w:tcBorders>
          </w:tcPr>
          <w:p w14:paraId="6638A4BD" w14:textId="77777777" w:rsidR="004630BA" w:rsidRPr="001A6EF1" w:rsidRDefault="004630BA" w:rsidP="004630BA">
            <w:pPr>
              <w:widowControl/>
              <w:kinsoku w:val="0"/>
              <w:overflowPunct w:val="0"/>
              <w:autoSpaceDE w:val="0"/>
              <w:autoSpaceDN w:val="0"/>
              <w:adjustRightInd w:val="0"/>
              <w:spacing w:before="0" w:after="0" w:line="194" w:lineRule="exact"/>
              <w:ind w:left="90"/>
              <w:rPr>
                <w:rFonts w:eastAsia="Calibri"/>
                <w:i/>
                <w:iCs/>
                <w:color w:val="231F20"/>
                <w:sz w:val="17"/>
                <w:szCs w:val="17"/>
              </w:rPr>
            </w:pPr>
            <w:r w:rsidRPr="001A6EF1">
              <w:rPr>
                <w:rFonts w:eastAsia="Calibri"/>
                <w:color w:val="231F20"/>
                <w:sz w:val="17"/>
                <w:szCs w:val="17"/>
              </w:rPr>
              <w:t>µ</w:t>
            </w:r>
            <w:r w:rsidRPr="001A6EF1">
              <w:rPr>
                <w:rFonts w:eastAsia="Calibri"/>
                <w:i/>
                <w:iCs/>
                <w:color w:val="231F20"/>
                <w:sz w:val="17"/>
                <w:szCs w:val="17"/>
              </w:rPr>
              <w:t>mho/cm</w:t>
            </w:r>
          </w:p>
        </w:tc>
      </w:tr>
      <w:tr w:rsidR="004630BA" w:rsidRPr="004630BA" w14:paraId="1DD6E0BF" w14:textId="77777777" w:rsidTr="006125E9">
        <w:trPr>
          <w:trHeight w:val="260"/>
        </w:trPr>
        <w:tc>
          <w:tcPr>
            <w:tcW w:w="1127" w:type="dxa"/>
            <w:tcBorders>
              <w:top w:val="single" w:sz="6" w:space="0" w:color="231F20"/>
              <w:left w:val="none" w:sz="6" w:space="0" w:color="auto"/>
              <w:bottom w:val="none" w:sz="6" w:space="0" w:color="auto"/>
              <w:right w:val="none" w:sz="6" w:space="0" w:color="auto"/>
            </w:tcBorders>
          </w:tcPr>
          <w:p w14:paraId="0AB0008C" w14:textId="77777777" w:rsidR="004630BA" w:rsidRPr="001A6EF1" w:rsidRDefault="004630BA" w:rsidP="004630BA">
            <w:pPr>
              <w:widowControl/>
              <w:kinsoku w:val="0"/>
              <w:overflowPunct w:val="0"/>
              <w:autoSpaceDE w:val="0"/>
              <w:autoSpaceDN w:val="0"/>
              <w:adjustRightInd w:val="0"/>
              <w:spacing w:before="77" w:after="0" w:line="181" w:lineRule="exact"/>
              <w:ind w:left="90"/>
              <w:rPr>
                <w:rFonts w:eastAsia="Calibri"/>
                <w:color w:val="231F20"/>
                <w:sz w:val="17"/>
                <w:szCs w:val="17"/>
              </w:rPr>
            </w:pPr>
            <w:r w:rsidRPr="001A6EF1">
              <w:rPr>
                <w:rFonts w:eastAsia="Calibri"/>
                <w:color w:val="231F20"/>
                <w:sz w:val="17"/>
                <w:szCs w:val="17"/>
              </w:rPr>
              <w:t>0</w:t>
            </w:r>
          </w:p>
        </w:tc>
        <w:tc>
          <w:tcPr>
            <w:tcW w:w="2833" w:type="dxa"/>
            <w:tcBorders>
              <w:top w:val="single" w:sz="6" w:space="0" w:color="231F20"/>
              <w:left w:val="none" w:sz="6" w:space="0" w:color="auto"/>
              <w:bottom w:val="none" w:sz="6" w:space="0" w:color="auto"/>
              <w:right w:val="none" w:sz="6" w:space="0" w:color="auto"/>
            </w:tcBorders>
          </w:tcPr>
          <w:p w14:paraId="1D11B395" w14:textId="77777777" w:rsidR="004630BA" w:rsidRPr="001A6EF1" w:rsidRDefault="004630BA" w:rsidP="004630BA">
            <w:pPr>
              <w:widowControl/>
              <w:kinsoku w:val="0"/>
              <w:overflowPunct w:val="0"/>
              <w:autoSpaceDE w:val="0"/>
              <w:autoSpaceDN w:val="0"/>
              <w:adjustRightInd w:val="0"/>
              <w:spacing w:before="77" w:after="0" w:line="181" w:lineRule="exact"/>
              <w:ind w:left="90" w:right="252"/>
              <w:jc w:val="center"/>
              <w:rPr>
                <w:rFonts w:eastAsia="Calibri"/>
                <w:color w:val="231F20"/>
                <w:sz w:val="17"/>
                <w:szCs w:val="17"/>
              </w:rPr>
            </w:pPr>
            <w:r w:rsidRPr="001A6EF1">
              <w:rPr>
                <w:rFonts w:eastAsia="Calibri"/>
                <w:color w:val="231F20"/>
                <w:sz w:val="17"/>
                <w:szCs w:val="17"/>
              </w:rPr>
              <w:t>149.9</w:t>
            </w:r>
          </w:p>
        </w:tc>
        <w:tc>
          <w:tcPr>
            <w:tcW w:w="2359" w:type="dxa"/>
            <w:tcBorders>
              <w:top w:val="single" w:sz="6" w:space="0" w:color="231F20"/>
              <w:left w:val="none" w:sz="6" w:space="0" w:color="auto"/>
              <w:bottom w:val="none" w:sz="6" w:space="0" w:color="auto"/>
              <w:right w:val="none" w:sz="6" w:space="0" w:color="auto"/>
            </w:tcBorders>
          </w:tcPr>
          <w:p w14:paraId="4B2321DC" w14:textId="77777777" w:rsidR="004630BA" w:rsidRPr="001A6EF1" w:rsidRDefault="004630BA" w:rsidP="004630BA">
            <w:pPr>
              <w:widowControl/>
              <w:kinsoku w:val="0"/>
              <w:overflowPunct w:val="0"/>
              <w:autoSpaceDE w:val="0"/>
              <w:autoSpaceDN w:val="0"/>
              <w:adjustRightInd w:val="0"/>
              <w:spacing w:before="0" w:after="0"/>
              <w:ind w:left="90"/>
              <w:rPr>
                <w:rFonts w:eastAsia="Calibri"/>
                <w:sz w:val="14"/>
                <w:szCs w:val="14"/>
              </w:rPr>
            </w:pPr>
          </w:p>
        </w:tc>
      </w:tr>
      <w:tr w:rsidR="004630BA" w:rsidRPr="004630BA" w14:paraId="228D7975" w14:textId="77777777" w:rsidTr="006125E9">
        <w:trPr>
          <w:trHeight w:val="200"/>
        </w:trPr>
        <w:tc>
          <w:tcPr>
            <w:tcW w:w="1127" w:type="dxa"/>
            <w:tcBorders>
              <w:top w:val="none" w:sz="6" w:space="0" w:color="auto"/>
              <w:left w:val="none" w:sz="6" w:space="0" w:color="auto"/>
              <w:bottom w:val="none" w:sz="6" w:space="0" w:color="auto"/>
              <w:right w:val="none" w:sz="6" w:space="0" w:color="auto"/>
            </w:tcBorders>
          </w:tcPr>
          <w:p w14:paraId="5778C179" w14:textId="77777777" w:rsidR="004630BA" w:rsidRPr="001A6EF1" w:rsidRDefault="004630BA" w:rsidP="004630BA">
            <w:pPr>
              <w:widowControl/>
              <w:kinsoku w:val="0"/>
              <w:overflowPunct w:val="0"/>
              <w:autoSpaceDE w:val="0"/>
              <w:autoSpaceDN w:val="0"/>
              <w:adjustRightInd w:val="0"/>
              <w:spacing w:before="0" w:after="0" w:line="180" w:lineRule="exact"/>
              <w:ind w:left="90"/>
              <w:rPr>
                <w:rFonts w:eastAsia="Calibri"/>
                <w:color w:val="231F20"/>
                <w:sz w:val="17"/>
                <w:szCs w:val="17"/>
              </w:rPr>
            </w:pPr>
            <w:r w:rsidRPr="001A6EF1">
              <w:rPr>
                <w:rFonts w:eastAsia="Calibri"/>
                <w:color w:val="231F20"/>
                <w:sz w:val="17"/>
                <w:szCs w:val="17"/>
              </w:rPr>
              <w:t>0.0001</w:t>
            </w:r>
          </w:p>
        </w:tc>
        <w:tc>
          <w:tcPr>
            <w:tcW w:w="2833" w:type="dxa"/>
            <w:tcBorders>
              <w:top w:val="none" w:sz="6" w:space="0" w:color="auto"/>
              <w:left w:val="none" w:sz="6" w:space="0" w:color="auto"/>
              <w:bottom w:val="none" w:sz="6" w:space="0" w:color="auto"/>
              <w:right w:val="none" w:sz="6" w:space="0" w:color="auto"/>
            </w:tcBorders>
          </w:tcPr>
          <w:p w14:paraId="4EA320BD" w14:textId="77777777" w:rsidR="004630BA" w:rsidRPr="001A6EF1" w:rsidRDefault="004630BA" w:rsidP="004630BA">
            <w:pPr>
              <w:widowControl/>
              <w:kinsoku w:val="0"/>
              <w:overflowPunct w:val="0"/>
              <w:autoSpaceDE w:val="0"/>
              <w:autoSpaceDN w:val="0"/>
              <w:adjustRightInd w:val="0"/>
              <w:spacing w:before="0" w:after="0" w:line="180" w:lineRule="exact"/>
              <w:ind w:left="90" w:right="252"/>
              <w:jc w:val="center"/>
              <w:rPr>
                <w:rFonts w:eastAsia="Calibri"/>
                <w:color w:val="231F20"/>
                <w:sz w:val="17"/>
                <w:szCs w:val="17"/>
              </w:rPr>
            </w:pPr>
            <w:r w:rsidRPr="001A6EF1">
              <w:rPr>
                <w:rFonts w:eastAsia="Calibri"/>
                <w:color w:val="231F20"/>
                <w:sz w:val="17"/>
                <w:szCs w:val="17"/>
              </w:rPr>
              <w:t>148.9</w:t>
            </w:r>
          </w:p>
        </w:tc>
        <w:tc>
          <w:tcPr>
            <w:tcW w:w="2359" w:type="dxa"/>
            <w:tcBorders>
              <w:top w:val="none" w:sz="6" w:space="0" w:color="auto"/>
              <w:left w:val="none" w:sz="6" w:space="0" w:color="auto"/>
              <w:bottom w:val="none" w:sz="6" w:space="0" w:color="auto"/>
              <w:right w:val="none" w:sz="6" w:space="0" w:color="auto"/>
            </w:tcBorders>
          </w:tcPr>
          <w:p w14:paraId="632BCE12" w14:textId="77777777" w:rsidR="004630BA" w:rsidRPr="001A6EF1" w:rsidRDefault="004630BA" w:rsidP="004630BA">
            <w:pPr>
              <w:widowControl/>
              <w:kinsoku w:val="0"/>
              <w:overflowPunct w:val="0"/>
              <w:autoSpaceDE w:val="0"/>
              <w:autoSpaceDN w:val="0"/>
              <w:adjustRightInd w:val="0"/>
              <w:spacing w:before="0" w:after="0" w:line="180" w:lineRule="exact"/>
              <w:ind w:left="90"/>
              <w:rPr>
                <w:rFonts w:eastAsia="Calibri"/>
                <w:color w:val="231F20"/>
                <w:sz w:val="17"/>
                <w:szCs w:val="17"/>
              </w:rPr>
            </w:pPr>
            <w:r w:rsidRPr="001A6EF1">
              <w:rPr>
                <w:rFonts w:eastAsia="Calibri"/>
                <w:color w:val="231F20"/>
                <w:sz w:val="17"/>
                <w:szCs w:val="17"/>
              </w:rPr>
              <w:t>14.9</w:t>
            </w:r>
          </w:p>
        </w:tc>
      </w:tr>
      <w:tr w:rsidR="004630BA" w:rsidRPr="004630BA" w14:paraId="4679C48A" w14:textId="77777777" w:rsidTr="006125E9">
        <w:trPr>
          <w:trHeight w:val="200"/>
        </w:trPr>
        <w:tc>
          <w:tcPr>
            <w:tcW w:w="1127" w:type="dxa"/>
            <w:tcBorders>
              <w:top w:val="none" w:sz="6" w:space="0" w:color="auto"/>
              <w:left w:val="none" w:sz="6" w:space="0" w:color="auto"/>
              <w:bottom w:val="none" w:sz="6" w:space="0" w:color="auto"/>
              <w:right w:val="none" w:sz="6" w:space="0" w:color="auto"/>
            </w:tcBorders>
          </w:tcPr>
          <w:p w14:paraId="28794D14" w14:textId="77777777" w:rsidR="004630BA" w:rsidRPr="001A6EF1" w:rsidRDefault="004630BA" w:rsidP="004630BA">
            <w:pPr>
              <w:widowControl/>
              <w:kinsoku w:val="0"/>
              <w:overflowPunct w:val="0"/>
              <w:autoSpaceDE w:val="0"/>
              <w:autoSpaceDN w:val="0"/>
              <w:adjustRightInd w:val="0"/>
              <w:spacing w:before="0" w:after="0" w:line="180" w:lineRule="exact"/>
              <w:ind w:left="90"/>
              <w:rPr>
                <w:rFonts w:eastAsia="Calibri"/>
                <w:color w:val="231F20"/>
                <w:sz w:val="17"/>
                <w:szCs w:val="17"/>
              </w:rPr>
            </w:pPr>
            <w:r w:rsidRPr="001A6EF1">
              <w:rPr>
                <w:rFonts w:eastAsia="Calibri"/>
                <w:color w:val="231F20"/>
                <w:sz w:val="17"/>
                <w:szCs w:val="17"/>
              </w:rPr>
              <w:t>0.0005</w:t>
            </w:r>
          </w:p>
        </w:tc>
        <w:tc>
          <w:tcPr>
            <w:tcW w:w="2833" w:type="dxa"/>
            <w:tcBorders>
              <w:top w:val="none" w:sz="6" w:space="0" w:color="auto"/>
              <w:left w:val="none" w:sz="6" w:space="0" w:color="auto"/>
              <w:bottom w:val="none" w:sz="6" w:space="0" w:color="auto"/>
              <w:right w:val="none" w:sz="6" w:space="0" w:color="auto"/>
            </w:tcBorders>
          </w:tcPr>
          <w:p w14:paraId="508ECE5C" w14:textId="77777777" w:rsidR="004630BA" w:rsidRPr="001A6EF1" w:rsidRDefault="004630BA" w:rsidP="004630BA">
            <w:pPr>
              <w:widowControl/>
              <w:kinsoku w:val="0"/>
              <w:overflowPunct w:val="0"/>
              <w:autoSpaceDE w:val="0"/>
              <w:autoSpaceDN w:val="0"/>
              <w:adjustRightInd w:val="0"/>
              <w:spacing w:before="0" w:after="0" w:line="180" w:lineRule="exact"/>
              <w:ind w:left="90" w:right="252"/>
              <w:jc w:val="center"/>
              <w:rPr>
                <w:rFonts w:eastAsia="Calibri"/>
                <w:color w:val="231F20"/>
                <w:sz w:val="17"/>
                <w:szCs w:val="17"/>
              </w:rPr>
            </w:pPr>
            <w:r w:rsidRPr="001A6EF1">
              <w:rPr>
                <w:rFonts w:eastAsia="Calibri"/>
                <w:color w:val="231F20"/>
                <w:sz w:val="17"/>
                <w:szCs w:val="17"/>
              </w:rPr>
              <w:t>147.7</w:t>
            </w:r>
          </w:p>
        </w:tc>
        <w:tc>
          <w:tcPr>
            <w:tcW w:w="2359" w:type="dxa"/>
            <w:tcBorders>
              <w:top w:val="none" w:sz="6" w:space="0" w:color="auto"/>
              <w:left w:val="none" w:sz="6" w:space="0" w:color="auto"/>
              <w:bottom w:val="none" w:sz="6" w:space="0" w:color="auto"/>
              <w:right w:val="none" w:sz="6" w:space="0" w:color="auto"/>
            </w:tcBorders>
          </w:tcPr>
          <w:p w14:paraId="118F6DF3" w14:textId="77777777" w:rsidR="004630BA" w:rsidRPr="001A6EF1" w:rsidRDefault="004630BA" w:rsidP="004630BA">
            <w:pPr>
              <w:widowControl/>
              <w:kinsoku w:val="0"/>
              <w:overflowPunct w:val="0"/>
              <w:autoSpaceDE w:val="0"/>
              <w:autoSpaceDN w:val="0"/>
              <w:adjustRightInd w:val="0"/>
              <w:spacing w:before="0" w:after="0" w:line="180" w:lineRule="exact"/>
              <w:ind w:left="90"/>
              <w:rPr>
                <w:rFonts w:eastAsia="Calibri"/>
                <w:color w:val="231F20"/>
                <w:sz w:val="17"/>
                <w:szCs w:val="17"/>
              </w:rPr>
            </w:pPr>
            <w:r w:rsidRPr="001A6EF1">
              <w:rPr>
                <w:rFonts w:eastAsia="Calibri"/>
                <w:color w:val="231F20"/>
                <w:sz w:val="17"/>
                <w:szCs w:val="17"/>
              </w:rPr>
              <w:t>73.9</w:t>
            </w:r>
          </w:p>
        </w:tc>
      </w:tr>
      <w:tr w:rsidR="004630BA" w:rsidRPr="004630BA" w14:paraId="3674F529" w14:textId="77777777" w:rsidTr="006125E9">
        <w:trPr>
          <w:trHeight w:val="200"/>
        </w:trPr>
        <w:tc>
          <w:tcPr>
            <w:tcW w:w="1127" w:type="dxa"/>
            <w:tcBorders>
              <w:top w:val="none" w:sz="6" w:space="0" w:color="auto"/>
              <w:left w:val="none" w:sz="6" w:space="0" w:color="auto"/>
              <w:bottom w:val="none" w:sz="6" w:space="0" w:color="auto"/>
              <w:right w:val="none" w:sz="6" w:space="0" w:color="auto"/>
            </w:tcBorders>
          </w:tcPr>
          <w:p w14:paraId="4875C3FD" w14:textId="77777777" w:rsidR="004630BA" w:rsidRPr="001A6EF1" w:rsidRDefault="004630BA" w:rsidP="004630BA">
            <w:pPr>
              <w:widowControl/>
              <w:kinsoku w:val="0"/>
              <w:overflowPunct w:val="0"/>
              <w:autoSpaceDE w:val="0"/>
              <w:autoSpaceDN w:val="0"/>
              <w:adjustRightInd w:val="0"/>
              <w:spacing w:before="0" w:after="0" w:line="180" w:lineRule="exact"/>
              <w:ind w:left="90"/>
              <w:rPr>
                <w:rFonts w:eastAsia="Calibri"/>
                <w:color w:val="231F20"/>
                <w:sz w:val="17"/>
                <w:szCs w:val="17"/>
              </w:rPr>
            </w:pPr>
            <w:r w:rsidRPr="001A6EF1">
              <w:rPr>
                <w:rFonts w:eastAsia="Calibri"/>
                <w:color w:val="231F20"/>
                <w:sz w:val="17"/>
                <w:szCs w:val="17"/>
              </w:rPr>
              <w:t>0.001</w:t>
            </w:r>
          </w:p>
        </w:tc>
        <w:tc>
          <w:tcPr>
            <w:tcW w:w="2833" w:type="dxa"/>
            <w:tcBorders>
              <w:top w:val="none" w:sz="6" w:space="0" w:color="auto"/>
              <w:left w:val="none" w:sz="6" w:space="0" w:color="auto"/>
              <w:bottom w:val="none" w:sz="6" w:space="0" w:color="auto"/>
              <w:right w:val="none" w:sz="6" w:space="0" w:color="auto"/>
            </w:tcBorders>
          </w:tcPr>
          <w:p w14:paraId="68ECA34A" w14:textId="77777777" w:rsidR="004630BA" w:rsidRPr="001A6EF1" w:rsidRDefault="004630BA" w:rsidP="004630BA">
            <w:pPr>
              <w:widowControl/>
              <w:kinsoku w:val="0"/>
              <w:overflowPunct w:val="0"/>
              <w:autoSpaceDE w:val="0"/>
              <w:autoSpaceDN w:val="0"/>
              <w:adjustRightInd w:val="0"/>
              <w:spacing w:before="0" w:after="0" w:line="180" w:lineRule="exact"/>
              <w:ind w:left="90" w:right="252"/>
              <w:jc w:val="center"/>
              <w:rPr>
                <w:rFonts w:eastAsia="Calibri"/>
                <w:color w:val="231F20"/>
                <w:sz w:val="17"/>
                <w:szCs w:val="17"/>
              </w:rPr>
            </w:pPr>
            <w:r w:rsidRPr="001A6EF1">
              <w:rPr>
                <w:rFonts w:eastAsia="Calibri"/>
                <w:color w:val="231F20"/>
                <w:sz w:val="17"/>
                <w:szCs w:val="17"/>
              </w:rPr>
              <w:t>146.9</w:t>
            </w:r>
          </w:p>
        </w:tc>
        <w:tc>
          <w:tcPr>
            <w:tcW w:w="2359" w:type="dxa"/>
            <w:tcBorders>
              <w:top w:val="none" w:sz="6" w:space="0" w:color="auto"/>
              <w:left w:val="none" w:sz="6" w:space="0" w:color="auto"/>
              <w:bottom w:val="none" w:sz="6" w:space="0" w:color="auto"/>
              <w:right w:val="none" w:sz="6" w:space="0" w:color="auto"/>
            </w:tcBorders>
          </w:tcPr>
          <w:p w14:paraId="59413AAD" w14:textId="77777777" w:rsidR="004630BA" w:rsidRPr="001A6EF1" w:rsidRDefault="004630BA" w:rsidP="004630BA">
            <w:pPr>
              <w:widowControl/>
              <w:kinsoku w:val="0"/>
              <w:overflowPunct w:val="0"/>
              <w:autoSpaceDE w:val="0"/>
              <w:autoSpaceDN w:val="0"/>
              <w:adjustRightInd w:val="0"/>
              <w:spacing w:before="0" w:after="0" w:line="180" w:lineRule="exact"/>
              <w:ind w:left="90"/>
              <w:rPr>
                <w:rFonts w:eastAsia="Calibri"/>
                <w:color w:val="231F20"/>
                <w:sz w:val="17"/>
                <w:szCs w:val="17"/>
              </w:rPr>
            </w:pPr>
            <w:r w:rsidRPr="001A6EF1">
              <w:rPr>
                <w:rFonts w:eastAsia="Calibri"/>
                <w:color w:val="231F20"/>
                <w:sz w:val="17"/>
                <w:szCs w:val="17"/>
              </w:rPr>
              <w:t>146.9</w:t>
            </w:r>
          </w:p>
        </w:tc>
      </w:tr>
      <w:tr w:rsidR="004630BA" w:rsidRPr="004630BA" w14:paraId="5DA7B69A" w14:textId="77777777" w:rsidTr="006125E9">
        <w:trPr>
          <w:trHeight w:val="200"/>
        </w:trPr>
        <w:tc>
          <w:tcPr>
            <w:tcW w:w="1127" w:type="dxa"/>
            <w:tcBorders>
              <w:top w:val="none" w:sz="6" w:space="0" w:color="auto"/>
              <w:left w:val="none" w:sz="6" w:space="0" w:color="auto"/>
              <w:bottom w:val="none" w:sz="6" w:space="0" w:color="auto"/>
              <w:right w:val="none" w:sz="6" w:space="0" w:color="auto"/>
            </w:tcBorders>
          </w:tcPr>
          <w:p w14:paraId="3FEDF877" w14:textId="77777777" w:rsidR="004630BA" w:rsidRPr="001A6EF1" w:rsidRDefault="004630BA" w:rsidP="004630BA">
            <w:pPr>
              <w:widowControl/>
              <w:kinsoku w:val="0"/>
              <w:overflowPunct w:val="0"/>
              <w:autoSpaceDE w:val="0"/>
              <w:autoSpaceDN w:val="0"/>
              <w:adjustRightInd w:val="0"/>
              <w:spacing w:before="0" w:after="0" w:line="180" w:lineRule="exact"/>
              <w:ind w:left="90"/>
              <w:rPr>
                <w:rFonts w:eastAsia="Calibri"/>
                <w:color w:val="231F20"/>
                <w:sz w:val="17"/>
                <w:szCs w:val="17"/>
              </w:rPr>
            </w:pPr>
            <w:r w:rsidRPr="001A6EF1">
              <w:rPr>
                <w:rFonts w:eastAsia="Calibri"/>
                <w:color w:val="231F20"/>
                <w:sz w:val="17"/>
                <w:szCs w:val="17"/>
              </w:rPr>
              <w:t>0.005</w:t>
            </w:r>
          </w:p>
        </w:tc>
        <w:tc>
          <w:tcPr>
            <w:tcW w:w="2833" w:type="dxa"/>
            <w:tcBorders>
              <w:top w:val="none" w:sz="6" w:space="0" w:color="auto"/>
              <w:left w:val="none" w:sz="6" w:space="0" w:color="auto"/>
              <w:bottom w:val="none" w:sz="6" w:space="0" w:color="auto"/>
              <w:right w:val="none" w:sz="6" w:space="0" w:color="auto"/>
            </w:tcBorders>
          </w:tcPr>
          <w:p w14:paraId="2761CD84" w14:textId="77777777" w:rsidR="004630BA" w:rsidRPr="001A6EF1" w:rsidRDefault="004630BA" w:rsidP="004630BA">
            <w:pPr>
              <w:widowControl/>
              <w:kinsoku w:val="0"/>
              <w:overflowPunct w:val="0"/>
              <w:autoSpaceDE w:val="0"/>
              <w:autoSpaceDN w:val="0"/>
              <w:adjustRightInd w:val="0"/>
              <w:spacing w:before="0" w:after="0" w:line="180" w:lineRule="exact"/>
              <w:ind w:left="90" w:right="252"/>
              <w:jc w:val="center"/>
              <w:rPr>
                <w:rFonts w:eastAsia="Calibri"/>
                <w:color w:val="231F20"/>
                <w:sz w:val="17"/>
                <w:szCs w:val="17"/>
              </w:rPr>
            </w:pPr>
            <w:r w:rsidRPr="001A6EF1">
              <w:rPr>
                <w:rFonts w:eastAsia="Calibri"/>
                <w:color w:val="231F20"/>
                <w:sz w:val="17"/>
                <w:szCs w:val="17"/>
              </w:rPr>
              <w:t>143.6</w:t>
            </w:r>
          </w:p>
        </w:tc>
        <w:tc>
          <w:tcPr>
            <w:tcW w:w="2359" w:type="dxa"/>
            <w:tcBorders>
              <w:top w:val="none" w:sz="6" w:space="0" w:color="auto"/>
              <w:left w:val="none" w:sz="6" w:space="0" w:color="auto"/>
              <w:bottom w:val="none" w:sz="6" w:space="0" w:color="auto"/>
              <w:right w:val="none" w:sz="6" w:space="0" w:color="auto"/>
            </w:tcBorders>
          </w:tcPr>
          <w:p w14:paraId="6E160416" w14:textId="77777777" w:rsidR="004630BA" w:rsidRPr="001A6EF1" w:rsidRDefault="004630BA" w:rsidP="004630BA">
            <w:pPr>
              <w:widowControl/>
              <w:kinsoku w:val="0"/>
              <w:overflowPunct w:val="0"/>
              <w:autoSpaceDE w:val="0"/>
              <w:autoSpaceDN w:val="0"/>
              <w:adjustRightInd w:val="0"/>
              <w:spacing w:before="0" w:after="0" w:line="180" w:lineRule="exact"/>
              <w:ind w:left="90"/>
              <w:rPr>
                <w:rFonts w:eastAsia="Calibri"/>
                <w:color w:val="231F20"/>
                <w:sz w:val="17"/>
                <w:szCs w:val="17"/>
              </w:rPr>
            </w:pPr>
            <w:r w:rsidRPr="001A6EF1">
              <w:rPr>
                <w:rFonts w:eastAsia="Calibri"/>
                <w:color w:val="231F20"/>
                <w:sz w:val="17"/>
                <w:szCs w:val="17"/>
              </w:rPr>
              <w:t>717.5</w:t>
            </w:r>
          </w:p>
        </w:tc>
      </w:tr>
      <w:tr w:rsidR="004630BA" w:rsidRPr="004630BA" w14:paraId="16BCF691" w14:textId="77777777" w:rsidTr="006125E9">
        <w:trPr>
          <w:trHeight w:val="200"/>
        </w:trPr>
        <w:tc>
          <w:tcPr>
            <w:tcW w:w="1127" w:type="dxa"/>
            <w:tcBorders>
              <w:top w:val="none" w:sz="6" w:space="0" w:color="auto"/>
              <w:left w:val="none" w:sz="6" w:space="0" w:color="auto"/>
              <w:bottom w:val="none" w:sz="6" w:space="0" w:color="auto"/>
              <w:right w:val="none" w:sz="6" w:space="0" w:color="auto"/>
            </w:tcBorders>
          </w:tcPr>
          <w:p w14:paraId="06152078" w14:textId="77777777" w:rsidR="004630BA" w:rsidRPr="001A6EF1" w:rsidRDefault="004630BA" w:rsidP="004630BA">
            <w:pPr>
              <w:widowControl/>
              <w:kinsoku w:val="0"/>
              <w:overflowPunct w:val="0"/>
              <w:autoSpaceDE w:val="0"/>
              <w:autoSpaceDN w:val="0"/>
              <w:adjustRightInd w:val="0"/>
              <w:spacing w:before="0" w:after="0" w:line="180" w:lineRule="exact"/>
              <w:ind w:left="90"/>
              <w:rPr>
                <w:rFonts w:eastAsia="Calibri"/>
                <w:color w:val="231F20"/>
                <w:sz w:val="17"/>
                <w:szCs w:val="17"/>
              </w:rPr>
            </w:pPr>
            <w:r w:rsidRPr="001A6EF1">
              <w:rPr>
                <w:rFonts w:eastAsia="Calibri"/>
                <w:color w:val="231F20"/>
                <w:sz w:val="17"/>
                <w:szCs w:val="17"/>
              </w:rPr>
              <w:t>0.01</w:t>
            </w:r>
          </w:p>
        </w:tc>
        <w:tc>
          <w:tcPr>
            <w:tcW w:w="2833" w:type="dxa"/>
            <w:tcBorders>
              <w:top w:val="none" w:sz="6" w:space="0" w:color="auto"/>
              <w:left w:val="none" w:sz="6" w:space="0" w:color="auto"/>
              <w:bottom w:val="none" w:sz="6" w:space="0" w:color="auto"/>
              <w:right w:val="none" w:sz="6" w:space="0" w:color="auto"/>
            </w:tcBorders>
          </w:tcPr>
          <w:p w14:paraId="738B4BFF" w14:textId="77777777" w:rsidR="004630BA" w:rsidRPr="001A6EF1" w:rsidRDefault="004630BA" w:rsidP="004630BA">
            <w:pPr>
              <w:widowControl/>
              <w:kinsoku w:val="0"/>
              <w:overflowPunct w:val="0"/>
              <w:autoSpaceDE w:val="0"/>
              <w:autoSpaceDN w:val="0"/>
              <w:adjustRightInd w:val="0"/>
              <w:spacing w:before="0" w:after="0" w:line="180" w:lineRule="exact"/>
              <w:ind w:left="90" w:right="252"/>
              <w:jc w:val="center"/>
              <w:rPr>
                <w:rFonts w:eastAsia="Calibri"/>
                <w:color w:val="231F20"/>
                <w:sz w:val="17"/>
                <w:szCs w:val="17"/>
              </w:rPr>
            </w:pPr>
            <w:r w:rsidRPr="001A6EF1">
              <w:rPr>
                <w:rFonts w:eastAsia="Calibri"/>
                <w:color w:val="231F20"/>
                <w:sz w:val="17"/>
                <w:szCs w:val="17"/>
              </w:rPr>
              <w:t>141.2</w:t>
            </w:r>
          </w:p>
        </w:tc>
        <w:tc>
          <w:tcPr>
            <w:tcW w:w="2359" w:type="dxa"/>
            <w:tcBorders>
              <w:top w:val="none" w:sz="6" w:space="0" w:color="auto"/>
              <w:left w:val="none" w:sz="6" w:space="0" w:color="auto"/>
              <w:bottom w:val="none" w:sz="6" w:space="0" w:color="auto"/>
              <w:right w:val="none" w:sz="6" w:space="0" w:color="auto"/>
            </w:tcBorders>
          </w:tcPr>
          <w:p w14:paraId="41EF5C83" w14:textId="77777777" w:rsidR="004630BA" w:rsidRPr="001A6EF1" w:rsidRDefault="004630BA" w:rsidP="004630BA">
            <w:pPr>
              <w:widowControl/>
              <w:kinsoku w:val="0"/>
              <w:overflowPunct w:val="0"/>
              <w:autoSpaceDE w:val="0"/>
              <w:autoSpaceDN w:val="0"/>
              <w:adjustRightInd w:val="0"/>
              <w:spacing w:before="0" w:after="0" w:line="180" w:lineRule="exact"/>
              <w:ind w:left="90"/>
              <w:rPr>
                <w:rFonts w:eastAsia="Calibri"/>
                <w:color w:val="231F20"/>
                <w:sz w:val="17"/>
                <w:szCs w:val="17"/>
              </w:rPr>
            </w:pPr>
            <w:r w:rsidRPr="001A6EF1">
              <w:rPr>
                <w:rFonts w:eastAsia="Calibri"/>
                <w:color w:val="231F20"/>
                <w:sz w:val="17"/>
                <w:szCs w:val="17"/>
              </w:rPr>
              <w:t>1 412</w:t>
            </w:r>
          </w:p>
        </w:tc>
      </w:tr>
      <w:tr w:rsidR="004630BA" w:rsidRPr="004630BA" w14:paraId="61547230" w14:textId="77777777" w:rsidTr="006125E9">
        <w:trPr>
          <w:trHeight w:val="200"/>
        </w:trPr>
        <w:tc>
          <w:tcPr>
            <w:tcW w:w="1127" w:type="dxa"/>
            <w:tcBorders>
              <w:top w:val="none" w:sz="6" w:space="0" w:color="auto"/>
              <w:left w:val="none" w:sz="6" w:space="0" w:color="auto"/>
              <w:bottom w:val="none" w:sz="6" w:space="0" w:color="auto"/>
              <w:right w:val="none" w:sz="6" w:space="0" w:color="auto"/>
            </w:tcBorders>
          </w:tcPr>
          <w:p w14:paraId="6A4BDE82" w14:textId="77777777" w:rsidR="004630BA" w:rsidRPr="001A6EF1" w:rsidRDefault="004630BA" w:rsidP="004630BA">
            <w:pPr>
              <w:widowControl/>
              <w:kinsoku w:val="0"/>
              <w:overflowPunct w:val="0"/>
              <w:autoSpaceDE w:val="0"/>
              <w:autoSpaceDN w:val="0"/>
              <w:adjustRightInd w:val="0"/>
              <w:spacing w:before="0" w:after="0" w:line="180" w:lineRule="exact"/>
              <w:ind w:left="90"/>
              <w:rPr>
                <w:rFonts w:eastAsia="Calibri"/>
                <w:color w:val="231F20"/>
                <w:sz w:val="17"/>
                <w:szCs w:val="17"/>
              </w:rPr>
            </w:pPr>
            <w:r w:rsidRPr="001A6EF1">
              <w:rPr>
                <w:rFonts w:eastAsia="Calibri"/>
                <w:color w:val="231F20"/>
                <w:sz w:val="17"/>
                <w:szCs w:val="17"/>
              </w:rPr>
              <w:t>0.02</w:t>
            </w:r>
          </w:p>
        </w:tc>
        <w:tc>
          <w:tcPr>
            <w:tcW w:w="2833" w:type="dxa"/>
            <w:tcBorders>
              <w:top w:val="none" w:sz="6" w:space="0" w:color="auto"/>
              <w:left w:val="none" w:sz="6" w:space="0" w:color="auto"/>
              <w:bottom w:val="none" w:sz="6" w:space="0" w:color="auto"/>
              <w:right w:val="none" w:sz="6" w:space="0" w:color="auto"/>
            </w:tcBorders>
          </w:tcPr>
          <w:p w14:paraId="7BA40627" w14:textId="77777777" w:rsidR="004630BA" w:rsidRPr="001A6EF1" w:rsidRDefault="004630BA" w:rsidP="004630BA">
            <w:pPr>
              <w:widowControl/>
              <w:kinsoku w:val="0"/>
              <w:overflowPunct w:val="0"/>
              <w:autoSpaceDE w:val="0"/>
              <w:autoSpaceDN w:val="0"/>
              <w:adjustRightInd w:val="0"/>
              <w:spacing w:before="0" w:after="0" w:line="180" w:lineRule="exact"/>
              <w:ind w:left="90" w:right="252"/>
              <w:jc w:val="center"/>
              <w:rPr>
                <w:rFonts w:eastAsia="Calibri"/>
                <w:color w:val="231F20"/>
                <w:sz w:val="17"/>
                <w:szCs w:val="17"/>
              </w:rPr>
            </w:pPr>
            <w:r w:rsidRPr="001A6EF1">
              <w:rPr>
                <w:rFonts w:eastAsia="Calibri"/>
                <w:color w:val="231F20"/>
                <w:sz w:val="17"/>
                <w:szCs w:val="17"/>
              </w:rPr>
              <w:t>138.2</w:t>
            </w:r>
          </w:p>
        </w:tc>
        <w:tc>
          <w:tcPr>
            <w:tcW w:w="2359" w:type="dxa"/>
            <w:tcBorders>
              <w:top w:val="none" w:sz="6" w:space="0" w:color="auto"/>
              <w:left w:val="none" w:sz="6" w:space="0" w:color="auto"/>
              <w:bottom w:val="none" w:sz="6" w:space="0" w:color="auto"/>
              <w:right w:val="none" w:sz="6" w:space="0" w:color="auto"/>
            </w:tcBorders>
          </w:tcPr>
          <w:p w14:paraId="5E8CF9B5" w14:textId="77777777" w:rsidR="004630BA" w:rsidRPr="001A6EF1" w:rsidRDefault="004630BA" w:rsidP="004630BA">
            <w:pPr>
              <w:widowControl/>
              <w:kinsoku w:val="0"/>
              <w:overflowPunct w:val="0"/>
              <w:autoSpaceDE w:val="0"/>
              <w:autoSpaceDN w:val="0"/>
              <w:adjustRightInd w:val="0"/>
              <w:spacing w:before="0" w:after="0" w:line="180" w:lineRule="exact"/>
              <w:ind w:left="90"/>
              <w:rPr>
                <w:rFonts w:eastAsia="Calibri"/>
                <w:color w:val="231F20"/>
                <w:sz w:val="17"/>
                <w:szCs w:val="17"/>
              </w:rPr>
            </w:pPr>
            <w:r w:rsidRPr="001A6EF1">
              <w:rPr>
                <w:rFonts w:eastAsia="Calibri"/>
                <w:color w:val="231F20"/>
                <w:sz w:val="17"/>
                <w:szCs w:val="17"/>
              </w:rPr>
              <w:t>2 765</w:t>
            </w:r>
          </w:p>
        </w:tc>
      </w:tr>
      <w:tr w:rsidR="004630BA" w:rsidRPr="004630BA" w14:paraId="2BED0260" w14:textId="77777777" w:rsidTr="006125E9">
        <w:trPr>
          <w:trHeight w:val="200"/>
        </w:trPr>
        <w:tc>
          <w:tcPr>
            <w:tcW w:w="1127" w:type="dxa"/>
            <w:tcBorders>
              <w:top w:val="none" w:sz="6" w:space="0" w:color="auto"/>
              <w:left w:val="none" w:sz="6" w:space="0" w:color="auto"/>
              <w:bottom w:val="none" w:sz="6" w:space="0" w:color="auto"/>
              <w:right w:val="none" w:sz="6" w:space="0" w:color="auto"/>
            </w:tcBorders>
          </w:tcPr>
          <w:p w14:paraId="7FAD88AE" w14:textId="77777777" w:rsidR="004630BA" w:rsidRPr="001A6EF1" w:rsidRDefault="004630BA" w:rsidP="004630BA">
            <w:pPr>
              <w:widowControl/>
              <w:kinsoku w:val="0"/>
              <w:overflowPunct w:val="0"/>
              <w:autoSpaceDE w:val="0"/>
              <w:autoSpaceDN w:val="0"/>
              <w:adjustRightInd w:val="0"/>
              <w:spacing w:before="0" w:after="0" w:line="180" w:lineRule="exact"/>
              <w:ind w:left="90"/>
              <w:rPr>
                <w:rFonts w:eastAsia="Calibri"/>
                <w:color w:val="231F20"/>
                <w:sz w:val="17"/>
                <w:szCs w:val="17"/>
              </w:rPr>
            </w:pPr>
            <w:r w:rsidRPr="001A6EF1">
              <w:rPr>
                <w:rFonts w:eastAsia="Calibri"/>
                <w:color w:val="231F20"/>
                <w:sz w:val="17"/>
                <w:szCs w:val="17"/>
              </w:rPr>
              <w:t>0.05</w:t>
            </w:r>
          </w:p>
        </w:tc>
        <w:tc>
          <w:tcPr>
            <w:tcW w:w="2833" w:type="dxa"/>
            <w:tcBorders>
              <w:top w:val="none" w:sz="6" w:space="0" w:color="auto"/>
              <w:left w:val="none" w:sz="6" w:space="0" w:color="auto"/>
              <w:bottom w:val="none" w:sz="6" w:space="0" w:color="auto"/>
              <w:right w:val="none" w:sz="6" w:space="0" w:color="auto"/>
            </w:tcBorders>
          </w:tcPr>
          <w:p w14:paraId="3F6174F8" w14:textId="77777777" w:rsidR="004630BA" w:rsidRPr="001A6EF1" w:rsidRDefault="004630BA" w:rsidP="004630BA">
            <w:pPr>
              <w:widowControl/>
              <w:kinsoku w:val="0"/>
              <w:overflowPunct w:val="0"/>
              <w:autoSpaceDE w:val="0"/>
              <w:autoSpaceDN w:val="0"/>
              <w:adjustRightInd w:val="0"/>
              <w:spacing w:before="0" w:after="0" w:line="180" w:lineRule="exact"/>
              <w:ind w:left="90" w:right="252"/>
              <w:jc w:val="center"/>
              <w:rPr>
                <w:rFonts w:eastAsia="Calibri"/>
                <w:color w:val="231F20"/>
                <w:sz w:val="17"/>
                <w:szCs w:val="17"/>
              </w:rPr>
            </w:pPr>
            <w:r w:rsidRPr="001A6EF1">
              <w:rPr>
                <w:rFonts w:eastAsia="Calibri"/>
                <w:color w:val="231F20"/>
                <w:sz w:val="17"/>
                <w:szCs w:val="17"/>
              </w:rPr>
              <w:t>133.3</w:t>
            </w:r>
          </w:p>
        </w:tc>
        <w:tc>
          <w:tcPr>
            <w:tcW w:w="2359" w:type="dxa"/>
            <w:tcBorders>
              <w:top w:val="none" w:sz="6" w:space="0" w:color="auto"/>
              <w:left w:val="none" w:sz="6" w:space="0" w:color="auto"/>
              <w:bottom w:val="none" w:sz="6" w:space="0" w:color="auto"/>
              <w:right w:val="none" w:sz="6" w:space="0" w:color="auto"/>
            </w:tcBorders>
          </w:tcPr>
          <w:p w14:paraId="18D12E61" w14:textId="77777777" w:rsidR="004630BA" w:rsidRPr="001A6EF1" w:rsidRDefault="004630BA" w:rsidP="004630BA">
            <w:pPr>
              <w:widowControl/>
              <w:kinsoku w:val="0"/>
              <w:overflowPunct w:val="0"/>
              <w:autoSpaceDE w:val="0"/>
              <w:autoSpaceDN w:val="0"/>
              <w:adjustRightInd w:val="0"/>
              <w:spacing w:before="0" w:after="0" w:line="180" w:lineRule="exact"/>
              <w:ind w:left="90"/>
              <w:rPr>
                <w:rFonts w:eastAsia="Calibri"/>
                <w:color w:val="231F20"/>
                <w:sz w:val="17"/>
                <w:szCs w:val="17"/>
              </w:rPr>
            </w:pPr>
            <w:r w:rsidRPr="001A6EF1">
              <w:rPr>
                <w:rFonts w:eastAsia="Calibri"/>
                <w:color w:val="231F20"/>
                <w:sz w:val="17"/>
                <w:szCs w:val="17"/>
              </w:rPr>
              <w:t>6 667</w:t>
            </w:r>
          </w:p>
        </w:tc>
      </w:tr>
      <w:tr w:rsidR="004630BA" w:rsidRPr="004630BA" w14:paraId="161DEB4C" w14:textId="77777777" w:rsidTr="006125E9">
        <w:trPr>
          <w:trHeight w:val="200"/>
        </w:trPr>
        <w:tc>
          <w:tcPr>
            <w:tcW w:w="1127" w:type="dxa"/>
            <w:tcBorders>
              <w:top w:val="none" w:sz="6" w:space="0" w:color="auto"/>
              <w:left w:val="none" w:sz="6" w:space="0" w:color="auto"/>
              <w:bottom w:val="none" w:sz="6" w:space="0" w:color="auto"/>
              <w:right w:val="none" w:sz="6" w:space="0" w:color="auto"/>
            </w:tcBorders>
          </w:tcPr>
          <w:p w14:paraId="3E80ED20" w14:textId="77777777" w:rsidR="004630BA" w:rsidRPr="001A6EF1" w:rsidRDefault="004630BA" w:rsidP="004630BA">
            <w:pPr>
              <w:widowControl/>
              <w:kinsoku w:val="0"/>
              <w:overflowPunct w:val="0"/>
              <w:autoSpaceDE w:val="0"/>
              <w:autoSpaceDN w:val="0"/>
              <w:adjustRightInd w:val="0"/>
              <w:spacing w:before="0" w:after="0" w:line="180" w:lineRule="exact"/>
              <w:ind w:left="90"/>
              <w:rPr>
                <w:rFonts w:eastAsia="Calibri"/>
                <w:color w:val="231F20"/>
                <w:sz w:val="17"/>
                <w:szCs w:val="17"/>
              </w:rPr>
            </w:pPr>
            <w:r w:rsidRPr="001A6EF1">
              <w:rPr>
                <w:rFonts w:eastAsia="Calibri"/>
                <w:color w:val="231F20"/>
                <w:sz w:val="17"/>
                <w:szCs w:val="17"/>
              </w:rPr>
              <w:t>0.1</w:t>
            </w:r>
          </w:p>
        </w:tc>
        <w:tc>
          <w:tcPr>
            <w:tcW w:w="2833" w:type="dxa"/>
            <w:tcBorders>
              <w:top w:val="none" w:sz="6" w:space="0" w:color="auto"/>
              <w:left w:val="none" w:sz="6" w:space="0" w:color="auto"/>
              <w:bottom w:val="none" w:sz="6" w:space="0" w:color="auto"/>
              <w:right w:val="none" w:sz="6" w:space="0" w:color="auto"/>
            </w:tcBorders>
          </w:tcPr>
          <w:p w14:paraId="7315ACB4" w14:textId="77777777" w:rsidR="004630BA" w:rsidRPr="001A6EF1" w:rsidRDefault="004630BA" w:rsidP="004630BA">
            <w:pPr>
              <w:widowControl/>
              <w:kinsoku w:val="0"/>
              <w:overflowPunct w:val="0"/>
              <w:autoSpaceDE w:val="0"/>
              <w:autoSpaceDN w:val="0"/>
              <w:adjustRightInd w:val="0"/>
              <w:spacing w:before="0" w:after="0" w:line="180" w:lineRule="exact"/>
              <w:ind w:left="90" w:right="252"/>
              <w:jc w:val="center"/>
              <w:rPr>
                <w:rFonts w:eastAsia="Calibri"/>
                <w:color w:val="231F20"/>
                <w:sz w:val="17"/>
                <w:szCs w:val="17"/>
              </w:rPr>
            </w:pPr>
            <w:r w:rsidRPr="001A6EF1">
              <w:rPr>
                <w:rFonts w:eastAsia="Calibri"/>
                <w:color w:val="231F20"/>
                <w:sz w:val="17"/>
                <w:szCs w:val="17"/>
              </w:rPr>
              <w:t>128.9</w:t>
            </w:r>
          </w:p>
        </w:tc>
        <w:tc>
          <w:tcPr>
            <w:tcW w:w="2359" w:type="dxa"/>
            <w:tcBorders>
              <w:top w:val="none" w:sz="6" w:space="0" w:color="auto"/>
              <w:left w:val="none" w:sz="6" w:space="0" w:color="auto"/>
              <w:bottom w:val="none" w:sz="6" w:space="0" w:color="auto"/>
              <w:right w:val="none" w:sz="6" w:space="0" w:color="auto"/>
            </w:tcBorders>
          </w:tcPr>
          <w:p w14:paraId="218F6B8E" w14:textId="77777777" w:rsidR="004630BA" w:rsidRPr="001A6EF1" w:rsidRDefault="004630BA" w:rsidP="004630BA">
            <w:pPr>
              <w:widowControl/>
              <w:kinsoku w:val="0"/>
              <w:overflowPunct w:val="0"/>
              <w:autoSpaceDE w:val="0"/>
              <w:autoSpaceDN w:val="0"/>
              <w:adjustRightInd w:val="0"/>
              <w:spacing w:before="0" w:after="0" w:line="180" w:lineRule="exact"/>
              <w:ind w:left="90"/>
              <w:rPr>
                <w:rFonts w:eastAsia="Calibri"/>
                <w:color w:val="231F20"/>
                <w:sz w:val="17"/>
                <w:szCs w:val="17"/>
              </w:rPr>
            </w:pPr>
            <w:r w:rsidRPr="001A6EF1">
              <w:rPr>
                <w:rFonts w:eastAsia="Calibri"/>
                <w:color w:val="231F20"/>
                <w:sz w:val="17"/>
                <w:szCs w:val="17"/>
              </w:rPr>
              <w:t>12 890</w:t>
            </w:r>
          </w:p>
        </w:tc>
      </w:tr>
      <w:tr w:rsidR="004630BA" w:rsidRPr="004630BA" w14:paraId="6FF144A0" w14:textId="77777777" w:rsidTr="006125E9">
        <w:trPr>
          <w:trHeight w:val="200"/>
        </w:trPr>
        <w:tc>
          <w:tcPr>
            <w:tcW w:w="1127" w:type="dxa"/>
            <w:tcBorders>
              <w:top w:val="none" w:sz="6" w:space="0" w:color="auto"/>
              <w:left w:val="none" w:sz="6" w:space="0" w:color="auto"/>
              <w:bottom w:val="none" w:sz="6" w:space="0" w:color="auto"/>
              <w:right w:val="none" w:sz="6" w:space="0" w:color="auto"/>
            </w:tcBorders>
          </w:tcPr>
          <w:p w14:paraId="14D88BBE" w14:textId="77777777" w:rsidR="004630BA" w:rsidRPr="001A6EF1" w:rsidRDefault="004630BA" w:rsidP="004630BA">
            <w:pPr>
              <w:widowControl/>
              <w:kinsoku w:val="0"/>
              <w:overflowPunct w:val="0"/>
              <w:autoSpaceDE w:val="0"/>
              <w:autoSpaceDN w:val="0"/>
              <w:adjustRightInd w:val="0"/>
              <w:spacing w:before="0" w:after="0" w:line="180" w:lineRule="exact"/>
              <w:ind w:left="90"/>
              <w:rPr>
                <w:rFonts w:eastAsia="Calibri"/>
                <w:color w:val="231F20"/>
                <w:sz w:val="17"/>
                <w:szCs w:val="17"/>
              </w:rPr>
            </w:pPr>
            <w:r w:rsidRPr="001A6EF1">
              <w:rPr>
                <w:rFonts w:eastAsia="Calibri"/>
                <w:color w:val="231F20"/>
                <w:sz w:val="17"/>
                <w:szCs w:val="17"/>
              </w:rPr>
              <w:t>0.2</w:t>
            </w:r>
          </w:p>
        </w:tc>
        <w:tc>
          <w:tcPr>
            <w:tcW w:w="2833" w:type="dxa"/>
            <w:tcBorders>
              <w:top w:val="none" w:sz="6" w:space="0" w:color="auto"/>
              <w:left w:val="none" w:sz="6" w:space="0" w:color="auto"/>
              <w:bottom w:val="none" w:sz="6" w:space="0" w:color="auto"/>
              <w:right w:val="none" w:sz="6" w:space="0" w:color="auto"/>
            </w:tcBorders>
          </w:tcPr>
          <w:p w14:paraId="5275B64A" w14:textId="77777777" w:rsidR="004630BA" w:rsidRPr="001A6EF1" w:rsidRDefault="004630BA" w:rsidP="004630BA">
            <w:pPr>
              <w:widowControl/>
              <w:kinsoku w:val="0"/>
              <w:overflowPunct w:val="0"/>
              <w:autoSpaceDE w:val="0"/>
              <w:autoSpaceDN w:val="0"/>
              <w:adjustRightInd w:val="0"/>
              <w:spacing w:before="0" w:after="0" w:line="180" w:lineRule="exact"/>
              <w:ind w:left="90" w:right="252"/>
              <w:jc w:val="center"/>
              <w:rPr>
                <w:rFonts w:eastAsia="Calibri"/>
                <w:color w:val="231F20"/>
                <w:sz w:val="17"/>
                <w:szCs w:val="17"/>
              </w:rPr>
            </w:pPr>
            <w:r w:rsidRPr="001A6EF1">
              <w:rPr>
                <w:rFonts w:eastAsia="Calibri"/>
                <w:color w:val="231F20"/>
                <w:sz w:val="17"/>
                <w:szCs w:val="17"/>
              </w:rPr>
              <w:t>124.0</w:t>
            </w:r>
          </w:p>
        </w:tc>
        <w:tc>
          <w:tcPr>
            <w:tcW w:w="2359" w:type="dxa"/>
            <w:tcBorders>
              <w:top w:val="none" w:sz="6" w:space="0" w:color="auto"/>
              <w:left w:val="none" w:sz="6" w:space="0" w:color="auto"/>
              <w:bottom w:val="none" w:sz="6" w:space="0" w:color="auto"/>
              <w:right w:val="none" w:sz="6" w:space="0" w:color="auto"/>
            </w:tcBorders>
          </w:tcPr>
          <w:p w14:paraId="08DF0C8D" w14:textId="77777777" w:rsidR="004630BA" w:rsidRPr="001A6EF1" w:rsidRDefault="004630BA" w:rsidP="004630BA">
            <w:pPr>
              <w:widowControl/>
              <w:kinsoku w:val="0"/>
              <w:overflowPunct w:val="0"/>
              <w:autoSpaceDE w:val="0"/>
              <w:autoSpaceDN w:val="0"/>
              <w:adjustRightInd w:val="0"/>
              <w:spacing w:before="0" w:after="0" w:line="180" w:lineRule="exact"/>
              <w:ind w:left="90"/>
              <w:rPr>
                <w:rFonts w:eastAsia="Calibri"/>
                <w:color w:val="231F20"/>
                <w:sz w:val="17"/>
                <w:szCs w:val="17"/>
              </w:rPr>
            </w:pPr>
            <w:r w:rsidRPr="001A6EF1">
              <w:rPr>
                <w:rFonts w:eastAsia="Calibri"/>
                <w:color w:val="231F20"/>
                <w:sz w:val="17"/>
                <w:szCs w:val="17"/>
              </w:rPr>
              <w:t>24 800</w:t>
            </w:r>
          </w:p>
        </w:tc>
      </w:tr>
      <w:tr w:rsidR="004630BA" w:rsidRPr="004630BA" w14:paraId="29D4DDFD" w14:textId="77777777" w:rsidTr="006125E9">
        <w:trPr>
          <w:trHeight w:val="200"/>
        </w:trPr>
        <w:tc>
          <w:tcPr>
            <w:tcW w:w="1127" w:type="dxa"/>
            <w:tcBorders>
              <w:top w:val="none" w:sz="6" w:space="0" w:color="auto"/>
              <w:left w:val="none" w:sz="6" w:space="0" w:color="auto"/>
              <w:bottom w:val="none" w:sz="6" w:space="0" w:color="auto"/>
              <w:right w:val="none" w:sz="6" w:space="0" w:color="auto"/>
            </w:tcBorders>
          </w:tcPr>
          <w:p w14:paraId="15E2B24D" w14:textId="77777777" w:rsidR="004630BA" w:rsidRPr="001A6EF1" w:rsidRDefault="004630BA" w:rsidP="004630BA">
            <w:pPr>
              <w:widowControl/>
              <w:kinsoku w:val="0"/>
              <w:overflowPunct w:val="0"/>
              <w:autoSpaceDE w:val="0"/>
              <w:autoSpaceDN w:val="0"/>
              <w:adjustRightInd w:val="0"/>
              <w:spacing w:before="0" w:after="0" w:line="180" w:lineRule="exact"/>
              <w:ind w:left="90"/>
              <w:rPr>
                <w:rFonts w:eastAsia="Calibri"/>
                <w:color w:val="231F20"/>
                <w:sz w:val="17"/>
                <w:szCs w:val="17"/>
              </w:rPr>
            </w:pPr>
            <w:r w:rsidRPr="001A6EF1">
              <w:rPr>
                <w:rFonts w:eastAsia="Calibri"/>
                <w:color w:val="231F20"/>
                <w:sz w:val="17"/>
                <w:szCs w:val="17"/>
              </w:rPr>
              <w:t>0.5</w:t>
            </w:r>
          </w:p>
        </w:tc>
        <w:tc>
          <w:tcPr>
            <w:tcW w:w="2833" w:type="dxa"/>
            <w:tcBorders>
              <w:top w:val="none" w:sz="6" w:space="0" w:color="auto"/>
              <w:left w:val="none" w:sz="6" w:space="0" w:color="auto"/>
              <w:bottom w:val="none" w:sz="6" w:space="0" w:color="auto"/>
              <w:right w:val="none" w:sz="6" w:space="0" w:color="auto"/>
            </w:tcBorders>
          </w:tcPr>
          <w:p w14:paraId="34DEF756" w14:textId="77777777" w:rsidR="004630BA" w:rsidRPr="001A6EF1" w:rsidRDefault="004630BA" w:rsidP="004630BA">
            <w:pPr>
              <w:widowControl/>
              <w:kinsoku w:val="0"/>
              <w:overflowPunct w:val="0"/>
              <w:autoSpaceDE w:val="0"/>
              <w:autoSpaceDN w:val="0"/>
              <w:adjustRightInd w:val="0"/>
              <w:spacing w:before="0" w:after="0" w:line="180" w:lineRule="exact"/>
              <w:ind w:left="90" w:right="252"/>
              <w:jc w:val="center"/>
              <w:rPr>
                <w:rFonts w:eastAsia="Calibri"/>
                <w:color w:val="231F20"/>
                <w:sz w:val="17"/>
                <w:szCs w:val="17"/>
              </w:rPr>
            </w:pPr>
            <w:r w:rsidRPr="001A6EF1">
              <w:rPr>
                <w:rFonts w:eastAsia="Calibri"/>
                <w:color w:val="231F20"/>
                <w:sz w:val="17"/>
                <w:szCs w:val="17"/>
              </w:rPr>
              <w:t>117.3</w:t>
            </w:r>
          </w:p>
        </w:tc>
        <w:tc>
          <w:tcPr>
            <w:tcW w:w="2359" w:type="dxa"/>
            <w:tcBorders>
              <w:top w:val="none" w:sz="6" w:space="0" w:color="auto"/>
              <w:left w:val="none" w:sz="6" w:space="0" w:color="auto"/>
              <w:bottom w:val="none" w:sz="6" w:space="0" w:color="auto"/>
              <w:right w:val="none" w:sz="6" w:space="0" w:color="auto"/>
            </w:tcBorders>
          </w:tcPr>
          <w:p w14:paraId="68C35D08" w14:textId="77777777" w:rsidR="004630BA" w:rsidRPr="001A6EF1" w:rsidRDefault="004630BA" w:rsidP="004630BA">
            <w:pPr>
              <w:widowControl/>
              <w:kinsoku w:val="0"/>
              <w:overflowPunct w:val="0"/>
              <w:autoSpaceDE w:val="0"/>
              <w:autoSpaceDN w:val="0"/>
              <w:adjustRightInd w:val="0"/>
              <w:spacing w:before="0" w:after="0" w:line="180" w:lineRule="exact"/>
              <w:ind w:left="90"/>
              <w:rPr>
                <w:rFonts w:eastAsia="Calibri"/>
                <w:color w:val="231F20"/>
                <w:sz w:val="17"/>
                <w:szCs w:val="17"/>
              </w:rPr>
            </w:pPr>
            <w:r w:rsidRPr="001A6EF1">
              <w:rPr>
                <w:rFonts w:eastAsia="Calibri"/>
                <w:color w:val="231F20"/>
                <w:sz w:val="17"/>
                <w:szCs w:val="17"/>
              </w:rPr>
              <w:t>58 670</w:t>
            </w:r>
          </w:p>
        </w:tc>
      </w:tr>
      <w:tr w:rsidR="004630BA" w:rsidRPr="004630BA" w14:paraId="41933339" w14:textId="77777777" w:rsidTr="006125E9">
        <w:trPr>
          <w:trHeight w:val="240"/>
        </w:trPr>
        <w:tc>
          <w:tcPr>
            <w:tcW w:w="1127" w:type="dxa"/>
            <w:tcBorders>
              <w:top w:val="none" w:sz="6" w:space="0" w:color="auto"/>
              <w:left w:val="none" w:sz="6" w:space="0" w:color="auto"/>
              <w:bottom w:val="single" w:sz="4" w:space="0" w:color="231F20"/>
              <w:right w:val="none" w:sz="6" w:space="0" w:color="auto"/>
            </w:tcBorders>
          </w:tcPr>
          <w:p w14:paraId="665503D5" w14:textId="77777777" w:rsidR="004630BA" w:rsidRPr="001A6EF1" w:rsidRDefault="004630BA" w:rsidP="004630BA">
            <w:pPr>
              <w:widowControl/>
              <w:kinsoku w:val="0"/>
              <w:overflowPunct w:val="0"/>
              <w:autoSpaceDE w:val="0"/>
              <w:autoSpaceDN w:val="0"/>
              <w:adjustRightInd w:val="0"/>
              <w:spacing w:before="0" w:after="0" w:line="195" w:lineRule="exact"/>
              <w:ind w:left="90"/>
              <w:rPr>
                <w:rFonts w:eastAsia="Calibri"/>
                <w:color w:val="231F20"/>
                <w:sz w:val="17"/>
                <w:szCs w:val="17"/>
              </w:rPr>
            </w:pPr>
            <w:r w:rsidRPr="001A6EF1">
              <w:rPr>
                <w:rFonts w:eastAsia="Calibri"/>
                <w:color w:val="231F20"/>
                <w:sz w:val="17"/>
                <w:szCs w:val="17"/>
              </w:rPr>
              <w:t>1</w:t>
            </w:r>
          </w:p>
        </w:tc>
        <w:tc>
          <w:tcPr>
            <w:tcW w:w="2833" w:type="dxa"/>
            <w:tcBorders>
              <w:top w:val="none" w:sz="6" w:space="0" w:color="auto"/>
              <w:left w:val="none" w:sz="6" w:space="0" w:color="auto"/>
              <w:bottom w:val="single" w:sz="4" w:space="0" w:color="231F20"/>
              <w:right w:val="none" w:sz="6" w:space="0" w:color="auto"/>
            </w:tcBorders>
          </w:tcPr>
          <w:p w14:paraId="6680E2CF" w14:textId="77777777" w:rsidR="004630BA" w:rsidRPr="001A6EF1" w:rsidRDefault="004630BA" w:rsidP="004630BA">
            <w:pPr>
              <w:widowControl/>
              <w:kinsoku w:val="0"/>
              <w:overflowPunct w:val="0"/>
              <w:autoSpaceDE w:val="0"/>
              <w:autoSpaceDN w:val="0"/>
              <w:adjustRightInd w:val="0"/>
              <w:spacing w:before="0" w:after="0" w:line="195" w:lineRule="exact"/>
              <w:ind w:left="90" w:right="252"/>
              <w:jc w:val="center"/>
              <w:rPr>
                <w:rFonts w:eastAsia="Calibri"/>
                <w:color w:val="231F20"/>
                <w:sz w:val="17"/>
                <w:szCs w:val="17"/>
              </w:rPr>
            </w:pPr>
            <w:r w:rsidRPr="001A6EF1">
              <w:rPr>
                <w:rFonts w:eastAsia="Calibri"/>
                <w:color w:val="231F20"/>
                <w:sz w:val="17"/>
                <w:szCs w:val="17"/>
              </w:rPr>
              <w:t>111.9</w:t>
            </w:r>
          </w:p>
        </w:tc>
        <w:tc>
          <w:tcPr>
            <w:tcW w:w="2359" w:type="dxa"/>
            <w:tcBorders>
              <w:top w:val="none" w:sz="6" w:space="0" w:color="auto"/>
              <w:left w:val="none" w:sz="6" w:space="0" w:color="auto"/>
              <w:bottom w:val="single" w:sz="4" w:space="0" w:color="231F20"/>
              <w:right w:val="none" w:sz="6" w:space="0" w:color="auto"/>
            </w:tcBorders>
          </w:tcPr>
          <w:p w14:paraId="798A16A2" w14:textId="77777777" w:rsidR="004630BA" w:rsidRPr="001A6EF1" w:rsidRDefault="004630BA" w:rsidP="004630BA">
            <w:pPr>
              <w:widowControl/>
              <w:kinsoku w:val="0"/>
              <w:overflowPunct w:val="0"/>
              <w:autoSpaceDE w:val="0"/>
              <w:autoSpaceDN w:val="0"/>
              <w:adjustRightInd w:val="0"/>
              <w:spacing w:before="0" w:after="0" w:line="195" w:lineRule="exact"/>
              <w:ind w:left="90"/>
              <w:rPr>
                <w:rFonts w:eastAsia="Calibri"/>
                <w:color w:val="231F20"/>
                <w:sz w:val="17"/>
                <w:szCs w:val="17"/>
              </w:rPr>
            </w:pPr>
            <w:r w:rsidRPr="001A6EF1">
              <w:rPr>
                <w:rFonts w:eastAsia="Calibri"/>
                <w:color w:val="231F20"/>
                <w:sz w:val="17"/>
                <w:szCs w:val="17"/>
              </w:rPr>
              <w:t>111 900</w:t>
            </w:r>
          </w:p>
        </w:tc>
      </w:tr>
    </w:tbl>
    <w:p w14:paraId="4720DA9D" w14:textId="2A638921" w:rsidR="004630BA" w:rsidRPr="001A6EF1" w:rsidRDefault="004630BA" w:rsidP="006125E9">
      <w:pPr>
        <w:widowControl/>
        <w:kinsoku w:val="0"/>
        <w:overflowPunct w:val="0"/>
        <w:autoSpaceDE w:val="0"/>
        <w:autoSpaceDN w:val="0"/>
        <w:adjustRightInd w:val="0"/>
        <w:spacing w:before="66" w:after="0" w:line="218" w:lineRule="auto"/>
        <w:ind w:left="1440" w:right="1620" w:hanging="1"/>
        <w:rPr>
          <w:rFonts w:eastAsia="Calibri"/>
          <w:color w:val="231F20"/>
          <w:sz w:val="15"/>
          <w:szCs w:val="15"/>
        </w:rPr>
      </w:pPr>
      <w:r w:rsidRPr="001A6EF1">
        <w:rPr>
          <w:rFonts w:eastAsia="Calibri"/>
          <w:color w:val="231F20"/>
          <w:sz w:val="15"/>
          <w:szCs w:val="15"/>
        </w:rPr>
        <w:t>* Based on the absolute ohm, the 1968 temperature standard, and the dm</w:t>
      </w:r>
      <w:r w:rsidRPr="001A6EF1">
        <w:rPr>
          <w:rFonts w:eastAsia="Calibri"/>
          <w:color w:val="231F20"/>
          <w:position w:val="6"/>
          <w:sz w:val="9"/>
          <w:szCs w:val="9"/>
        </w:rPr>
        <w:t xml:space="preserve">3 </w:t>
      </w:r>
      <w:r w:rsidRPr="001A6EF1">
        <w:rPr>
          <w:rFonts w:eastAsia="Calibri"/>
          <w:color w:val="231F20"/>
          <w:sz w:val="15"/>
          <w:szCs w:val="15"/>
        </w:rPr>
        <w:t>volume standard.</w:t>
      </w:r>
      <w:r w:rsidR="00572842">
        <w:rPr>
          <w:rFonts w:eastAsia="Calibri"/>
          <w:color w:val="231F20"/>
          <w:position w:val="6"/>
          <w:sz w:val="9"/>
          <w:szCs w:val="9"/>
        </w:rPr>
        <w:t>1</w:t>
      </w:r>
      <w:r w:rsidRPr="001A6EF1">
        <w:rPr>
          <w:rFonts w:eastAsia="Calibri"/>
          <w:color w:val="231F20"/>
          <w:position w:val="6"/>
          <w:sz w:val="9"/>
          <w:szCs w:val="9"/>
        </w:rPr>
        <w:t xml:space="preserve"> </w:t>
      </w:r>
      <w:r w:rsidRPr="001A6EF1">
        <w:rPr>
          <w:rFonts w:eastAsia="Calibri"/>
          <w:color w:val="231F20"/>
          <w:sz w:val="15"/>
          <w:szCs w:val="15"/>
        </w:rPr>
        <w:t xml:space="preserve">Values are accurate to </w:t>
      </w:r>
      <w:r w:rsidRPr="001A6EF1">
        <w:rPr>
          <w:rFonts w:ascii="Lucida Sans Unicode" w:eastAsia="Calibri" w:hAnsi="Lucida Sans Unicode" w:cs="Lucida Sans Unicode"/>
          <w:color w:val="231F20"/>
          <w:sz w:val="15"/>
          <w:szCs w:val="15"/>
        </w:rPr>
        <w:t>±</w:t>
      </w:r>
      <w:r w:rsidRPr="001A6EF1">
        <w:rPr>
          <w:rFonts w:eastAsia="Calibri"/>
          <w:color w:val="231F20"/>
          <w:sz w:val="15"/>
          <w:szCs w:val="15"/>
        </w:rPr>
        <w:t>0.1% or 0.1 µmho/cm, whichever is greater.</w:t>
      </w:r>
    </w:p>
    <w:p w14:paraId="526F88C2" w14:textId="77777777" w:rsidR="001A2ED5" w:rsidRDefault="001A2ED5" w:rsidP="001A2ED5">
      <w:pPr>
        <w:jc w:val="both"/>
        <w:rPr>
          <w:rFonts w:ascii="Arial" w:hAnsi="Arial"/>
          <w:b/>
          <w:sz w:val="20"/>
          <w:u w:val="single"/>
        </w:rPr>
      </w:pPr>
      <w:r>
        <w:rPr>
          <w:rFonts w:ascii="Arial" w:hAnsi="Arial"/>
          <w:b/>
          <w:sz w:val="20"/>
          <w:u w:val="single"/>
        </w:rPr>
        <w:t>C</w:t>
      </w:r>
      <w:r w:rsidRPr="00F61A31">
        <w:rPr>
          <w:rFonts w:ascii="Arial" w:hAnsi="Arial"/>
          <w:b/>
          <w:sz w:val="20"/>
          <w:u w:val="single"/>
        </w:rPr>
        <w:t>alibration:</w:t>
      </w:r>
    </w:p>
    <w:p w14:paraId="1BDE5E82" w14:textId="77777777" w:rsidR="001A2ED5" w:rsidRPr="0045650B" w:rsidRDefault="001A2ED5" w:rsidP="00E90A21">
      <w:pPr>
        <w:ind w:left="720" w:hanging="720"/>
        <w:jc w:val="both"/>
        <w:rPr>
          <w:rFonts w:ascii="Arial" w:hAnsi="Arial"/>
          <w:sz w:val="20"/>
        </w:rPr>
      </w:pPr>
      <w:r w:rsidRPr="00F61A31">
        <w:rPr>
          <w:rFonts w:ascii="Arial" w:hAnsi="Arial"/>
          <w:sz w:val="20"/>
        </w:rPr>
        <w:t>1.</w:t>
      </w:r>
      <w:r w:rsidRPr="00F61A31">
        <w:rPr>
          <w:rFonts w:ascii="Arial" w:hAnsi="Arial"/>
          <w:sz w:val="20"/>
        </w:rPr>
        <w:tab/>
      </w:r>
      <w:r w:rsidRPr="00BE3A1A">
        <w:rPr>
          <w:rFonts w:ascii="Arial" w:hAnsi="Arial"/>
          <w:sz w:val="20"/>
        </w:rPr>
        <w:t>Instruments are to be calibrated according to the manufacturer’s calibration procedure prior to analysis of samples each day compliance monitoring is performed. For most meters, this is a one-</w:t>
      </w:r>
      <w:r w:rsidR="00E90A21">
        <w:rPr>
          <w:rFonts w:ascii="Arial" w:hAnsi="Arial"/>
          <w:sz w:val="20"/>
        </w:rPr>
        <w:t>standard</w:t>
      </w:r>
      <w:r w:rsidR="00E90A21" w:rsidRPr="00BE3A1A">
        <w:rPr>
          <w:rFonts w:ascii="Arial" w:hAnsi="Arial"/>
          <w:sz w:val="20"/>
        </w:rPr>
        <w:t xml:space="preserve"> </w:t>
      </w:r>
      <w:r w:rsidRPr="00BE3A1A">
        <w:rPr>
          <w:rFonts w:ascii="Arial" w:hAnsi="Arial"/>
          <w:sz w:val="20"/>
        </w:rPr>
        <w:t>calibration.</w:t>
      </w:r>
    </w:p>
    <w:p w14:paraId="3CDC6783" w14:textId="77777777" w:rsidR="001A2ED5" w:rsidRDefault="001A2ED5" w:rsidP="001A2ED5">
      <w:pPr>
        <w:ind w:left="720" w:hanging="720"/>
        <w:jc w:val="both"/>
        <w:rPr>
          <w:rFonts w:ascii="Arial" w:hAnsi="Arial"/>
          <w:sz w:val="20"/>
        </w:rPr>
      </w:pPr>
      <w:r w:rsidRPr="00F61A31">
        <w:rPr>
          <w:rFonts w:ascii="Arial" w:hAnsi="Arial"/>
          <w:sz w:val="20"/>
        </w:rPr>
        <w:t>2.</w:t>
      </w:r>
      <w:r w:rsidRPr="00F61A31">
        <w:rPr>
          <w:rFonts w:ascii="Arial" w:hAnsi="Arial"/>
          <w:sz w:val="20"/>
        </w:rPr>
        <w:tab/>
      </w:r>
      <w:r>
        <w:rPr>
          <w:rFonts w:ascii="Arial" w:hAnsi="Arial"/>
          <w:sz w:val="20"/>
        </w:rPr>
        <w:t>Thoroughly r</w:t>
      </w:r>
      <w:r w:rsidRPr="00F61A31">
        <w:rPr>
          <w:rFonts w:ascii="Arial" w:hAnsi="Arial"/>
          <w:sz w:val="20"/>
        </w:rPr>
        <w:t>inse</w:t>
      </w:r>
      <w:r>
        <w:rPr>
          <w:rFonts w:ascii="Arial" w:hAnsi="Arial"/>
          <w:sz w:val="20"/>
        </w:rPr>
        <w:t xml:space="preserve"> conductivity</w:t>
      </w:r>
      <w:r w:rsidRPr="00F61A31">
        <w:rPr>
          <w:rFonts w:ascii="Arial" w:hAnsi="Arial"/>
          <w:sz w:val="20"/>
        </w:rPr>
        <w:t xml:space="preserve"> cell with </w:t>
      </w:r>
      <w:r>
        <w:rPr>
          <w:rFonts w:ascii="Arial" w:hAnsi="Arial"/>
          <w:sz w:val="20"/>
        </w:rPr>
        <w:t>one or more portions of standard prior to measurement of that standard.</w:t>
      </w:r>
      <w:r w:rsidRPr="00F61A31">
        <w:rPr>
          <w:rFonts w:ascii="Arial" w:hAnsi="Arial"/>
          <w:sz w:val="20"/>
        </w:rPr>
        <w:t xml:space="preserve"> </w:t>
      </w:r>
    </w:p>
    <w:p w14:paraId="6E7BCE99" w14:textId="052AD676" w:rsidR="001A2ED5" w:rsidRPr="00F61A31" w:rsidRDefault="001A2ED5" w:rsidP="001A2ED5">
      <w:pPr>
        <w:ind w:left="720" w:hanging="720"/>
        <w:jc w:val="both"/>
        <w:rPr>
          <w:rFonts w:ascii="Arial" w:hAnsi="Arial"/>
          <w:sz w:val="20"/>
        </w:rPr>
      </w:pPr>
      <w:r>
        <w:rPr>
          <w:rFonts w:ascii="Arial" w:hAnsi="Arial"/>
          <w:sz w:val="20"/>
        </w:rPr>
        <w:t>3.</w:t>
      </w:r>
      <w:r>
        <w:rPr>
          <w:rFonts w:ascii="Arial" w:hAnsi="Arial"/>
          <w:sz w:val="20"/>
        </w:rPr>
        <w:tab/>
      </w:r>
      <w:r w:rsidRPr="00F61A31">
        <w:rPr>
          <w:rFonts w:ascii="Arial" w:hAnsi="Arial"/>
          <w:sz w:val="20"/>
        </w:rPr>
        <w:t xml:space="preserve">Analyze and document a </w:t>
      </w:r>
      <w:r w:rsidR="00023B8F">
        <w:rPr>
          <w:rFonts w:ascii="Arial" w:hAnsi="Arial"/>
          <w:sz w:val="20"/>
        </w:rPr>
        <w:t>second</w:t>
      </w:r>
      <w:r w:rsidR="009B1BEE">
        <w:rPr>
          <w:rFonts w:ascii="Arial" w:hAnsi="Arial"/>
          <w:sz w:val="20"/>
        </w:rPr>
        <w:t xml:space="preserve">-source </w:t>
      </w:r>
      <w:r w:rsidRPr="00F61A31">
        <w:rPr>
          <w:rFonts w:ascii="Arial" w:hAnsi="Arial"/>
          <w:sz w:val="20"/>
        </w:rPr>
        <w:t xml:space="preserve">calibration verification </w:t>
      </w:r>
      <w:r w:rsidR="00E90A21" w:rsidRPr="00F61A31">
        <w:rPr>
          <w:rFonts w:ascii="Arial" w:hAnsi="Arial"/>
          <w:sz w:val="20"/>
        </w:rPr>
        <w:t>check</w:t>
      </w:r>
      <w:r w:rsidR="009F1594">
        <w:rPr>
          <w:rFonts w:ascii="Arial" w:hAnsi="Arial"/>
          <w:sz w:val="20"/>
        </w:rPr>
        <w:t xml:space="preserve"> </w:t>
      </w:r>
      <w:r w:rsidRPr="00F61A31">
        <w:rPr>
          <w:rFonts w:ascii="Arial" w:hAnsi="Arial"/>
          <w:sz w:val="20"/>
        </w:rPr>
        <w:t>standard</w:t>
      </w:r>
      <w:r>
        <w:rPr>
          <w:rFonts w:ascii="Arial" w:hAnsi="Arial"/>
          <w:sz w:val="20"/>
        </w:rPr>
        <w:t xml:space="preserve"> prior to </w:t>
      </w:r>
      <w:r w:rsidR="00473BD3">
        <w:rPr>
          <w:rFonts w:ascii="Arial" w:hAnsi="Arial"/>
          <w:sz w:val="20"/>
        </w:rPr>
        <w:t xml:space="preserve">compliance </w:t>
      </w:r>
      <w:r>
        <w:rPr>
          <w:rFonts w:ascii="Arial" w:hAnsi="Arial"/>
          <w:sz w:val="20"/>
        </w:rPr>
        <w:t>sample analysis</w:t>
      </w:r>
      <w:r w:rsidRPr="00F61A31">
        <w:rPr>
          <w:rFonts w:ascii="Arial" w:hAnsi="Arial"/>
          <w:sz w:val="20"/>
        </w:rPr>
        <w:t xml:space="preserve">. It is recommended that this standard </w:t>
      </w:r>
      <w:r w:rsidR="00D7598B">
        <w:rPr>
          <w:rFonts w:ascii="Arial" w:hAnsi="Arial"/>
          <w:sz w:val="20"/>
        </w:rPr>
        <w:t>value</w:t>
      </w:r>
      <w:r w:rsidR="00FD0EEC">
        <w:rPr>
          <w:rFonts w:ascii="Arial" w:hAnsi="Arial"/>
          <w:sz w:val="20"/>
        </w:rPr>
        <w:t xml:space="preserve"> </w:t>
      </w:r>
      <w:r w:rsidR="00EF1332">
        <w:rPr>
          <w:rFonts w:ascii="Arial" w:hAnsi="Arial"/>
          <w:sz w:val="20"/>
        </w:rPr>
        <w:t>approximate</w:t>
      </w:r>
      <w:r>
        <w:rPr>
          <w:rFonts w:ascii="Arial" w:hAnsi="Arial"/>
          <w:sz w:val="20"/>
        </w:rPr>
        <w:t xml:space="preserve"> (may be higher or lower than the calibration standard, as applicable) the expected range of sample values measured</w:t>
      </w:r>
      <w:r w:rsidRPr="00F61A31">
        <w:rPr>
          <w:rFonts w:ascii="Arial" w:hAnsi="Arial"/>
          <w:sz w:val="20"/>
        </w:rPr>
        <w:t xml:space="preserve">. </w:t>
      </w:r>
    </w:p>
    <w:p w14:paraId="24D62603" w14:textId="4BB4A99C" w:rsidR="00CB64FE" w:rsidRDefault="001A2ED5" w:rsidP="000D17D2">
      <w:pPr>
        <w:spacing w:after="0"/>
        <w:ind w:left="720" w:hanging="720"/>
        <w:jc w:val="both"/>
        <w:rPr>
          <w:rFonts w:ascii="Arial" w:hAnsi="Arial"/>
          <w:sz w:val="20"/>
        </w:rPr>
      </w:pPr>
      <w:r>
        <w:rPr>
          <w:rFonts w:ascii="Arial" w:hAnsi="Arial"/>
          <w:sz w:val="20"/>
        </w:rPr>
        <w:t>4.</w:t>
      </w:r>
      <w:r>
        <w:rPr>
          <w:rFonts w:ascii="Arial" w:hAnsi="Arial"/>
          <w:sz w:val="20"/>
        </w:rPr>
        <w:tab/>
      </w:r>
      <w:r w:rsidRPr="00F61A31">
        <w:rPr>
          <w:rFonts w:ascii="Arial" w:hAnsi="Arial"/>
          <w:sz w:val="20"/>
        </w:rPr>
        <w:t xml:space="preserve">The value obtained </w:t>
      </w:r>
      <w:r>
        <w:rPr>
          <w:rFonts w:ascii="Arial" w:hAnsi="Arial"/>
          <w:sz w:val="20"/>
        </w:rPr>
        <w:t>for</w:t>
      </w:r>
      <w:r w:rsidRPr="00F61A31">
        <w:rPr>
          <w:rFonts w:ascii="Arial" w:hAnsi="Arial"/>
          <w:sz w:val="20"/>
        </w:rPr>
        <w:t xml:space="preserve"> the calibration </w:t>
      </w:r>
      <w:r>
        <w:rPr>
          <w:rFonts w:ascii="Arial" w:hAnsi="Arial"/>
          <w:sz w:val="20"/>
        </w:rPr>
        <w:t xml:space="preserve">verification </w:t>
      </w:r>
      <w:r w:rsidR="00E90A21" w:rsidRPr="00F61A31">
        <w:rPr>
          <w:rFonts w:ascii="Arial" w:hAnsi="Arial"/>
          <w:sz w:val="20"/>
        </w:rPr>
        <w:t>check</w:t>
      </w:r>
      <w:r w:rsidR="009F1594">
        <w:rPr>
          <w:rFonts w:ascii="Arial" w:hAnsi="Arial"/>
          <w:sz w:val="20"/>
        </w:rPr>
        <w:t xml:space="preserve"> </w:t>
      </w:r>
      <w:r w:rsidRPr="00F61A31">
        <w:rPr>
          <w:rFonts w:ascii="Arial" w:hAnsi="Arial"/>
          <w:sz w:val="20"/>
        </w:rPr>
        <w:t xml:space="preserve">standard must </w:t>
      </w:r>
      <w:proofErr w:type="gramStart"/>
      <w:r w:rsidRPr="00F61A31">
        <w:rPr>
          <w:rFonts w:ascii="Arial" w:hAnsi="Arial"/>
          <w:sz w:val="20"/>
        </w:rPr>
        <w:t>read</w:t>
      </w:r>
      <w:proofErr w:type="gramEnd"/>
      <w:r w:rsidRPr="00F61A31">
        <w:rPr>
          <w:rFonts w:ascii="Arial" w:hAnsi="Arial"/>
          <w:sz w:val="20"/>
        </w:rPr>
        <w:t xml:space="preserve"> within 10% of the true value of the </w:t>
      </w:r>
      <w:r>
        <w:rPr>
          <w:rFonts w:ascii="Arial" w:hAnsi="Arial"/>
          <w:sz w:val="20"/>
        </w:rPr>
        <w:t xml:space="preserve">calibration verification </w:t>
      </w:r>
      <w:r w:rsidRPr="00F61A31">
        <w:rPr>
          <w:rFonts w:ascii="Arial" w:hAnsi="Arial"/>
          <w:sz w:val="20"/>
        </w:rPr>
        <w:t xml:space="preserve">check standard. If the obtained value is outside of the </w:t>
      </w:r>
      <w:r w:rsidRPr="00F61A31">
        <w:rPr>
          <w:rFonts w:ascii="Arial" w:hAnsi="Arial" w:cs="Arial"/>
          <w:sz w:val="20"/>
        </w:rPr>
        <w:t>±</w:t>
      </w:r>
      <w:r w:rsidRPr="00F61A31">
        <w:rPr>
          <w:rFonts w:ascii="Arial" w:hAnsi="Arial"/>
          <w:sz w:val="20"/>
        </w:rPr>
        <w:t>10% range, corrective action must be taken.</w:t>
      </w:r>
    </w:p>
    <w:p w14:paraId="13651053" w14:textId="77777777" w:rsidR="000D17D2" w:rsidRDefault="000D17D2" w:rsidP="000D17D2">
      <w:pPr>
        <w:spacing w:before="0" w:after="0"/>
        <w:jc w:val="both"/>
        <w:rPr>
          <w:rFonts w:ascii="Arial" w:hAnsi="Arial"/>
          <w:b/>
          <w:sz w:val="20"/>
          <w:u w:val="single"/>
        </w:rPr>
      </w:pPr>
    </w:p>
    <w:p w14:paraId="467D0B45" w14:textId="610B8E75" w:rsidR="001A2ED5" w:rsidRPr="00F61A31" w:rsidRDefault="001A2ED5" w:rsidP="000D17D2">
      <w:pPr>
        <w:spacing w:before="0"/>
        <w:jc w:val="both"/>
        <w:rPr>
          <w:rFonts w:ascii="Arial" w:hAnsi="Arial"/>
          <w:b/>
          <w:sz w:val="20"/>
          <w:u w:val="single"/>
        </w:rPr>
      </w:pPr>
      <w:r w:rsidRPr="00F61A31">
        <w:rPr>
          <w:rFonts w:ascii="Arial" w:hAnsi="Arial"/>
          <w:b/>
          <w:sz w:val="20"/>
          <w:u w:val="single"/>
        </w:rPr>
        <w:t>Documentation:</w:t>
      </w:r>
    </w:p>
    <w:p w14:paraId="46262929" w14:textId="77777777" w:rsidR="001A2ED5" w:rsidRPr="00F61A31" w:rsidRDefault="001A2ED5" w:rsidP="001A2ED5">
      <w:pPr>
        <w:suppressAutoHyphens/>
        <w:jc w:val="both"/>
        <w:rPr>
          <w:rFonts w:ascii="Arial" w:hAnsi="Arial" w:cs="Arial"/>
          <w:sz w:val="20"/>
        </w:rPr>
      </w:pPr>
      <w:r w:rsidRPr="00F61A31">
        <w:rPr>
          <w:rFonts w:ascii="Arial" w:hAnsi="Arial" w:cs="Arial"/>
          <w:sz w:val="20"/>
        </w:rPr>
        <w:t xml:space="preserve">The following must be documented </w:t>
      </w:r>
      <w:r w:rsidRPr="00BE3A1A">
        <w:rPr>
          <w:rFonts w:ascii="Arial" w:hAnsi="Arial" w:cs="Arial"/>
          <w:sz w:val="20"/>
        </w:rPr>
        <w:t>in indelible ink</w:t>
      </w:r>
      <w:r>
        <w:rPr>
          <w:rFonts w:ascii="Arial" w:hAnsi="Arial" w:cs="Arial"/>
          <w:sz w:val="20"/>
        </w:rPr>
        <w:t xml:space="preserve"> </w:t>
      </w:r>
      <w:r w:rsidRPr="00F61A31">
        <w:rPr>
          <w:rFonts w:ascii="Arial" w:hAnsi="Arial" w:cs="Arial"/>
          <w:sz w:val="20"/>
        </w:rPr>
        <w:t>whenev</w:t>
      </w:r>
      <w:r w:rsidR="007C62BE">
        <w:rPr>
          <w:rFonts w:ascii="Arial" w:hAnsi="Arial" w:cs="Arial"/>
          <w:sz w:val="20"/>
        </w:rPr>
        <w:t>er sample analysis is performed:</w:t>
      </w:r>
    </w:p>
    <w:p w14:paraId="4105F498" w14:textId="6817B460" w:rsidR="001A2ED5" w:rsidRPr="001E60B2" w:rsidRDefault="001A2ED5" w:rsidP="00D07EA6">
      <w:pPr>
        <w:widowControl/>
        <w:numPr>
          <w:ilvl w:val="0"/>
          <w:numId w:val="3"/>
        </w:numPr>
        <w:suppressAutoHyphens/>
        <w:spacing w:before="0" w:after="0"/>
        <w:ind w:left="360" w:hanging="270"/>
        <w:jc w:val="both"/>
        <w:rPr>
          <w:rFonts w:ascii="Arial" w:hAnsi="Arial" w:cs="Arial"/>
          <w:spacing w:val="-3"/>
          <w:sz w:val="20"/>
          <w:lang w:eastAsia="zh-CN"/>
        </w:rPr>
      </w:pPr>
      <w:r w:rsidRPr="001E60B2">
        <w:rPr>
          <w:rFonts w:ascii="Arial" w:hAnsi="Arial" w:cs="Arial"/>
          <w:spacing w:val="-3"/>
          <w:sz w:val="20"/>
          <w:lang w:eastAsia="zh-CN"/>
        </w:rPr>
        <w:t>Date a</w:t>
      </w:r>
      <w:r w:rsidR="007C62BE">
        <w:rPr>
          <w:rFonts w:ascii="Arial" w:hAnsi="Arial" w:cs="Arial"/>
          <w:spacing w:val="-3"/>
          <w:sz w:val="20"/>
          <w:lang w:eastAsia="zh-CN"/>
        </w:rPr>
        <w:t>nd time of sample collection</w:t>
      </w:r>
    </w:p>
    <w:p w14:paraId="1C8537DF" w14:textId="06BFEF49" w:rsidR="001A2ED5" w:rsidRPr="001E60B2" w:rsidRDefault="001A2ED5" w:rsidP="00AF4B28">
      <w:pPr>
        <w:widowControl/>
        <w:numPr>
          <w:ilvl w:val="0"/>
          <w:numId w:val="3"/>
        </w:numPr>
        <w:suppressAutoHyphens/>
        <w:spacing w:before="0" w:after="0"/>
        <w:ind w:left="360" w:hanging="270"/>
        <w:jc w:val="both"/>
        <w:rPr>
          <w:rFonts w:ascii="Arial" w:hAnsi="Arial" w:cs="Arial"/>
          <w:spacing w:val="-3"/>
          <w:sz w:val="20"/>
          <w:lang w:eastAsia="zh-CN"/>
        </w:rPr>
      </w:pPr>
      <w:r w:rsidRPr="001E60B2">
        <w:rPr>
          <w:rFonts w:ascii="Arial" w:hAnsi="Arial" w:cs="Arial"/>
          <w:spacing w:val="-3"/>
          <w:sz w:val="20"/>
          <w:lang w:eastAsia="zh-CN"/>
        </w:rPr>
        <w:t>Date of sample analysis</w:t>
      </w:r>
      <w:r>
        <w:rPr>
          <w:rFonts w:ascii="Arial" w:hAnsi="Arial" w:cs="Arial"/>
          <w:spacing w:val="-3"/>
          <w:sz w:val="20"/>
          <w:lang w:eastAsia="zh-CN"/>
        </w:rPr>
        <w:t xml:space="preserve"> to verify the 28</w:t>
      </w:r>
      <w:r w:rsidR="00D97249">
        <w:rPr>
          <w:rFonts w:ascii="Arial" w:hAnsi="Arial" w:cs="Arial"/>
          <w:spacing w:val="-3"/>
          <w:sz w:val="20"/>
          <w:lang w:eastAsia="zh-CN"/>
        </w:rPr>
        <w:t>-</w:t>
      </w:r>
      <w:r>
        <w:rPr>
          <w:rFonts w:ascii="Arial" w:hAnsi="Arial" w:cs="Arial"/>
          <w:spacing w:val="-3"/>
          <w:sz w:val="20"/>
          <w:lang w:eastAsia="zh-CN"/>
        </w:rPr>
        <w:t>day holding time is met</w:t>
      </w:r>
      <w:r w:rsidRPr="007C3F31">
        <w:rPr>
          <w:rFonts w:ascii="Arial" w:hAnsi="Arial" w:cs="Arial"/>
          <w:spacing w:val="-3"/>
          <w:sz w:val="20"/>
          <w:lang w:eastAsia="zh-CN"/>
        </w:rPr>
        <w:t xml:space="preserve"> </w:t>
      </w:r>
    </w:p>
    <w:p w14:paraId="3DBD38E2" w14:textId="250E79C4" w:rsidR="001A2ED5" w:rsidRDefault="00E15BE6" w:rsidP="00AF4B28">
      <w:pPr>
        <w:widowControl/>
        <w:numPr>
          <w:ilvl w:val="0"/>
          <w:numId w:val="3"/>
        </w:numPr>
        <w:suppressAutoHyphens/>
        <w:spacing w:before="0" w:after="0"/>
        <w:ind w:left="360" w:hanging="270"/>
        <w:jc w:val="both"/>
        <w:rPr>
          <w:rFonts w:ascii="Arial" w:hAnsi="Arial" w:cs="Arial"/>
          <w:spacing w:val="-3"/>
          <w:sz w:val="20"/>
          <w:lang w:eastAsia="zh-CN"/>
        </w:rPr>
      </w:pPr>
      <w:r>
        <w:rPr>
          <w:rFonts w:ascii="Arial" w:hAnsi="Arial" w:cs="Arial"/>
          <w:spacing w:val="-3"/>
          <w:sz w:val="20"/>
          <w:lang w:eastAsia="zh-CN"/>
        </w:rPr>
        <w:t>Permitted f</w:t>
      </w:r>
      <w:r w:rsidR="002C5FD1">
        <w:rPr>
          <w:rFonts w:ascii="Arial" w:hAnsi="Arial" w:cs="Arial"/>
          <w:spacing w:val="-3"/>
          <w:sz w:val="20"/>
          <w:lang w:eastAsia="zh-CN"/>
        </w:rPr>
        <w:t>acility</w:t>
      </w:r>
      <w:r w:rsidR="002C5FD1" w:rsidRPr="002C5FD1">
        <w:t xml:space="preserve"> </w:t>
      </w:r>
      <w:r w:rsidR="002C5FD1" w:rsidRPr="002C5FD1">
        <w:rPr>
          <w:rFonts w:ascii="Arial" w:hAnsi="Arial" w:cs="Arial"/>
          <w:spacing w:val="-3"/>
          <w:sz w:val="20"/>
          <w:lang w:eastAsia="zh-CN"/>
        </w:rPr>
        <w:t>name</w:t>
      </w:r>
      <w:r w:rsidR="00EF05A8">
        <w:rPr>
          <w:rFonts w:ascii="Arial" w:hAnsi="Arial" w:cs="Arial"/>
          <w:spacing w:val="-3"/>
          <w:sz w:val="20"/>
          <w:lang w:eastAsia="zh-CN"/>
        </w:rPr>
        <w:t xml:space="preserve"> or permit number</w:t>
      </w:r>
      <w:r w:rsidR="002C5FD1" w:rsidRPr="002C5FD1">
        <w:rPr>
          <w:rFonts w:ascii="Arial" w:hAnsi="Arial" w:cs="Arial"/>
          <w:spacing w:val="-3"/>
          <w:sz w:val="20"/>
          <w:lang w:eastAsia="zh-CN"/>
        </w:rPr>
        <w:t xml:space="preserve">, </w:t>
      </w:r>
      <w:r w:rsidR="00EF05A8">
        <w:rPr>
          <w:rFonts w:ascii="Arial" w:hAnsi="Arial" w:cs="Arial"/>
          <w:spacing w:val="-3"/>
          <w:sz w:val="20"/>
          <w:lang w:eastAsia="zh-CN"/>
        </w:rPr>
        <w:t xml:space="preserve">and </w:t>
      </w:r>
      <w:r w:rsidR="002C5FD1" w:rsidRPr="002C5FD1">
        <w:rPr>
          <w:rFonts w:ascii="Arial" w:hAnsi="Arial" w:cs="Arial"/>
          <w:spacing w:val="-3"/>
          <w:sz w:val="20"/>
          <w:lang w:eastAsia="zh-CN"/>
        </w:rPr>
        <w:t>sample site (ID or location)</w:t>
      </w:r>
    </w:p>
    <w:p w14:paraId="1F3C0BE6" w14:textId="7D54933F" w:rsidR="001A2ED5" w:rsidRPr="001E60B2" w:rsidRDefault="001A2ED5" w:rsidP="00AF4B28">
      <w:pPr>
        <w:widowControl/>
        <w:numPr>
          <w:ilvl w:val="0"/>
          <w:numId w:val="3"/>
        </w:numPr>
        <w:suppressAutoHyphens/>
        <w:spacing w:before="0" w:after="0"/>
        <w:ind w:left="360" w:hanging="270"/>
        <w:jc w:val="both"/>
        <w:rPr>
          <w:rFonts w:ascii="Arial" w:hAnsi="Arial" w:cs="Arial"/>
          <w:spacing w:val="-3"/>
          <w:sz w:val="20"/>
          <w:lang w:eastAsia="zh-CN"/>
        </w:rPr>
      </w:pPr>
      <w:r w:rsidRPr="000F75E1">
        <w:rPr>
          <w:rFonts w:ascii="Arial" w:hAnsi="Arial" w:cs="Arial"/>
          <w:spacing w:val="-3"/>
          <w:sz w:val="20"/>
          <w:lang w:eastAsia="zh-CN"/>
        </w:rPr>
        <w:t xml:space="preserve">Collector’s/analyst’s name </w:t>
      </w:r>
      <w:r w:rsidRPr="00BE3A1A">
        <w:rPr>
          <w:rFonts w:ascii="Arial" w:hAnsi="Arial" w:cs="Arial"/>
          <w:spacing w:val="-3"/>
          <w:sz w:val="20"/>
          <w:lang w:eastAsia="zh-CN"/>
        </w:rPr>
        <w:t>or initials</w:t>
      </w:r>
    </w:p>
    <w:p w14:paraId="5DA12934" w14:textId="72F5FDA0" w:rsidR="001A2ED5" w:rsidRPr="001E60B2" w:rsidRDefault="001A2ED5" w:rsidP="00AF4B28">
      <w:pPr>
        <w:widowControl/>
        <w:numPr>
          <w:ilvl w:val="0"/>
          <w:numId w:val="3"/>
        </w:numPr>
        <w:suppressAutoHyphens/>
        <w:spacing w:before="0" w:after="0"/>
        <w:ind w:left="360" w:hanging="270"/>
        <w:jc w:val="both"/>
        <w:rPr>
          <w:rFonts w:ascii="Arial" w:hAnsi="Arial" w:cs="Arial"/>
          <w:spacing w:val="-3"/>
          <w:sz w:val="20"/>
          <w:lang w:eastAsia="zh-CN"/>
        </w:rPr>
      </w:pPr>
      <w:r>
        <w:rPr>
          <w:rFonts w:ascii="Arial" w:hAnsi="Arial" w:cs="Arial"/>
          <w:spacing w:val="-3"/>
          <w:sz w:val="20"/>
          <w:lang w:eastAsia="zh-CN"/>
        </w:rPr>
        <w:t>True v</w:t>
      </w:r>
      <w:r w:rsidRPr="001E60B2">
        <w:rPr>
          <w:rFonts w:ascii="Arial" w:hAnsi="Arial" w:cs="Arial"/>
          <w:spacing w:val="-3"/>
          <w:sz w:val="20"/>
          <w:lang w:eastAsia="zh-CN"/>
        </w:rPr>
        <w:t xml:space="preserve">alue of </w:t>
      </w:r>
      <w:r>
        <w:rPr>
          <w:rFonts w:ascii="Arial" w:hAnsi="Arial" w:cs="Arial"/>
          <w:spacing w:val="-3"/>
          <w:sz w:val="20"/>
          <w:lang w:eastAsia="zh-CN"/>
        </w:rPr>
        <w:t xml:space="preserve">the </w:t>
      </w:r>
      <w:r w:rsidRPr="001E60B2">
        <w:rPr>
          <w:rFonts w:ascii="Arial" w:hAnsi="Arial" w:cs="Arial"/>
          <w:spacing w:val="-3"/>
          <w:sz w:val="20"/>
          <w:lang w:eastAsia="zh-CN"/>
        </w:rPr>
        <w:t>standard used for calibration</w:t>
      </w:r>
    </w:p>
    <w:p w14:paraId="0AB6A801" w14:textId="6552FB54" w:rsidR="001A2ED5" w:rsidRPr="0006162E" w:rsidRDefault="001A2ED5" w:rsidP="00AF4B28">
      <w:pPr>
        <w:widowControl/>
        <w:numPr>
          <w:ilvl w:val="0"/>
          <w:numId w:val="3"/>
        </w:numPr>
        <w:suppressAutoHyphens/>
        <w:spacing w:before="0" w:after="0"/>
        <w:ind w:left="360" w:hanging="270"/>
        <w:jc w:val="both"/>
        <w:rPr>
          <w:rFonts w:ascii="Arial" w:hAnsi="Arial" w:cs="Arial"/>
          <w:spacing w:val="-3"/>
          <w:sz w:val="20"/>
          <w:lang w:eastAsia="zh-CN"/>
        </w:rPr>
      </w:pPr>
      <w:r w:rsidRPr="0006162E">
        <w:rPr>
          <w:rFonts w:ascii="Arial" w:hAnsi="Arial" w:cs="Arial"/>
          <w:spacing w:val="-3"/>
          <w:sz w:val="20"/>
          <w:lang w:eastAsia="zh-CN"/>
        </w:rPr>
        <w:t xml:space="preserve">True value of the </w:t>
      </w:r>
      <w:r>
        <w:rPr>
          <w:rFonts w:ascii="Arial" w:hAnsi="Arial" w:cs="Arial"/>
          <w:spacing w:val="-3"/>
          <w:sz w:val="20"/>
          <w:lang w:eastAsia="zh-CN"/>
        </w:rPr>
        <w:t xml:space="preserve">calibration verification </w:t>
      </w:r>
      <w:proofErr w:type="gramStart"/>
      <w:r w:rsidRPr="0006162E">
        <w:rPr>
          <w:rFonts w:ascii="Arial" w:hAnsi="Arial" w:cs="Arial"/>
          <w:spacing w:val="-3"/>
          <w:sz w:val="20"/>
          <w:lang w:eastAsia="zh-CN"/>
        </w:rPr>
        <w:t>check</w:t>
      </w:r>
      <w:proofErr w:type="gramEnd"/>
      <w:r w:rsidR="009F1594">
        <w:rPr>
          <w:rFonts w:ascii="Arial" w:hAnsi="Arial" w:cs="Arial"/>
          <w:spacing w:val="-3"/>
          <w:sz w:val="20"/>
          <w:lang w:eastAsia="zh-CN"/>
        </w:rPr>
        <w:t xml:space="preserve"> </w:t>
      </w:r>
      <w:r w:rsidRPr="0006162E">
        <w:rPr>
          <w:rFonts w:ascii="Arial" w:hAnsi="Arial" w:cs="Arial"/>
          <w:spacing w:val="-3"/>
          <w:sz w:val="20"/>
          <w:lang w:eastAsia="zh-CN"/>
        </w:rPr>
        <w:t>standard</w:t>
      </w:r>
    </w:p>
    <w:p w14:paraId="1C57E85C" w14:textId="55E3AB78" w:rsidR="001A2ED5" w:rsidRPr="0006162E" w:rsidRDefault="001A2ED5" w:rsidP="00AF4B28">
      <w:pPr>
        <w:widowControl/>
        <w:numPr>
          <w:ilvl w:val="0"/>
          <w:numId w:val="3"/>
        </w:numPr>
        <w:suppressAutoHyphens/>
        <w:spacing w:before="0" w:after="0"/>
        <w:ind w:left="360" w:hanging="270"/>
        <w:jc w:val="both"/>
        <w:rPr>
          <w:rFonts w:ascii="Arial" w:hAnsi="Arial" w:cs="Arial"/>
          <w:spacing w:val="-3"/>
          <w:sz w:val="20"/>
          <w:lang w:eastAsia="zh-CN"/>
        </w:rPr>
      </w:pPr>
      <w:r w:rsidRPr="0006162E">
        <w:rPr>
          <w:rFonts w:ascii="Arial" w:hAnsi="Arial" w:cs="Arial"/>
          <w:spacing w:val="-3"/>
          <w:sz w:val="20"/>
          <w:lang w:eastAsia="zh-CN"/>
        </w:rPr>
        <w:t xml:space="preserve">Value obtained for the check standard </w:t>
      </w:r>
    </w:p>
    <w:p w14:paraId="4D415C44" w14:textId="0136C288" w:rsidR="009E2F9D" w:rsidRDefault="001A2ED5" w:rsidP="00AF4B28">
      <w:pPr>
        <w:widowControl/>
        <w:numPr>
          <w:ilvl w:val="0"/>
          <w:numId w:val="3"/>
        </w:numPr>
        <w:suppressAutoHyphens/>
        <w:spacing w:before="0" w:after="0"/>
        <w:ind w:left="360" w:hanging="270"/>
        <w:jc w:val="both"/>
        <w:rPr>
          <w:rFonts w:ascii="Arial" w:hAnsi="Arial" w:cs="Arial"/>
          <w:spacing w:val="-3"/>
          <w:sz w:val="20"/>
          <w:lang w:eastAsia="zh-CN"/>
        </w:rPr>
      </w:pPr>
      <w:r w:rsidRPr="00BE3A1A">
        <w:rPr>
          <w:rFonts w:ascii="Arial" w:hAnsi="Arial" w:cs="Arial"/>
          <w:spacing w:val="-3"/>
          <w:sz w:val="20"/>
          <w:lang w:eastAsia="zh-CN"/>
        </w:rPr>
        <w:t xml:space="preserve">True value </w:t>
      </w:r>
      <w:r w:rsidR="00A525EA">
        <w:rPr>
          <w:rFonts w:ascii="Arial" w:hAnsi="Arial" w:cs="Arial"/>
          <w:spacing w:val="-3"/>
          <w:sz w:val="20"/>
          <w:lang w:eastAsia="zh-CN"/>
        </w:rPr>
        <w:t>and value obtained for the post-</w:t>
      </w:r>
      <w:r w:rsidRPr="00BE3A1A">
        <w:rPr>
          <w:rFonts w:ascii="Arial" w:hAnsi="Arial" w:cs="Arial"/>
          <w:spacing w:val="-3"/>
          <w:sz w:val="20"/>
          <w:lang w:eastAsia="zh-CN"/>
        </w:rPr>
        <w:t>analysis calibra</w:t>
      </w:r>
      <w:r w:rsidR="00B01B2D">
        <w:rPr>
          <w:rFonts w:ascii="Arial" w:hAnsi="Arial" w:cs="Arial"/>
          <w:spacing w:val="-3"/>
          <w:sz w:val="20"/>
          <w:lang w:eastAsia="zh-CN"/>
        </w:rPr>
        <w:t>tion verification(s)</w:t>
      </w:r>
      <w:r w:rsidR="00EB1D4D">
        <w:rPr>
          <w:rFonts w:ascii="Arial" w:hAnsi="Arial" w:cs="Arial"/>
          <w:spacing w:val="-3"/>
          <w:sz w:val="20"/>
          <w:lang w:eastAsia="zh-CN"/>
        </w:rPr>
        <w:t>,</w:t>
      </w:r>
      <w:r w:rsidR="00AE5B96">
        <w:rPr>
          <w:rFonts w:ascii="Arial" w:hAnsi="Arial" w:cs="Arial"/>
          <w:spacing w:val="-3"/>
          <w:sz w:val="20"/>
          <w:lang w:eastAsia="zh-CN"/>
        </w:rPr>
        <w:t xml:space="preserve"> when</w:t>
      </w:r>
      <w:r w:rsidR="00EB1D4D">
        <w:rPr>
          <w:rFonts w:ascii="Arial" w:hAnsi="Arial" w:cs="Arial"/>
          <w:spacing w:val="-3"/>
          <w:sz w:val="20"/>
          <w:lang w:eastAsia="zh-CN"/>
        </w:rPr>
        <w:t xml:space="preserve"> applicable</w:t>
      </w:r>
    </w:p>
    <w:p w14:paraId="2CD19CD2" w14:textId="5F3ECEF5" w:rsidR="009E2F9D" w:rsidRDefault="00B96D89" w:rsidP="00AF4B28">
      <w:pPr>
        <w:widowControl/>
        <w:numPr>
          <w:ilvl w:val="0"/>
          <w:numId w:val="3"/>
        </w:numPr>
        <w:suppressAutoHyphens/>
        <w:spacing w:before="0" w:after="0"/>
        <w:ind w:left="360" w:hanging="270"/>
        <w:jc w:val="both"/>
        <w:rPr>
          <w:rFonts w:ascii="Arial" w:hAnsi="Arial" w:cs="Arial"/>
          <w:spacing w:val="-3"/>
          <w:sz w:val="20"/>
          <w:lang w:eastAsia="zh-CN"/>
        </w:rPr>
      </w:pPr>
      <w:r>
        <w:rPr>
          <w:rFonts w:ascii="Arial" w:hAnsi="Arial" w:cs="Arial"/>
          <w:spacing w:val="-3"/>
          <w:sz w:val="20"/>
          <w:lang w:eastAsia="zh-CN"/>
        </w:rPr>
        <w:t>Q</w:t>
      </w:r>
      <w:r w:rsidR="009E2F9D">
        <w:rPr>
          <w:rFonts w:ascii="Arial" w:hAnsi="Arial" w:cs="Arial"/>
          <w:spacing w:val="-3"/>
          <w:sz w:val="20"/>
          <w:lang w:eastAsia="zh-CN"/>
        </w:rPr>
        <w:t>uality control assessments</w:t>
      </w:r>
    </w:p>
    <w:p w14:paraId="24E7962C" w14:textId="65B0CD27" w:rsidR="00FF1A67" w:rsidRDefault="00FF1A67" w:rsidP="00B96D89">
      <w:pPr>
        <w:widowControl/>
        <w:numPr>
          <w:ilvl w:val="0"/>
          <w:numId w:val="3"/>
        </w:numPr>
        <w:suppressAutoHyphens/>
        <w:spacing w:before="0" w:after="0"/>
        <w:ind w:left="360"/>
        <w:jc w:val="both"/>
        <w:rPr>
          <w:rFonts w:ascii="Arial" w:hAnsi="Arial" w:cs="Arial"/>
          <w:spacing w:val="-3"/>
          <w:sz w:val="20"/>
          <w:lang w:eastAsia="zh-CN"/>
        </w:rPr>
      </w:pPr>
      <w:r w:rsidRPr="00FF1A67">
        <w:rPr>
          <w:rFonts w:ascii="Arial" w:hAnsi="Arial" w:cs="Arial"/>
          <w:spacing w:val="-3"/>
          <w:sz w:val="20"/>
          <w:lang w:eastAsia="zh-CN"/>
        </w:rPr>
        <w:t>Indication of when the post-analysis calibration verification was performed (e.g., time of analysis, end-of-day analysis, etc.)</w:t>
      </w:r>
    </w:p>
    <w:p w14:paraId="6378DE70" w14:textId="0A913964" w:rsidR="00FF1A67" w:rsidRDefault="00FF1A67" w:rsidP="00B96D89">
      <w:pPr>
        <w:widowControl/>
        <w:numPr>
          <w:ilvl w:val="0"/>
          <w:numId w:val="3"/>
        </w:numPr>
        <w:suppressAutoHyphens/>
        <w:spacing w:before="0" w:after="0"/>
        <w:ind w:left="360"/>
        <w:jc w:val="both"/>
        <w:rPr>
          <w:rFonts w:ascii="Arial" w:hAnsi="Arial" w:cs="Arial"/>
          <w:spacing w:val="-3"/>
          <w:sz w:val="20"/>
          <w:lang w:eastAsia="zh-CN"/>
        </w:rPr>
      </w:pPr>
      <w:r>
        <w:rPr>
          <w:rFonts w:ascii="Arial" w:hAnsi="Arial" w:cs="Arial"/>
          <w:spacing w:val="-3"/>
          <w:sz w:val="20"/>
          <w:lang w:eastAsia="zh-CN"/>
        </w:rPr>
        <w:t>Units of measure</w:t>
      </w:r>
    </w:p>
    <w:p w14:paraId="2EFA6154" w14:textId="2C65580B" w:rsidR="001A2ED5" w:rsidRDefault="001A2ED5" w:rsidP="00B96D89">
      <w:pPr>
        <w:widowControl/>
        <w:numPr>
          <w:ilvl w:val="0"/>
          <w:numId w:val="3"/>
        </w:numPr>
        <w:suppressAutoHyphens/>
        <w:spacing w:before="0" w:after="0"/>
        <w:ind w:left="360"/>
        <w:jc w:val="both"/>
        <w:rPr>
          <w:rFonts w:ascii="Arial" w:hAnsi="Arial" w:cs="Arial"/>
          <w:spacing w:val="-3"/>
          <w:sz w:val="20"/>
          <w:lang w:eastAsia="zh-CN"/>
        </w:rPr>
      </w:pPr>
      <w:r>
        <w:rPr>
          <w:rFonts w:ascii="Arial" w:hAnsi="Arial" w:cs="Arial"/>
          <w:spacing w:val="-3"/>
          <w:sz w:val="20"/>
          <w:lang w:eastAsia="zh-CN"/>
        </w:rPr>
        <w:t>All data must be reported</w:t>
      </w:r>
      <w:r w:rsidRPr="001E60B2">
        <w:rPr>
          <w:rFonts w:ascii="Arial" w:hAnsi="Arial" w:cs="Arial"/>
          <w:spacing w:val="-3"/>
          <w:sz w:val="20"/>
          <w:lang w:eastAsia="zh-CN"/>
        </w:rPr>
        <w:t xml:space="preserve"> in </w:t>
      </w:r>
      <w:proofErr w:type="spellStart"/>
      <w:r w:rsidRPr="001E60B2">
        <w:rPr>
          <w:rFonts w:ascii="Arial" w:hAnsi="Arial" w:cs="Arial"/>
          <w:spacing w:val="-3"/>
          <w:sz w:val="20"/>
          <w:lang w:eastAsia="zh-CN"/>
        </w:rPr>
        <w:t>μmhos</w:t>
      </w:r>
      <w:proofErr w:type="spellEnd"/>
      <w:r w:rsidRPr="001E60B2">
        <w:rPr>
          <w:rFonts w:ascii="Arial" w:hAnsi="Arial" w:cs="Arial"/>
          <w:spacing w:val="-3"/>
          <w:sz w:val="20"/>
          <w:lang w:eastAsia="zh-CN"/>
        </w:rPr>
        <w:t>/cm at 25</w:t>
      </w:r>
      <w:r w:rsidR="00747012">
        <w:rPr>
          <w:rFonts w:ascii="Arial" w:hAnsi="Arial" w:cs="Arial"/>
          <w:spacing w:val="-3"/>
          <w:sz w:val="20"/>
          <w:lang w:eastAsia="zh-CN"/>
        </w:rPr>
        <w:t xml:space="preserve"> </w:t>
      </w:r>
      <w:r w:rsidRPr="001E60B2">
        <w:rPr>
          <w:rFonts w:ascii="Arial" w:hAnsi="Arial" w:cs="Arial"/>
          <w:spacing w:val="-3"/>
          <w:sz w:val="20"/>
          <w:lang w:eastAsia="zh-CN"/>
        </w:rPr>
        <w:t>ºC or corrected to 25</w:t>
      </w:r>
      <w:r w:rsidR="00747012">
        <w:rPr>
          <w:rFonts w:ascii="Arial" w:hAnsi="Arial" w:cs="Arial"/>
          <w:spacing w:val="-3"/>
          <w:sz w:val="20"/>
          <w:lang w:eastAsia="zh-CN"/>
        </w:rPr>
        <w:t xml:space="preserve"> </w:t>
      </w:r>
      <w:r w:rsidRPr="001E60B2">
        <w:rPr>
          <w:rFonts w:ascii="Arial" w:hAnsi="Arial" w:cs="Arial"/>
          <w:spacing w:val="-3"/>
          <w:sz w:val="20"/>
          <w:lang w:eastAsia="zh-CN"/>
        </w:rPr>
        <w:t>ºC</w:t>
      </w:r>
    </w:p>
    <w:p w14:paraId="5674A9E8" w14:textId="708D61AA" w:rsidR="001A2ED5" w:rsidRDefault="001A2ED5" w:rsidP="00B96D89">
      <w:pPr>
        <w:widowControl/>
        <w:numPr>
          <w:ilvl w:val="0"/>
          <w:numId w:val="3"/>
        </w:numPr>
        <w:suppressAutoHyphens/>
        <w:spacing w:before="0" w:after="0"/>
        <w:ind w:left="360"/>
        <w:jc w:val="both"/>
        <w:rPr>
          <w:rFonts w:ascii="Arial" w:hAnsi="Arial" w:cs="Arial"/>
          <w:spacing w:val="-3"/>
          <w:sz w:val="20"/>
          <w:lang w:eastAsia="zh-CN"/>
        </w:rPr>
      </w:pPr>
      <w:r w:rsidRPr="00F61A31">
        <w:rPr>
          <w:rFonts w:ascii="Arial" w:hAnsi="Arial" w:cs="Arial"/>
          <w:spacing w:val="-3"/>
          <w:sz w:val="20"/>
          <w:lang w:eastAsia="zh-CN"/>
        </w:rPr>
        <w:t>Traceability for chemicals, reagents, standards and consumables</w:t>
      </w:r>
    </w:p>
    <w:p w14:paraId="54A713AE" w14:textId="00B9EE95" w:rsidR="001A2ED5" w:rsidRPr="00BE3A1A" w:rsidRDefault="00500C88" w:rsidP="00B96D89">
      <w:pPr>
        <w:widowControl/>
        <w:numPr>
          <w:ilvl w:val="0"/>
          <w:numId w:val="3"/>
        </w:numPr>
        <w:suppressAutoHyphens/>
        <w:spacing w:before="0" w:after="0"/>
        <w:ind w:left="360"/>
        <w:jc w:val="both"/>
        <w:rPr>
          <w:rFonts w:ascii="Arial" w:hAnsi="Arial" w:cs="Arial"/>
          <w:spacing w:val="-3"/>
          <w:sz w:val="20"/>
          <w:lang w:eastAsia="zh-CN"/>
        </w:rPr>
      </w:pPr>
      <w:r>
        <w:rPr>
          <w:rFonts w:ascii="Arial" w:hAnsi="Arial" w:cs="Arial"/>
          <w:spacing w:val="-3"/>
          <w:sz w:val="20"/>
          <w:lang w:eastAsia="zh-CN"/>
        </w:rPr>
        <w:t>Unique i</w:t>
      </w:r>
      <w:r w:rsidR="001A2ED5" w:rsidRPr="00BE3A1A">
        <w:rPr>
          <w:rFonts w:ascii="Arial" w:hAnsi="Arial" w:cs="Arial"/>
          <w:spacing w:val="-3"/>
          <w:sz w:val="20"/>
          <w:lang w:eastAsia="zh-CN"/>
        </w:rPr>
        <w:t>nstrument identification</w:t>
      </w:r>
      <w:r w:rsidR="002C5FD1">
        <w:rPr>
          <w:rFonts w:ascii="Arial" w:hAnsi="Arial" w:cs="Arial"/>
          <w:spacing w:val="-3"/>
          <w:sz w:val="20"/>
          <w:lang w:eastAsia="zh-CN"/>
        </w:rPr>
        <w:t xml:space="preserve"> (serial number preferred)</w:t>
      </w:r>
    </w:p>
    <w:p w14:paraId="28AAD15B" w14:textId="08A1E57E" w:rsidR="001A2ED5" w:rsidRDefault="001A2ED5" w:rsidP="00B96D89">
      <w:pPr>
        <w:widowControl/>
        <w:numPr>
          <w:ilvl w:val="0"/>
          <w:numId w:val="3"/>
        </w:numPr>
        <w:suppressAutoHyphens/>
        <w:spacing w:before="0" w:after="0"/>
        <w:ind w:left="360"/>
        <w:jc w:val="both"/>
        <w:rPr>
          <w:rFonts w:ascii="Arial" w:hAnsi="Arial" w:cs="Arial"/>
          <w:spacing w:val="-3"/>
          <w:sz w:val="20"/>
          <w:lang w:eastAsia="zh-CN"/>
        </w:rPr>
      </w:pPr>
      <w:r w:rsidRPr="00BE3A1A">
        <w:rPr>
          <w:rFonts w:ascii="Arial" w:hAnsi="Arial" w:cs="Arial"/>
          <w:spacing w:val="-3"/>
          <w:sz w:val="20"/>
          <w:lang w:eastAsia="zh-CN"/>
        </w:rPr>
        <w:t>Parameter analyzed</w:t>
      </w:r>
    </w:p>
    <w:p w14:paraId="50C132ED" w14:textId="7786C9E2" w:rsidR="001A123E" w:rsidRDefault="001A123E" w:rsidP="00B96D89">
      <w:pPr>
        <w:widowControl/>
        <w:numPr>
          <w:ilvl w:val="0"/>
          <w:numId w:val="3"/>
        </w:numPr>
        <w:suppressAutoHyphens/>
        <w:spacing w:before="0" w:after="0"/>
        <w:ind w:left="360"/>
        <w:jc w:val="both"/>
        <w:rPr>
          <w:rFonts w:ascii="Arial" w:hAnsi="Arial" w:cs="Arial"/>
          <w:spacing w:val="-3"/>
          <w:sz w:val="20"/>
          <w:lang w:eastAsia="zh-CN"/>
        </w:rPr>
      </w:pPr>
      <w:r>
        <w:rPr>
          <w:rFonts w:ascii="Arial" w:hAnsi="Arial" w:cs="Arial"/>
          <w:spacing w:val="-3"/>
          <w:sz w:val="20"/>
          <w:lang w:eastAsia="zh-CN"/>
        </w:rPr>
        <w:t>Final value to be reported</w:t>
      </w:r>
    </w:p>
    <w:p w14:paraId="3C2E4D0D" w14:textId="06A0469F" w:rsidR="00FF1A67" w:rsidRPr="00BE3A1A" w:rsidRDefault="00FF1A67" w:rsidP="00B96D89">
      <w:pPr>
        <w:widowControl/>
        <w:numPr>
          <w:ilvl w:val="0"/>
          <w:numId w:val="3"/>
        </w:numPr>
        <w:suppressAutoHyphens/>
        <w:spacing w:before="0" w:after="0"/>
        <w:ind w:left="360"/>
        <w:jc w:val="both"/>
        <w:rPr>
          <w:rFonts w:ascii="Arial" w:hAnsi="Arial" w:cs="Arial"/>
          <w:spacing w:val="-3"/>
          <w:sz w:val="20"/>
          <w:lang w:eastAsia="zh-CN"/>
        </w:rPr>
      </w:pPr>
      <w:r>
        <w:rPr>
          <w:rFonts w:ascii="Arial" w:hAnsi="Arial" w:cs="Arial"/>
          <w:spacing w:val="-3"/>
          <w:sz w:val="20"/>
          <w:lang w:eastAsia="zh-CN"/>
        </w:rPr>
        <w:t>Method reference</w:t>
      </w:r>
    </w:p>
    <w:p w14:paraId="574EC004" w14:textId="77A9AD39" w:rsidR="001A2ED5" w:rsidRPr="00BE3A1A" w:rsidRDefault="001A2ED5" w:rsidP="00B96D89">
      <w:pPr>
        <w:widowControl/>
        <w:numPr>
          <w:ilvl w:val="0"/>
          <w:numId w:val="3"/>
        </w:numPr>
        <w:suppressAutoHyphens/>
        <w:spacing w:before="0" w:after="0"/>
        <w:ind w:left="360"/>
        <w:jc w:val="both"/>
        <w:rPr>
          <w:rFonts w:ascii="Arial" w:hAnsi="Arial" w:cs="Arial"/>
          <w:spacing w:val="-3"/>
          <w:sz w:val="20"/>
          <w:lang w:eastAsia="zh-CN"/>
        </w:rPr>
      </w:pPr>
      <w:r w:rsidRPr="00BE3A1A">
        <w:rPr>
          <w:rFonts w:ascii="Arial" w:hAnsi="Arial" w:cs="Arial"/>
          <w:spacing w:val="-3"/>
          <w:sz w:val="20"/>
          <w:lang w:eastAsia="zh-CN"/>
        </w:rPr>
        <w:t>Data qualifiers, when necessary</w:t>
      </w:r>
    </w:p>
    <w:p w14:paraId="2B2B385F" w14:textId="77777777" w:rsidR="00197A75" w:rsidRDefault="00197A75" w:rsidP="001D533D">
      <w:pPr>
        <w:widowControl/>
        <w:suppressAutoHyphens/>
        <w:spacing w:before="0" w:after="0"/>
        <w:jc w:val="both"/>
        <w:rPr>
          <w:rFonts w:ascii="Arial" w:hAnsi="Arial" w:cs="Arial"/>
          <w:spacing w:val="-3"/>
          <w:sz w:val="20"/>
          <w:lang w:eastAsia="zh-CN"/>
        </w:rPr>
      </w:pPr>
    </w:p>
    <w:p w14:paraId="414AC450" w14:textId="28C0FB43" w:rsidR="006D129E" w:rsidRDefault="00267058" w:rsidP="001D533D">
      <w:pPr>
        <w:widowControl/>
        <w:suppressAutoHyphens/>
        <w:spacing w:before="0" w:after="0"/>
        <w:jc w:val="both"/>
        <w:rPr>
          <w:rFonts w:ascii="Arial" w:hAnsi="Arial" w:cs="Arial"/>
          <w:spacing w:val="-3"/>
          <w:sz w:val="20"/>
          <w:lang w:eastAsia="zh-CN"/>
        </w:rPr>
      </w:pPr>
      <w:r>
        <w:rPr>
          <w:rFonts w:ascii="Arial" w:hAnsi="Arial" w:cs="Arial"/>
          <w:spacing w:val="-3"/>
          <w:sz w:val="20"/>
          <w:lang w:eastAsia="zh-CN"/>
        </w:rPr>
        <w:t>Ref:</w:t>
      </w:r>
      <w:r w:rsidR="001A2ED5" w:rsidRPr="009D0771">
        <w:rPr>
          <w:rFonts w:ascii="Arial" w:hAnsi="Arial" w:cs="Arial"/>
          <w:spacing w:val="-3"/>
          <w:sz w:val="20"/>
          <w:lang w:eastAsia="zh-CN"/>
        </w:rPr>
        <w:t xml:space="preserve"> Standard Methods 2510 B</w:t>
      </w:r>
      <w:r w:rsidR="0028188E">
        <w:rPr>
          <w:rFonts w:ascii="Arial" w:hAnsi="Arial" w:cs="Arial"/>
          <w:spacing w:val="-3"/>
          <w:sz w:val="20"/>
          <w:lang w:eastAsia="zh-CN"/>
        </w:rPr>
        <w:t>-</w:t>
      </w:r>
      <w:r w:rsidR="0023633A">
        <w:rPr>
          <w:rFonts w:ascii="Arial" w:hAnsi="Arial" w:cs="Arial"/>
          <w:spacing w:val="-3"/>
          <w:sz w:val="20"/>
          <w:lang w:eastAsia="zh-CN"/>
        </w:rPr>
        <w:t xml:space="preserve">2021 </w:t>
      </w:r>
      <w:r w:rsidR="001D533D">
        <w:rPr>
          <w:rFonts w:ascii="Arial" w:hAnsi="Arial" w:cs="Arial"/>
          <w:spacing w:val="-3"/>
          <w:sz w:val="20"/>
          <w:lang w:eastAsia="zh-CN"/>
        </w:rPr>
        <w:t xml:space="preserve">and </w:t>
      </w:r>
      <w:r w:rsidR="001A2ED5">
        <w:rPr>
          <w:rFonts w:ascii="Arial" w:hAnsi="Arial" w:cs="Arial"/>
          <w:spacing w:val="-3"/>
          <w:sz w:val="20"/>
          <w:lang w:eastAsia="zh-CN"/>
        </w:rPr>
        <w:t>EPA Method 120.1</w:t>
      </w:r>
      <w:r w:rsidR="00F25045">
        <w:rPr>
          <w:rFonts w:ascii="Arial" w:hAnsi="Arial" w:cs="Arial"/>
          <w:spacing w:val="-3"/>
          <w:sz w:val="20"/>
          <w:lang w:eastAsia="zh-CN"/>
        </w:rPr>
        <w:t>,</w:t>
      </w:r>
      <w:r w:rsidR="00150243">
        <w:rPr>
          <w:rFonts w:ascii="Arial" w:hAnsi="Arial" w:cs="Arial"/>
          <w:spacing w:val="-3"/>
          <w:sz w:val="20"/>
          <w:lang w:eastAsia="zh-CN"/>
        </w:rPr>
        <w:t>Rev. 1982</w:t>
      </w:r>
      <w:r w:rsidR="00D15699">
        <w:rPr>
          <w:rFonts w:ascii="Arial" w:hAnsi="Arial" w:cs="Arial"/>
          <w:spacing w:val="-3"/>
          <w:sz w:val="20"/>
          <w:lang w:eastAsia="zh-CN"/>
        </w:rPr>
        <w:t xml:space="preserve"> </w:t>
      </w:r>
    </w:p>
    <w:p w14:paraId="370891BD" w14:textId="77777777" w:rsidR="002F59E3" w:rsidRDefault="002F59E3" w:rsidP="001D533D">
      <w:pPr>
        <w:widowControl/>
        <w:suppressAutoHyphens/>
        <w:spacing w:before="0" w:after="0"/>
        <w:jc w:val="both"/>
        <w:rPr>
          <w:rFonts w:ascii="Arial" w:hAnsi="Arial" w:cs="Arial"/>
          <w:spacing w:val="-3"/>
          <w:sz w:val="20"/>
          <w:lang w:eastAsia="zh-CN"/>
        </w:rPr>
      </w:pPr>
    </w:p>
    <w:p w14:paraId="4D9D5E0D" w14:textId="77777777" w:rsidR="002F59E3" w:rsidRDefault="002F59E3" w:rsidP="001D533D">
      <w:pPr>
        <w:widowControl/>
        <w:suppressAutoHyphens/>
        <w:spacing w:before="0" w:after="0"/>
        <w:jc w:val="both"/>
        <w:rPr>
          <w:rFonts w:ascii="Arial" w:hAnsi="Arial" w:cs="Arial"/>
          <w:spacing w:val="-3"/>
          <w:sz w:val="20"/>
          <w:lang w:eastAsia="zh-CN"/>
        </w:rPr>
      </w:pPr>
    </w:p>
    <w:p w14:paraId="60A0086D" w14:textId="77777777" w:rsidR="002F59E3" w:rsidRDefault="002F59E3" w:rsidP="001D533D">
      <w:pPr>
        <w:widowControl/>
        <w:suppressAutoHyphens/>
        <w:spacing w:before="0" w:after="0"/>
        <w:jc w:val="both"/>
        <w:rPr>
          <w:rFonts w:ascii="Arial" w:hAnsi="Arial" w:cs="Arial"/>
          <w:spacing w:val="-3"/>
          <w:sz w:val="20"/>
          <w:lang w:eastAsia="zh-CN"/>
        </w:rPr>
      </w:pPr>
    </w:p>
    <w:p w14:paraId="46EC4217" w14:textId="77777777" w:rsidR="002F59E3" w:rsidRDefault="002F59E3" w:rsidP="001D533D">
      <w:pPr>
        <w:widowControl/>
        <w:suppressAutoHyphens/>
        <w:spacing w:before="0" w:after="0"/>
        <w:jc w:val="both"/>
        <w:rPr>
          <w:rFonts w:ascii="Arial" w:hAnsi="Arial" w:cs="Arial"/>
          <w:spacing w:val="-3"/>
          <w:sz w:val="20"/>
          <w:lang w:eastAsia="zh-CN"/>
        </w:rPr>
      </w:pPr>
    </w:p>
    <w:p w14:paraId="356ABEDF" w14:textId="77777777" w:rsidR="002F59E3" w:rsidRDefault="002F59E3" w:rsidP="001D533D">
      <w:pPr>
        <w:widowControl/>
        <w:suppressAutoHyphens/>
        <w:spacing w:before="0" w:after="0"/>
        <w:jc w:val="both"/>
        <w:rPr>
          <w:rFonts w:ascii="Arial" w:hAnsi="Arial" w:cs="Arial"/>
          <w:spacing w:val="-3"/>
          <w:sz w:val="20"/>
          <w:lang w:eastAsia="zh-CN"/>
        </w:rPr>
      </w:pPr>
    </w:p>
    <w:p w14:paraId="3B10930A" w14:textId="23205F1E" w:rsidR="00CB776C" w:rsidRPr="000573EC" w:rsidRDefault="00CB776C" w:rsidP="000573EC">
      <w:pPr>
        <w:tabs>
          <w:tab w:val="left" w:pos="930"/>
        </w:tabs>
        <w:rPr>
          <w:rFonts w:ascii="Arial" w:hAnsi="Arial" w:cs="Arial"/>
          <w:sz w:val="20"/>
          <w:lang w:eastAsia="zh-CN"/>
        </w:rPr>
      </w:pPr>
      <w:r>
        <w:rPr>
          <w:rFonts w:ascii="Arial" w:hAnsi="Arial" w:cs="Arial"/>
          <w:sz w:val="20"/>
          <w:lang w:eastAsia="zh-CN"/>
        </w:rPr>
        <w:tab/>
      </w:r>
    </w:p>
    <w:p w14:paraId="5AE1CA72" w14:textId="661BDB60" w:rsidR="00CB776C" w:rsidRPr="000573EC" w:rsidRDefault="000573EC" w:rsidP="00C23134">
      <w:pPr>
        <w:jc w:val="center"/>
        <w:rPr>
          <w:rFonts w:ascii="Arial" w:hAnsi="Arial" w:cs="Arial"/>
          <w:sz w:val="20"/>
          <w:lang w:eastAsia="zh-CN"/>
        </w:rPr>
      </w:pPr>
      <w:r w:rsidRPr="000573EC">
        <w:rPr>
          <w:rFonts w:ascii="Arial" w:hAnsi="Arial" w:cs="Arial"/>
          <w:sz w:val="20"/>
          <w:lang w:eastAsia="zh-CN"/>
        </w:rPr>
        <w:t>Refer to the NC DEQ WW/GW LCB website for additional resources.</w:t>
      </w:r>
    </w:p>
    <w:sectPr w:rsidR="00CB776C" w:rsidRPr="000573EC" w:rsidSect="00A66425">
      <w:headerReference w:type="default" r:id="rId11"/>
      <w:footerReference w:type="default" r:id="rId12"/>
      <w:headerReference w:type="first" r:id="rId13"/>
      <w:footerReference w:type="first" r:id="rId14"/>
      <w:pgSz w:w="12240" w:h="15840" w:code="1"/>
      <w:pgMar w:top="720" w:right="720" w:bottom="432" w:left="720" w:header="288" w:footer="28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A7DCA" w14:textId="77777777" w:rsidR="00EE6593" w:rsidRDefault="00EE6593">
      <w:pPr>
        <w:spacing w:before="0" w:after="0"/>
      </w:pPr>
      <w:r>
        <w:separator/>
      </w:r>
    </w:p>
  </w:endnote>
  <w:endnote w:type="continuationSeparator" w:id="0">
    <w:p w14:paraId="3FE793D4" w14:textId="77777777" w:rsidR="00EE6593" w:rsidRDefault="00EE6593">
      <w:pPr>
        <w:spacing w:before="0" w:after="0"/>
      </w:pPr>
      <w:r>
        <w:continuationSeparator/>
      </w:r>
    </w:p>
  </w:endnote>
  <w:endnote w:type="continuationNotice" w:id="1">
    <w:p w14:paraId="69EBA2D8" w14:textId="77777777" w:rsidR="00EE6593" w:rsidRDefault="00EE65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4A09" w14:textId="206ED303" w:rsidR="00C775AB" w:rsidRPr="00F01A18" w:rsidRDefault="00000000" w:rsidP="00F01A18">
    <w:pPr>
      <w:pStyle w:val="Footer"/>
      <w:tabs>
        <w:tab w:val="clear" w:pos="4320"/>
        <w:tab w:val="clear" w:pos="8640"/>
        <w:tab w:val="right" w:pos="10800"/>
      </w:tabs>
      <w:rPr>
        <w:rFonts w:ascii="Arial" w:hAnsi="Arial" w:cs="Arial"/>
        <w:sz w:val="14"/>
        <w:szCs w:val="14"/>
      </w:rPr>
    </w:pPr>
    <w:sdt>
      <w:sdtPr>
        <w:rPr>
          <w:rFonts w:ascii="Arial" w:hAnsi="Arial" w:cs="Arial"/>
          <w:sz w:val="16"/>
          <w:szCs w:val="12"/>
        </w:rPr>
        <w:id w:val="-687760149"/>
        <w:docPartObj>
          <w:docPartGallery w:val="Page Numbers (Bottom of Page)"/>
          <w:docPartUnique/>
        </w:docPartObj>
      </w:sdtPr>
      <w:sdtEndPr>
        <w:rPr>
          <w:noProof/>
        </w:rPr>
      </w:sdtEndPr>
      <w:sdtContent>
        <w:r w:rsidR="00F01A18" w:rsidRPr="00F01A18">
          <w:rPr>
            <w:rFonts w:ascii="Arial" w:hAnsi="Arial" w:cs="Arial"/>
            <w:sz w:val="16"/>
            <w:szCs w:val="12"/>
          </w:rPr>
          <w:t xml:space="preserve">Revised </w:t>
        </w:r>
        <w:r w:rsidR="00CB776C">
          <w:rPr>
            <w:rFonts w:ascii="Arial" w:hAnsi="Arial" w:cs="Arial"/>
            <w:sz w:val="16"/>
            <w:szCs w:val="12"/>
          </w:rPr>
          <w:t>05/01</w:t>
        </w:r>
        <w:r w:rsidR="002B60C5">
          <w:rPr>
            <w:rFonts w:ascii="Arial" w:hAnsi="Arial" w:cs="Arial"/>
            <w:sz w:val="16"/>
            <w:szCs w:val="12"/>
          </w:rPr>
          <w:t>/2024</w:t>
        </w:r>
        <w:r w:rsidR="00F01A18" w:rsidRPr="00F01A18">
          <w:rPr>
            <w:rFonts w:ascii="Arial" w:hAnsi="Arial" w:cs="Arial"/>
            <w:sz w:val="16"/>
            <w:szCs w:val="12"/>
          </w:rPr>
          <w:tab/>
          <w:t xml:space="preserve"> Page </w:t>
        </w:r>
        <w:r w:rsidR="00F01A18" w:rsidRPr="00F01A18">
          <w:rPr>
            <w:rFonts w:ascii="Arial" w:hAnsi="Arial" w:cs="Arial"/>
            <w:sz w:val="16"/>
            <w:szCs w:val="12"/>
          </w:rPr>
          <w:fldChar w:fldCharType="begin"/>
        </w:r>
        <w:r w:rsidR="00F01A18" w:rsidRPr="00F01A18">
          <w:rPr>
            <w:rFonts w:ascii="Arial" w:hAnsi="Arial" w:cs="Arial"/>
            <w:sz w:val="16"/>
            <w:szCs w:val="12"/>
          </w:rPr>
          <w:instrText xml:space="preserve"> PAGE   \* MERGEFORMAT </w:instrText>
        </w:r>
        <w:r w:rsidR="00F01A18" w:rsidRPr="00F01A18">
          <w:rPr>
            <w:rFonts w:ascii="Arial" w:hAnsi="Arial" w:cs="Arial"/>
            <w:sz w:val="16"/>
            <w:szCs w:val="12"/>
          </w:rPr>
          <w:fldChar w:fldCharType="separate"/>
        </w:r>
        <w:r w:rsidR="00F01A18" w:rsidRPr="00F01A18">
          <w:rPr>
            <w:rFonts w:ascii="Arial" w:hAnsi="Arial" w:cs="Arial"/>
            <w:noProof/>
            <w:sz w:val="16"/>
            <w:szCs w:val="12"/>
          </w:rPr>
          <w:t>2</w:t>
        </w:r>
        <w:r w:rsidR="00F01A18" w:rsidRPr="00F01A18">
          <w:rPr>
            <w:rFonts w:ascii="Arial" w:hAnsi="Arial" w:cs="Arial"/>
            <w:noProof/>
            <w:sz w:val="16"/>
            <w:szCs w:val="12"/>
          </w:rPr>
          <w:fldChar w:fldCharType="end"/>
        </w:r>
      </w:sdtContent>
    </w:sdt>
    <w:r w:rsidR="00F01A18" w:rsidRPr="00F01A18">
      <w:rPr>
        <w:rFonts w:ascii="Arial" w:hAnsi="Arial" w:cs="Arial"/>
        <w:noProof/>
        <w:sz w:val="16"/>
        <w:szCs w:val="12"/>
      </w:rP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212070"/>
      <w:docPartObj>
        <w:docPartGallery w:val="Page Numbers (Bottom of Page)"/>
        <w:docPartUnique/>
      </w:docPartObj>
    </w:sdtPr>
    <w:sdtEndPr>
      <w:rPr>
        <w:rFonts w:ascii="Arial" w:hAnsi="Arial" w:cs="Arial"/>
        <w:noProof/>
        <w:sz w:val="16"/>
        <w:szCs w:val="16"/>
      </w:rPr>
    </w:sdtEndPr>
    <w:sdtContent>
      <w:p w14:paraId="3D769DF9" w14:textId="7D435F51" w:rsidR="00D76DA8" w:rsidRPr="00A23797" w:rsidRDefault="002352BE" w:rsidP="00A23797">
        <w:pPr>
          <w:pStyle w:val="Footer"/>
          <w:tabs>
            <w:tab w:val="clear" w:pos="4320"/>
            <w:tab w:val="clear" w:pos="8640"/>
            <w:tab w:val="right" w:pos="10800"/>
          </w:tabs>
          <w:rPr>
            <w:rFonts w:ascii="Arial" w:hAnsi="Arial" w:cs="Arial"/>
            <w:sz w:val="16"/>
            <w:szCs w:val="16"/>
          </w:rPr>
        </w:pPr>
        <w:r>
          <w:rPr>
            <w:rFonts w:ascii="Arial" w:hAnsi="Arial" w:cs="Arial"/>
            <w:sz w:val="16"/>
            <w:szCs w:val="12"/>
          </w:rPr>
          <w:t xml:space="preserve">Revised </w:t>
        </w:r>
        <w:r w:rsidR="00CB776C">
          <w:rPr>
            <w:rFonts w:ascii="Arial" w:hAnsi="Arial" w:cs="Arial"/>
            <w:sz w:val="16"/>
            <w:szCs w:val="12"/>
          </w:rPr>
          <w:t>05/01/</w:t>
        </w:r>
        <w:r w:rsidR="002B60C5">
          <w:rPr>
            <w:rFonts w:ascii="Arial" w:hAnsi="Arial" w:cs="Arial"/>
            <w:sz w:val="16"/>
            <w:szCs w:val="12"/>
          </w:rPr>
          <w:t>2024</w:t>
        </w:r>
        <w:r w:rsidR="00A23797">
          <w:rPr>
            <w:rFonts w:ascii="Arial" w:hAnsi="Arial" w:cs="Arial"/>
            <w:sz w:val="16"/>
            <w:szCs w:val="12"/>
          </w:rPr>
          <w:tab/>
        </w:r>
        <w:r w:rsidRPr="002352BE">
          <w:rPr>
            <w:rFonts w:ascii="Arial" w:hAnsi="Arial" w:cs="Arial"/>
            <w:sz w:val="16"/>
            <w:szCs w:val="16"/>
          </w:rPr>
          <w:t xml:space="preserve">Page </w:t>
        </w:r>
        <w:r w:rsidRPr="002352BE">
          <w:rPr>
            <w:rFonts w:ascii="Arial" w:hAnsi="Arial" w:cs="Arial"/>
            <w:sz w:val="16"/>
            <w:szCs w:val="16"/>
          </w:rPr>
          <w:fldChar w:fldCharType="begin"/>
        </w:r>
        <w:r w:rsidRPr="002352BE">
          <w:rPr>
            <w:rFonts w:ascii="Arial" w:hAnsi="Arial" w:cs="Arial"/>
            <w:sz w:val="16"/>
            <w:szCs w:val="16"/>
          </w:rPr>
          <w:instrText xml:space="preserve"> PAGE   \* MERGEFORMAT </w:instrText>
        </w:r>
        <w:r w:rsidRPr="002352BE">
          <w:rPr>
            <w:rFonts w:ascii="Arial" w:hAnsi="Arial" w:cs="Arial"/>
            <w:sz w:val="16"/>
            <w:szCs w:val="16"/>
          </w:rPr>
          <w:fldChar w:fldCharType="separate"/>
        </w:r>
        <w:r w:rsidRPr="002352BE">
          <w:rPr>
            <w:rFonts w:ascii="Arial" w:hAnsi="Arial" w:cs="Arial"/>
            <w:noProof/>
            <w:sz w:val="16"/>
            <w:szCs w:val="16"/>
          </w:rPr>
          <w:t>2</w:t>
        </w:r>
        <w:r w:rsidRPr="002352BE">
          <w:rPr>
            <w:rFonts w:ascii="Arial" w:hAnsi="Arial" w:cs="Arial"/>
            <w:noProof/>
            <w:sz w:val="16"/>
            <w:szCs w:val="16"/>
          </w:rPr>
          <w:fldChar w:fldCharType="end"/>
        </w:r>
        <w:r w:rsidR="00A23797">
          <w:rPr>
            <w:rFonts w:ascii="Arial" w:hAnsi="Arial" w:cs="Arial"/>
            <w:noProof/>
            <w:sz w:val="16"/>
            <w:szCs w:val="16"/>
          </w:rPr>
          <w:t xml:space="preserve"> of 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BEFA0" w14:textId="77777777" w:rsidR="00EE6593" w:rsidRDefault="00EE6593">
      <w:pPr>
        <w:spacing w:before="0" w:after="0"/>
      </w:pPr>
      <w:r>
        <w:separator/>
      </w:r>
    </w:p>
  </w:footnote>
  <w:footnote w:type="continuationSeparator" w:id="0">
    <w:p w14:paraId="7F68EE77" w14:textId="77777777" w:rsidR="00EE6593" w:rsidRDefault="00EE6593">
      <w:pPr>
        <w:spacing w:before="0" w:after="0"/>
      </w:pPr>
      <w:r>
        <w:continuationSeparator/>
      </w:r>
    </w:p>
  </w:footnote>
  <w:footnote w:type="continuationNotice" w:id="1">
    <w:p w14:paraId="1AA902DA" w14:textId="77777777" w:rsidR="00EE6593" w:rsidRDefault="00EE659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FA90" w14:textId="1EAA44A3" w:rsidR="00197A75" w:rsidRPr="00197A75" w:rsidRDefault="00197A75">
    <w:pPr>
      <w:pStyle w:val="Header"/>
      <w:rPr>
        <w:rFonts w:ascii="Arial" w:hAnsi="Arial" w:cs="Arial"/>
        <w:sz w:val="16"/>
        <w:szCs w:val="12"/>
      </w:rPr>
    </w:pPr>
    <w:r>
      <w:rPr>
        <w:rFonts w:ascii="Arial" w:hAnsi="Arial" w:cs="Arial"/>
        <w:sz w:val="16"/>
        <w:szCs w:val="12"/>
      </w:rPr>
      <w:t>Approved Procedure for the Analysis of Conductivity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535E" w14:textId="77777777" w:rsidR="00AA1492" w:rsidRPr="00E3623B" w:rsidRDefault="00AA1492" w:rsidP="00AA1492">
    <w:pPr>
      <w:jc w:val="center"/>
      <w:rPr>
        <w:rFonts w:ascii="Arial" w:hAnsi="Arial" w:cs="Arial"/>
        <w:b/>
        <w:sz w:val="22"/>
        <w:szCs w:val="22"/>
      </w:rPr>
    </w:pPr>
    <w:r w:rsidRPr="00E3623B">
      <w:rPr>
        <w:rFonts w:ascii="Arial" w:hAnsi="Arial" w:cs="Arial"/>
        <w:b/>
        <w:sz w:val="22"/>
        <w:szCs w:val="22"/>
      </w:rPr>
      <w:t>NORTH CAROLINA WASTEWATER/GROUNDWATER LABORATORY CERTIFICATION BRANCH</w:t>
    </w:r>
  </w:p>
  <w:p w14:paraId="4B7AC870" w14:textId="50771DC9" w:rsidR="00AA1492" w:rsidRPr="00193208" w:rsidRDefault="00AA1492" w:rsidP="00193208">
    <w:pPr>
      <w:spacing w:after="0"/>
      <w:jc w:val="center"/>
      <w:rPr>
        <w:rFonts w:ascii="Arial" w:hAnsi="Arial" w:cs="Arial"/>
        <w:b/>
        <w:sz w:val="22"/>
        <w:szCs w:val="22"/>
      </w:rPr>
    </w:pPr>
    <w:r w:rsidRPr="00E3623B">
      <w:rPr>
        <w:rFonts w:ascii="Arial" w:hAnsi="Arial" w:cs="Arial"/>
        <w:b/>
        <w:sz w:val="22"/>
        <w:szCs w:val="22"/>
      </w:rPr>
      <w:t>APPROVED PROCEDURE FOR THE ANALYSIS OF SPECIFIC CONDUCTANCE (CONDUCTIVITY)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3C9"/>
    <w:multiLevelType w:val="hybridMultilevel"/>
    <w:tmpl w:val="BB78A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F01C16"/>
    <w:multiLevelType w:val="hybridMultilevel"/>
    <w:tmpl w:val="A0321E6A"/>
    <w:lvl w:ilvl="0" w:tplc="6264FB76">
      <w:start w:val="1"/>
      <w:numFmt w:val="decimal"/>
      <w:lvlText w:val="%1."/>
      <w:lvlJc w:val="left"/>
      <w:pPr>
        <w:ind w:left="540" w:hanging="48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270E6C3B"/>
    <w:multiLevelType w:val="hybridMultilevel"/>
    <w:tmpl w:val="F5C4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AF6C06"/>
    <w:multiLevelType w:val="hybridMultilevel"/>
    <w:tmpl w:val="D604D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334486">
    <w:abstractNumId w:val="0"/>
  </w:num>
  <w:num w:numId="2" w16cid:durableId="1133600474">
    <w:abstractNumId w:val="2"/>
  </w:num>
  <w:num w:numId="3" w16cid:durableId="1525824573">
    <w:abstractNumId w:val="3"/>
  </w:num>
  <w:num w:numId="4" w16cid:durableId="910194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D5"/>
    <w:rsid w:val="00000116"/>
    <w:rsid w:val="000052A9"/>
    <w:rsid w:val="000063ED"/>
    <w:rsid w:val="00014227"/>
    <w:rsid w:val="0001546C"/>
    <w:rsid w:val="000220E8"/>
    <w:rsid w:val="00023B8F"/>
    <w:rsid w:val="000302EB"/>
    <w:rsid w:val="00030B82"/>
    <w:rsid w:val="0003465F"/>
    <w:rsid w:val="00035A8F"/>
    <w:rsid w:val="0003618C"/>
    <w:rsid w:val="0004204C"/>
    <w:rsid w:val="000422E2"/>
    <w:rsid w:val="00051B36"/>
    <w:rsid w:val="00053DEF"/>
    <w:rsid w:val="00055369"/>
    <w:rsid w:val="000573EC"/>
    <w:rsid w:val="00057D73"/>
    <w:rsid w:val="00072C1F"/>
    <w:rsid w:val="000877DD"/>
    <w:rsid w:val="00092BC7"/>
    <w:rsid w:val="00097C7D"/>
    <w:rsid w:val="000A7EB8"/>
    <w:rsid w:val="000B6DEB"/>
    <w:rsid w:val="000C3B14"/>
    <w:rsid w:val="000C7933"/>
    <w:rsid w:val="000C7F2E"/>
    <w:rsid w:val="000D17D2"/>
    <w:rsid w:val="000D1E35"/>
    <w:rsid w:val="000D46B2"/>
    <w:rsid w:val="000D6658"/>
    <w:rsid w:val="000E54BE"/>
    <w:rsid w:val="000E5684"/>
    <w:rsid w:val="000E6CF0"/>
    <w:rsid w:val="000E7A6C"/>
    <w:rsid w:val="001029A7"/>
    <w:rsid w:val="0011264A"/>
    <w:rsid w:val="0011362F"/>
    <w:rsid w:val="00134CF9"/>
    <w:rsid w:val="001357E4"/>
    <w:rsid w:val="00135EE9"/>
    <w:rsid w:val="00142DC5"/>
    <w:rsid w:val="00147E04"/>
    <w:rsid w:val="00150243"/>
    <w:rsid w:val="0015241D"/>
    <w:rsid w:val="00153888"/>
    <w:rsid w:val="00163012"/>
    <w:rsid w:val="00177389"/>
    <w:rsid w:val="00183EEB"/>
    <w:rsid w:val="00193208"/>
    <w:rsid w:val="00194A10"/>
    <w:rsid w:val="00197A75"/>
    <w:rsid w:val="00197AE4"/>
    <w:rsid w:val="001A123E"/>
    <w:rsid w:val="001A2ED5"/>
    <w:rsid w:val="001A55DC"/>
    <w:rsid w:val="001A6EF1"/>
    <w:rsid w:val="001B69B3"/>
    <w:rsid w:val="001C0E93"/>
    <w:rsid w:val="001C1F0D"/>
    <w:rsid w:val="001C2263"/>
    <w:rsid w:val="001C74A6"/>
    <w:rsid w:val="001D3D6C"/>
    <w:rsid w:val="001D533D"/>
    <w:rsid w:val="001E7814"/>
    <w:rsid w:val="001F7CF5"/>
    <w:rsid w:val="00201E4F"/>
    <w:rsid w:val="00207037"/>
    <w:rsid w:val="002120EE"/>
    <w:rsid w:val="00216038"/>
    <w:rsid w:val="00220DCE"/>
    <w:rsid w:val="00225299"/>
    <w:rsid w:val="00230958"/>
    <w:rsid w:val="00234FE2"/>
    <w:rsid w:val="002352BE"/>
    <w:rsid w:val="00235999"/>
    <w:rsid w:val="0023633A"/>
    <w:rsid w:val="002570DB"/>
    <w:rsid w:val="00260941"/>
    <w:rsid w:val="00262F04"/>
    <w:rsid w:val="0026311C"/>
    <w:rsid w:val="00264214"/>
    <w:rsid w:val="00267058"/>
    <w:rsid w:val="00270269"/>
    <w:rsid w:val="00272F24"/>
    <w:rsid w:val="0027678A"/>
    <w:rsid w:val="0028188E"/>
    <w:rsid w:val="002868FC"/>
    <w:rsid w:val="00293DED"/>
    <w:rsid w:val="002A5333"/>
    <w:rsid w:val="002B13DE"/>
    <w:rsid w:val="002B56FE"/>
    <w:rsid w:val="002B60C5"/>
    <w:rsid w:val="002C5FD1"/>
    <w:rsid w:val="002C643C"/>
    <w:rsid w:val="002D00AF"/>
    <w:rsid w:val="002D684B"/>
    <w:rsid w:val="002E3AB8"/>
    <w:rsid w:val="002F49F3"/>
    <w:rsid w:val="002F59E3"/>
    <w:rsid w:val="002F78EB"/>
    <w:rsid w:val="003047E6"/>
    <w:rsid w:val="00305E5A"/>
    <w:rsid w:val="00316CA7"/>
    <w:rsid w:val="00320C00"/>
    <w:rsid w:val="00324D4B"/>
    <w:rsid w:val="003259E9"/>
    <w:rsid w:val="003266FD"/>
    <w:rsid w:val="0032691D"/>
    <w:rsid w:val="00332A68"/>
    <w:rsid w:val="0034125E"/>
    <w:rsid w:val="0034175B"/>
    <w:rsid w:val="0034365E"/>
    <w:rsid w:val="0034417D"/>
    <w:rsid w:val="003515AF"/>
    <w:rsid w:val="00352A5A"/>
    <w:rsid w:val="0035545C"/>
    <w:rsid w:val="0036101C"/>
    <w:rsid w:val="00365F66"/>
    <w:rsid w:val="00376B82"/>
    <w:rsid w:val="0038269C"/>
    <w:rsid w:val="00394A70"/>
    <w:rsid w:val="003A3A36"/>
    <w:rsid w:val="003B2887"/>
    <w:rsid w:val="003B68A5"/>
    <w:rsid w:val="003C090A"/>
    <w:rsid w:val="003C5349"/>
    <w:rsid w:val="003E3F46"/>
    <w:rsid w:val="003F30C4"/>
    <w:rsid w:val="004007A0"/>
    <w:rsid w:val="0040742D"/>
    <w:rsid w:val="00413C52"/>
    <w:rsid w:val="00423664"/>
    <w:rsid w:val="00425557"/>
    <w:rsid w:val="00430E05"/>
    <w:rsid w:val="004342C3"/>
    <w:rsid w:val="0043522C"/>
    <w:rsid w:val="0044109C"/>
    <w:rsid w:val="00445AE5"/>
    <w:rsid w:val="00451ED8"/>
    <w:rsid w:val="004523B6"/>
    <w:rsid w:val="004630BA"/>
    <w:rsid w:val="00467774"/>
    <w:rsid w:val="00472C46"/>
    <w:rsid w:val="00473BD3"/>
    <w:rsid w:val="004802BB"/>
    <w:rsid w:val="0048283B"/>
    <w:rsid w:val="00486DA6"/>
    <w:rsid w:val="00491AF4"/>
    <w:rsid w:val="00493469"/>
    <w:rsid w:val="004A781D"/>
    <w:rsid w:val="004B5458"/>
    <w:rsid w:val="004B635B"/>
    <w:rsid w:val="004B7EB9"/>
    <w:rsid w:val="004C0F96"/>
    <w:rsid w:val="004C14E8"/>
    <w:rsid w:val="004E2686"/>
    <w:rsid w:val="004E32F0"/>
    <w:rsid w:val="004E4E28"/>
    <w:rsid w:val="004F0526"/>
    <w:rsid w:val="004F66B1"/>
    <w:rsid w:val="00500C88"/>
    <w:rsid w:val="00503D5C"/>
    <w:rsid w:val="005045A5"/>
    <w:rsid w:val="0050499B"/>
    <w:rsid w:val="0050780C"/>
    <w:rsid w:val="00514B5E"/>
    <w:rsid w:val="0052106F"/>
    <w:rsid w:val="00521155"/>
    <w:rsid w:val="00522159"/>
    <w:rsid w:val="005235B5"/>
    <w:rsid w:val="00523A2B"/>
    <w:rsid w:val="00537243"/>
    <w:rsid w:val="00547EF3"/>
    <w:rsid w:val="00555E31"/>
    <w:rsid w:val="00565FED"/>
    <w:rsid w:val="00566B9C"/>
    <w:rsid w:val="00572430"/>
    <w:rsid w:val="005727DE"/>
    <w:rsid w:val="00572842"/>
    <w:rsid w:val="00581F55"/>
    <w:rsid w:val="00583B30"/>
    <w:rsid w:val="00585482"/>
    <w:rsid w:val="00593959"/>
    <w:rsid w:val="00594ED0"/>
    <w:rsid w:val="00595651"/>
    <w:rsid w:val="005A0E93"/>
    <w:rsid w:val="005A3CF9"/>
    <w:rsid w:val="005A59A8"/>
    <w:rsid w:val="005A77E4"/>
    <w:rsid w:val="005C38D7"/>
    <w:rsid w:val="005C7828"/>
    <w:rsid w:val="005D1051"/>
    <w:rsid w:val="005E11E7"/>
    <w:rsid w:val="005E18DB"/>
    <w:rsid w:val="005E6458"/>
    <w:rsid w:val="005E704B"/>
    <w:rsid w:val="00600D75"/>
    <w:rsid w:val="00602647"/>
    <w:rsid w:val="006125E9"/>
    <w:rsid w:val="00612EBC"/>
    <w:rsid w:val="006159E6"/>
    <w:rsid w:val="00623931"/>
    <w:rsid w:val="00623A4D"/>
    <w:rsid w:val="006302C0"/>
    <w:rsid w:val="00630D1F"/>
    <w:rsid w:val="006420D9"/>
    <w:rsid w:val="0064324B"/>
    <w:rsid w:val="00643588"/>
    <w:rsid w:val="006457C7"/>
    <w:rsid w:val="00654BC6"/>
    <w:rsid w:val="00657C8E"/>
    <w:rsid w:val="00662289"/>
    <w:rsid w:val="0066242C"/>
    <w:rsid w:val="00663F51"/>
    <w:rsid w:val="006713CF"/>
    <w:rsid w:val="00672D7B"/>
    <w:rsid w:val="00686F9B"/>
    <w:rsid w:val="0069273C"/>
    <w:rsid w:val="006A3256"/>
    <w:rsid w:val="006B4DE5"/>
    <w:rsid w:val="006B56BE"/>
    <w:rsid w:val="006B7793"/>
    <w:rsid w:val="006D129E"/>
    <w:rsid w:val="006E1935"/>
    <w:rsid w:val="006F6E5D"/>
    <w:rsid w:val="0070141C"/>
    <w:rsid w:val="007129CE"/>
    <w:rsid w:val="00716194"/>
    <w:rsid w:val="00723EE9"/>
    <w:rsid w:val="00733661"/>
    <w:rsid w:val="007342F1"/>
    <w:rsid w:val="00736B08"/>
    <w:rsid w:val="00742100"/>
    <w:rsid w:val="00742B2C"/>
    <w:rsid w:val="00744287"/>
    <w:rsid w:val="007445F6"/>
    <w:rsid w:val="00747012"/>
    <w:rsid w:val="00747983"/>
    <w:rsid w:val="0075286F"/>
    <w:rsid w:val="00766EB7"/>
    <w:rsid w:val="00775510"/>
    <w:rsid w:val="00783170"/>
    <w:rsid w:val="00784DB8"/>
    <w:rsid w:val="007975AA"/>
    <w:rsid w:val="007A1B27"/>
    <w:rsid w:val="007B3649"/>
    <w:rsid w:val="007B481B"/>
    <w:rsid w:val="007B574E"/>
    <w:rsid w:val="007C34BA"/>
    <w:rsid w:val="007C3703"/>
    <w:rsid w:val="007C5148"/>
    <w:rsid w:val="007C5545"/>
    <w:rsid w:val="007C62BE"/>
    <w:rsid w:val="007D0E00"/>
    <w:rsid w:val="007E174C"/>
    <w:rsid w:val="007E1DA9"/>
    <w:rsid w:val="007E1EFF"/>
    <w:rsid w:val="007E2CD6"/>
    <w:rsid w:val="007E3894"/>
    <w:rsid w:val="007E457C"/>
    <w:rsid w:val="007F2B81"/>
    <w:rsid w:val="007F44D9"/>
    <w:rsid w:val="007F7B19"/>
    <w:rsid w:val="00804487"/>
    <w:rsid w:val="00812AC4"/>
    <w:rsid w:val="008141BC"/>
    <w:rsid w:val="008234FF"/>
    <w:rsid w:val="008257E2"/>
    <w:rsid w:val="00826F50"/>
    <w:rsid w:val="00835B9C"/>
    <w:rsid w:val="008361FB"/>
    <w:rsid w:val="0088059A"/>
    <w:rsid w:val="00884206"/>
    <w:rsid w:val="00884325"/>
    <w:rsid w:val="00884A7D"/>
    <w:rsid w:val="00897351"/>
    <w:rsid w:val="008A1045"/>
    <w:rsid w:val="008A1CBB"/>
    <w:rsid w:val="008A54DB"/>
    <w:rsid w:val="008B263F"/>
    <w:rsid w:val="008B2797"/>
    <w:rsid w:val="008B4B34"/>
    <w:rsid w:val="008B627B"/>
    <w:rsid w:val="008B7E03"/>
    <w:rsid w:val="008C54E9"/>
    <w:rsid w:val="008C7C4C"/>
    <w:rsid w:val="008D3C6E"/>
    <w:rsid w:val="008D3CE1"/>
    <w:rsid w:val="008D3D5A"/>
    <w:rsid w:val="008D7A0B"/>
    <w:rsid w:val="008F4B3D"/>
    <w:rsid w:val="00901561"/>
    <w:rsid w:val="00906C8B"/>
    <w:rsid w:val="00915063"/>
    <w:rsid w:val="00920FB3"/>
    <w:rsid w:val="00921DAF"/>
    <w:rsid w:val="0092506F"/>
    <w:rsid w:val="009344F0"/>
    <w:rsid w:val="00953F0B"/>
    <w:rsid w:val="00956099"/>
    <w:rsid w:val="009713E7"/>
    <w:rsid w:val="0097543B"/>
    <w:rsid w:val="00975C26"/>
    <w:rsid w:val="009761BC"/>
    <w:rsid w:val="00983F64"/>
    <w:rsid w:val="00986875"/>
    <w:rsid w:val="00986909"/>
    <w:rsid w:val="009925BF"/>
    <w:rsid w:val="00993AAF"/>
    <w:rsid w:val="00995A24"/>
    <w:rsid w:val="009A220E"/>
    <w:rsid w:val="009B19E3"/>
    <w:rsid w:val="009B1BEE"/>
    <w:rsid w:val="009B2CA0"/>
    <w:rsid w:val="009B3037"/>
    <w:rsid w:val="009C38CA"/>
    <w:rsid w:val="009C3ADF"/>
    <w:rsid w:val="009E18DD"/>
    <w:rsid w:val="009E2F9D"/>
    <w:rsid w:val="009F1594"/>
    <w:rsid w:val="009F1EF1"/>
    <w:rsid w:val="009F7AD4"/>
    <w:rsid w:val="00A006B1"/>
    <w:rsid w:val="00A045AF"/>
    <w:rsid w:val="00A23797"/>
    <w:rsid w:val="00A270E7"/>
    <w:rsid w:val="00A27B7B"/>
    <w:rsid w:val="00A33EA9"/>
    <w:rsid w:val="00A37FA4"/>
    <w:rsid w:val="00A40570"/>
    <w:rsid w:val="00A41817"/>
    <w:rsid w:val="00A426FB"/>
    <w:rsid w:val="00A43180"/>
    <w:rsid w:val="00A525EA"/>
    <w:rsid w:val="00A64A40"/>
    <w:rsid w:val="00A66425"/>
    <w:rsid w:val="00A732CC"/>
    <w:rsid w:val="00A7551B"/>
    <w:rsid w:val="00A773A5"/>
    <w:rsid w:val="00A8181D"/>
    <w:rsid w:val="00A84C34"/>
    <w:rsid w:val="00A85332"/>
    <w:rsid w:val="00A8669C"/>
    <w:rsid w:val="00A94D82"/>
    <w:rsid w:val="00AA07FD"/>
    <w:rsid w:val="00AA1492"/>
    <w:rsid w:val="00AA37B9"/>
    <w:rsid w:val="00AB525D"/>
    <w:rsid w:val="00AC225A"/>
    <w:rsid w:val="00AD31AC"/>
    <w:rsid w:val="00AD4E9B"/>
    <w:rsid w:val="00AE0222"/>
    <w:rsid w:val="00AE14B0"/>
    <w:rsid w:val="00AE25A2"/>
    <w:rsid w:val="00AE2621"/>
    <w:rsid w:val="00AE32E2"/>
    <w:rsid w:val="00AE3D57"/>
    <w:rsid w:val="00AE5B96"/>
    <w:rsid w:val="00AF02E1"/>
    <w:rsid w:val="00AF4B28"/>
    <w:rsid w:val="00B01B2D"/>
    <w:rsid w:val="00B13542"/>
    <w:rsid w:val="00B14307"/>
    <w:rsid w:val="00B205CB"/>
    <w:rsid w:val="00B20CAD"/>
    <w:rsid w:val="00B20E10"/>
    <w:rsid w:val="00B21BC1"/>
    <w:rsid w:val="00B2685C"/>
    <w:rsid w:val="00B32E81"/>
    <w:rsid w:val="00B35358"/>
    <w:rsid w:val="00B407FB"/>
    <w:rsid w:val="00B4735D"/>
    <w:rsid w:val="00B54321"/>
    <w:rsid w:val="00B543FC"/>
    <w:rsid w:val="00B64E73"/>
    <w:rsid w:val="00B70AD8"/>
    <w:rsid w:val="00B726F3"/>
    <w:rsid w:val="00B7309E"/>
    <w:rsid w:val="00B74407"/>
    <w:rsid w:val="00B863A6"/>
    <w:rsid w:val="00B92D7F"/>
    <w:rsid w:val="00B93323"/>
    <w:rsid w:val="00B96820"/>
    <w:rsid w:val="00B96D89"/>
    <w:rsid w:val="00BA0F5C"/>
    <w:rsid w:val="00BA0FD2"/>
    <w:rsid w:val="00BA1272"/>
    <w:rsid w:val="00BA163B"/>
    <w:rsid w:val="00BA50E1"/>
    <w:rsid w:val="00BE41E0"/>
    <w:rsid w:val="00BE5326"/>
    <w:rsid w:val="00BF44B0"/>
    <w:rsid w:val="00C0516E"/>
    <w:rsid w:val="00C10FA9"/>
    <w:rsid w:val="00C12B1C"/>
    <w:rsid w:val="00C13110"/>
    <w:rsid w:val="00C179D0"/>
    <w:rsid w:val="00C23134"/>
    <w:rsid w:val="00C24838"/>
    <w:rsid w:val="00C37CFF"/>
    <w:rsid w:val="00C55071"/>
    <w:rsid w:val="00C64F04"/>
    <w:rsid w:val="00C775AB"/>
    <w:rsid w:val="00C83729"/>
    <w:rsid w:val="00C85056"/>
    <w:rsid w:val="00C85F3E"/>
    <w:rsid w:val="00C8606A"/>
    <w:rsid w:val="00C96DAB"/>
    <w:rsid w:val="00CA22B2"/>
    <w:rsid w:val="00CA37FC"/>
    <w:rsid w:val="00CA4474"/>
    <w:rsid w:val="00CA4732"/>
    <w:rsid w:val="00CA5253"/>
    <w:rsid w:val="00CA7361"/>
    <w:rsid w:val="00CB2CDC"/>
    <w:rsid w:val="00CB64FE"/>
    <w:rsid w:val="00CB776C"/>
    <w:rsid w:val="00CC2CAE"/>
    <w:rsid w:val="00CC6402"/>
    <w:rsid w:val="00CE6BDF"/>
    <w:rsid w:val="00CF29A1"/>
    <w:rsid w:val="00CF2B67"/>
    <w:rsid w:val="00D051E9"/>
    <w:rsid w:val="00D06416"/>
    <w:rsid w:val="00D07B24"/>
    <w:rsid w:val="00D07EA6"/>
    <w:rsid w:val="00D15699"/>
    <w:rsid w:val="00D24594"/>
    <w:rsid w:val="00D2488D"/>
    <w:rsid w:val="00D2517F"/>
    <w:rsid w:val="00D27E21"/>
    <w:rsid w:val="00D35A19"/>
    <w:rsid w:val="00D375FD"/>
    <w:rsid w:val="00D40042"/>
    <w:rsid w:val="00D41354"/>
    <w:rsid w:val="00D43889"/>
    <w:rsid w:val="00D4439F"/>
    <w:rsid w:val="00D54B52"/>
    <w:rsid w:val="00D64D40"/>
    <w:rsid w:val="00D70323"/>
    <w:rsid w:val="00D7598B"/>
    <w:rsid w:val="00D76DA8"/>
    <w:rsid w:val="00D82EE0"/>
    <w:rsid w:val="00D91430"/>
    <w:rsid w:val="00D925ED"/>
    <w:rsid w:val="00D97249"/>
    <w:rsid w:val="00DA50A6"/>
    <w:rsid w:val="00DB42B7"/>
    <w:rsid w:val="00DB5A3D"/>
    <w:rsid w:val="00DC67E1"/>
    <w:rsid w:val="00DD4F8E"/>
    <w:rsid w:val="00DE2F3B"/>
    <w:rsid w:val="00DF058F"/>
    <w:rsid w:val="00DF2E27"/>
    <w:rsid w:val="00E045D8"/>
    <w:rsid w:val="00E05798"/>
    <w:rsid w:val="00E12031"/>
    <w:rsid w:val="00E12627"/>
    <w:rsid w:val="00E15BE6"/>
    <w:rsid w:val="00E174DE"/>
    <w:rsid w:val="00E17720"/>
    <w:rsid w:val="00E2485B"/>
    <w:rsid w:val="00E25389"/>
    <w:rsid w:val="00E270CF"/>
    <w:rsid w:val="00E27239"/>
    <w:rsid w:val="00E3450B"/>
    <w:rsid w:val="00E34B43"/>
    <w:rsid w:val="00E3623B"/>
    <w:rsid w:val="00E4687E"/>
    <w:rsid w:val="00E56B92"/>
    <w:rsid w:val="00E71EC1"/>
    <w:rsid w:val="00E90A21"/>
    <w:rsid w:val="00E90F51"/>
    <w:rsid w:val="00E92660"/>
    <w:rsid w:val="00E94B34"/>
    <w:rsid w:val="00E9512F"/>
    <w:rsid w:val="00E962B9"/>
    <w:rsid w:val="00EA02F3"/>
    <w:rsid w:val="00EB1A45"/>
    <w:rsid w:val="00EB1D4D"/>
    <w:rsid w:val="00EB20B5"/>
    <w:rsid w:val="00ED2D19"/>
    <w:rsid w:val="00ED2FBC"/>
    <w:rsid w:val="00ED3EA6"/>
    <w:rsid w:val="00ED549F"/>
    <w:rsid w:val="00EE51FE"/>
    <w:rsid w:val="00EE61CF"/>
    <w:rsid w:val="00EE6593"/>
    <w:rsid w:val="00EF0438"/>
    <w:rsid w:val="00EF05A8"/>
    <w:rsid w:val="00EF0996"/>
    <w:rsid w:val="00EF1332"/>
    <w:rsid w:val="00F00680"/>
    <w:rsid w:val="00F01A18"/>
    <w:rsid w:val="00F052D9"/>
    <w:rsid w:val="00F101DA"/>
    <w:rsid w:val="00F118F1"/>
    <w:rsid w:val="00F15CB9"/>
    <w:rsid w:val="00F25045"/>
    <w:rsid w:val="00F2780C"/>
    <w:rsid w:val="00F408DE"/>
    <w:rsid w:val="00F40B0D"/>
    <w:rsid w:val="00F524D5"/>
    <w:rsid w:val="00F546F2"/>
    <w:rsid w:val="00F604AE"/>
    <w:rsid w:val="00F712C1"/>
    <w:rsid w:val="00F77EDA"/>
    <w:rsid w:val="00F80A5B"/>
    <w:rsid w:val="00F81AA3"/>
    <w:rsid w:val="00F85E5A"/>
    <w:rsid w:val="00F86DAC"/>
    <w:rsid w:val="00F91BDD"/>
    <w:rsid w:val="00FA1277"/>
    <w:rsid w:val="00FA4252"/>
    <w:rsid w:val="00FB4B0A"/>
    <w:rsid w:val="00FB550E"/>
    <w:rsid w:val="00FB5E24"/>
    <w:rsid w:val="00FB6648"/>
    <w:rsid w:val="00FC2FDF"/>
    <w:rsid w:val="00FD0EEC"/>
    <w:rsid w:val="00FD100D"/>
    <w:rsid w:val="00FE1093"/>
    <w:rsid w:val="00FE2254"/>
    <w:rsid w:val="00FF1A67"/>
    <w:rsid w:val="00FF6750"/>
    <w:rsid w:val="7DC85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61216"/>
  <w15:chartTrackingRefBased/>
  <w15:docId w15:val="{2FD92697-2F0C-4DEB-85AB-DCC9DAD5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ED5"/>
    <w:pPr>
      <w:widowControl w:val="0"/>
      <w:spacing w:before="100" w:after="100"/>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2ED5"/>
    <w:rPr>
      <w:color w:val="0000FF"/>
      <w:u w:val="single"/>
    </w:rPr>
  </w:style>
  <w:style w:type="paragraph" w:styleId="BodyText">
    <w:name w:val="Body Text"/>
    <w:basedOn w:val="Normal"/>
    <w:link w:val="BodyTextChar"/>
    <w:rsid w:val="001A2ED5"/>
    <w:pPr>
      <w:spacing w:after="120"/>
    </w:pPr>
  </w:style>
  <w:style w:type="character" w:customStyle="1" w:styleId="BodyTextChar">
    <w:name w:val="Body Text Char"/>
    <w:link w:val="BodyText"/>
    <w:rsid w:val="001A2ED5"/>
    <w:rPr>
      <w:rFonts w:ascii="Times New Roman" w:eastAsia="Times New Roman" w:hAnsi="Times New Roman" w:cs="Times New Roman"/>
      <w:sz w:val="24"/>
      <w:szCs w:val="20"/>
    </w:rPr>
  </w:style>
  <w:style w:type="paragraph" w:styleId="CommentText">
    <w:name w:val="annotation text"/>
    <w:basedOn w:val="Normal"/>
    <w:link w:val="CommentTextChar"/>
    <w:rsid w:val="001A2ED5"/>
    <w:rPr>
      <w:sz w:val="20"/>
    </w:rPr>
  </w:style>
  <w:style w:type="character" w:customStyle="1" w:styleId="CommentTextChar">
    <w:name w:val="Comment Text Char"/>
    <w:link w:val="CommentText"/>
    <w:rsid w:val="001A2ED5"/>
    <w:rPr>
      <w:rFonts w:ascii="Times New Roman" w:eastAsia="Times New Roman" w:hAnsi="Times New Roman" w:cs="Times New Roman"/>
      <w:sz w:val="20"/>
      <w:szCs w:val="20"/>
    </w:rPr>
  </w:style>
  <w:style w:type="paragraph" w:styleId="Footer">
    <w:name w:val="footer"/>
    <w:basedOn w:val="Normal"/>
    <w:link w:val="FooterChar"/>
    <w:uiPriority w:val="99"/>
    <w:rsid w:val="001A2ED5"/>
    <w:pPr>
      <w:tabs>
        <w:tab w:val="center" w:pos="4320"/>
        <w:tab w:val="right" w:pos="8640"/>
      </w:tabs>
    </w:pPr>
  </w:style>
  <w:style w:type="character" w:customStyle="1" w:styleId="FooterChar">
    <w:name w:val="Footer Char"/>
    <w:link w:val="Footer"/>
    <w:uiPriority w:val="99"/>
    <w:rsid w:val="001A2ED5"/>
    <w:rPr>
      <w:rFonts w:ascii="Times New Roman" w:eastAsia="Times New Roman" w:hAnsi="Times New Roman" w:cs="Times New Roman"/>
      <w:sz w:val="24"/>
      <w:szCs w:val="20"/>
    </w:rPr>
  </w:style>
  <w:style w:type="character" w:styleId="CommentReference">
    <w:name w:val="annotation reference"/>
    <w:semiHidden/>
    <w:rsid w:val="001A2ED5"/>
    <w:rPr>
      <w:sz w:val="16"/>
      <w:szCs w:val="16"/>
    </w:rPr>
  </w:style>
  <w:style w:type="paragraph" w:styleId="BalloonText">
    <w:name w:val="Balloon Text"/>
    <w:basedOn w:val="Normal"/>
    <w:link w:val="BalloonTextChar"/>
    <w:uiPriority w:val="99"/>
    <w:semiHidden/>
    <w:unhideWhenUsed/>
    <w:rsid w:val="001A2ED5"/>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1A2ED5"/>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77EDA"/>
    <w:rPr>
      <w:b/>
      <w:bCs/>
    </w:rPr>
  </w:style>
  <w:style w:type="character" w:customStyle="1" w:styleId="CommentSubjectChar">
    <w:name w:val="Comment Subject Char"/>
    <w:link w:val="CommentSubject"/>
    <w:uiPriority w:val="99"/>
    <w:semiHidden/>
    <w:rsid w:val="00F77EDA"/>
    <w:rPr>
      <w:rFonts w:ascii="Times New Roman" w:eastAsia="Times New Roman" w:hAnsi="Times New Roman" w:cs="Times New Roman"/>
      <w:b/>
      <w:bCs/>
      <w:sz w:val="20"/>
      <w:szCs w:val="20"/>
    </w:rPr>
  </w:style>
  <w:style w:type="character" w:styleId="FollowedHyperlink">
    <w:name w:val="FollowedHyperlink"/>
    <w:uiPriority w:val="99"/>
    <w:semiHidden/>
    <w:unhideWhenUsed/>
    <w:rsid w:val="00CB64FE"/>
    <w:rPr>
      <w:color w:val="954F72"/>
      <w:u w:val="single"/>
    </w:rPr>
  </w:style>
  <w:style w:type="paragraph" w:styleId="Header">
    <w:name w:val="header"/>
    <w:basedOn w:val="Normal"/>
    <w:link w:val="HeaderChar"/>
    <w:uiPriority w:val="99"/>
    <w:unhideWhenUsed/>
    <w:rsid w:val="00612EBC"/>
    <w:pPr>
      <w:tabs>
        <w:tab w:val="center" w:pos="4680"/>
        <w:tab w:val="right" w:pos="9360"/>
      </w:tabs>
      <w:spacing w:before="0" w:after="0"/>
    </w:pPr>
  </w:style>
  <w:style w:type="character" w:customStyle="1" w:styleId="HeaderChar">
    <w:name w:val="Header Char"/>
    <w:link w:val="Header"/>
    <w:uiPriority w:val="99"/>
    <w:rsid w:val="00612EBC"/>
    <w:rPr>
      <w:rFonts w:ascii="Times New Roman" w:eastAsia="Times New Roman" w:hAnsi="Times New Roman" w:cs="Times New Roman"/>
      <w:sz w:val="24"/>
      <w:szCs w:val="20"/>
    </w:rPr>
  </w:style>
  <w:style w:type="paragraph" w:styleId="Revision">
    <w:name w:val="Revision"/>
    <w:hidden/>
    <w:uiPriority w:val="99"/>
    <w:semiHidden/>
    <w:rsid w:val="00FE2254"/>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99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3922A-2A3E-4A08-AF1E-CD2F8C978588}">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7B8B5F80-3D3A-4017-AC6C-879C6312C07E}">
  <ds:schemaRefs>
    <ds:schemaRef ds:uri="http://schemas.microsoft.com/sharepoint/v3/contenttype/forms"/>
  </ds:schemaRefs>
</ds:datastoreItem>
</file>

<file path=customXml/itemProps3.xml><?xml version="1.0" encoding="utf-8"?>
<ds:datastoreItem xmlns:ds="http://schemas.openxmlformats.org/officeDocument/2006/customXml" ds:itemID="{B482767F-B52F-4248-9F40-05477324BD79}">
  <ds:schemaRefs>
    <ds:schemaRef ds:uri="http://schemas.openxmlformats.org/officeDocument/2006/bibliography"/>
  </ds:schemaRefs>
</ds:datastoreItem>
</file>

<file path=customXml/itemProps4.xml><?xml version="1.0" encoding="utf-8"?>
<ds:datastoreItem xmlns:ds="http://schemas.openxmlformats.org/officeDocument/2006/customXml" ds:itemID="{8AC03AA4-0220-412A-B5EA-13B2D8A56316}"/>
</file>

<file path=docProps/app.xml><?xml version="1.0" encoding="utf-8"?>
<Properties xmlns="http://schemas.openxmlformats.org/officeDocument/2006/extended-properties" xmlns:vt="http://schemas.openxmlformats.org/officeDocument/2006/docPropsVTypes">
  <Template>Normal</Template>
  <TotalTime>155</TotalTime>
  <Pages>2</Pages>
  <Words>1060</Words>
  <Characters>5744</Characters>
  <Application>Microsoft Office Word</Application>
  <DocSecurity>0</DocSecurity>
  <Lines>144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Smith</dc:creator>
  <cp:keywords/>
  <dc:description/>
  <cp:lastModifiedBy>Swanson, Beth</cp:lastModifiedBy>
  <cp:revision>29</cp:revision>
  <dcterms:created xsi:type="dcterms:W3CDTF">2024-04-29T12:13:00Z</dcterms:created>
  <dcterms:modified xsi:type="dcterms:W3CDTF">2026-01-21T21:08:00Z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