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335DE" w14:textId="195B423A" w:rsidR="001A2ED5" w:rsidRPr="00805156" w:rsidRDefault="00AB577B" w:rsidP="007E33CD">
      <w:pPr>
        <w:spacing w:before="0" w:after="0"/>
        <w:jc w:val="center"/>
        <w:rPr>
          <w:rFonts w:ascii="Arial" w:hAnsi="Arial" w:cs="Arial"/>
          <w:b/>
          <w:sz w:val="22"/>
          <w:szCs w:val="22"/>
        </w:rPr>
      </w:pPr>
      <w:r w:rsidRPr="00805156">
        <w:rPr>
          <w:rFonts w:ascii="Arial" w:hAnsi="Arial" w:cs="Arial"/>
          <w:b/>
          <w:sz w:val="22"/>
          <w:szCs w:val="22"/>
        </w:rPr>
        <w:t>According to</w:t>
      </w:r>
      <w:r w:rsidR="000E23C6" w:rsidRPr="00805156">
        <w:rPr>
          <w:rFonts w:ascii="Arial" w:hAnsi="Arial" w:cs="Arial"/>
          <w:b/>
          <w:sz w:val="22"/>
          <w:szCs w:val="22"/>
        </w:rPr>
        <w:t xml:space="preserve"> Standard Methods 2130 B – 20</w:t>
      </w:r>
      <w:r w:rsidR="00162337">
        <w:rPr>
          <w:rFonts w:ascii="Arial" w:hAnsi="Arial" w:cs="Arial"/>
          <w:b/>
          <w:sz w:val="22"/>
          <w:szCs w:val="22"/>
        </w:rPr>
        <w:t>20</w:t>
      </w:r>
    </w:p>
    <w:p w14:paraId="4B1688D9" w14:textId="77777777" w:rsidR="00AB577B" w:rsidRPr="00F61A31" w:rsidRDefault="00AB577B" w:rsidP="008E46D9">
      <w:pPr>
        <w:spacing w:before="0" w:after="0"/>
        <w:jc w:val="center"/>
        <w:rPr>
          <w:rFonts w:ascii="Arial" w:hAnsi="Arial" w:cs="Arial"/>
          <w:b/>
          <w:sz w:val="23"/>
          <w:szCs w:val="23"/>
        </w:rPr>
      </w:pPr>
    </w:p>
    <w:p w14:paraId="3A8CC8C5" w14:textId="07FCEA7C" w:rsidR="001A2ED5" w:rsidRDefault="001A2ED5" w:rsidP="007E33CD">
      <w:pPr>
        <w:pStyle w:val="BodyText"/>
        <w:spacing w:before="0" w:after="0"/>
        <w:contextualSpacing/>
        <w:jc w:val="both"/>
        <w:rPr>
          <w:rFonts w:ascii="Arial" w:hAnsi="Arial" w:cs="Arial"/>
          <w:sz w:val="20"/>
        </w:rPr>
      </w:pPr>
      <w:r w:rsidRPr="003162BB">
        <w:rPr>
          <w:rFonts w:ascii="Arial" w:hAnsi="Arial" w:cs="Arial"/>
          <w:sz w:val="20"/>
        </w:rPr>
        <w:t>This document provide</w:t>
      </w:r>
      <w:r>
        <w:rPr>
          <w:rFonts w:ascii="Arial" w:hAnsi="Arial" w:cs="Arial"/>
          <w:sz w:val="20"/>
        </w:rPr>
        <w:t>s</w:t>
      </w:r>
      <w:r w:rsidRPr="003162BB">
        <w:rPr>
          <w:rFonts w:ascii="Arial" w:hAnsi="Arial" w:cs="Arial"/>
          <w:sz w:val="20"/>
        </w:rPr>
        <w:t xml:space="preserve"> an approved procedure for the analysis of </w:t>
      </w:r>
      <w:r w:rsidR="00C04583">
        <w:rPr>
          <w:rFonts w:ascii="Arial" w:hAnsi="Arial" w:cs="Arial"/>
          <w:sz w:val="20"/>
        </w:rPr>
        <w:t>Turbidity</w:t>
      </w:r>
      <w:r w:rsidRPr="003162BB">
        <w:rPr>
          <w:rFonts w:ascii="Arial" w:hAnsi="Arial" w:cs="Arial"/>
          <w:sz w:val="20"/>
        </w:rPr>
        <w:t xml:space="preserve"> </w:t>
      </w:r>
      <w:r w:rsidR="0026311C">
        <w:rPr>
          <w:rFonts w:ascii="Arial" w:hAnsi="Arial" w:cs="Arial"/>
          <w:sz w:val="20"/>
        </w:rPr>
        <w:t xml:space="preserve">for compliance monitoring </w:t>
      </w:r>
      <w:r w:rsidRPr="003162BB">
        <w:rPr>
          <w:rFonts w:ascii="Arial" w:hAnsi="Arial" w:cs="Arial"/>
          <w:sz w:val="20"/>
        </w:rPr>
        <w:t xml:space="preserve">per </w:t>
      </w:r>
      <w:r w:rsidRPr="00AF1E86">
        <w:rPr>
          <w:rFonts w:ascii="Arial" w:hAnsi="Arial" w:cs="Arial"/>
          <w:sz w:val="20"/>
        </w:rPr>
        <w:t xml:space="preserve">15A NCAC </w:t>
      </w:r>
      <w:r w:rsidR="004A5CF6">
        <w:rPr>
          <w:rFonts w:ascii="Arial" w:hAnsi="Arial" w:cs="Arial"/>
          <w:sz w:val="20"/>
        </w:rPr>
        <w:t>0</w:t>
      </w:r>
      <w:r w:rsidRPr="00AF1E86">
        <w:rPr>
          <w:rFonts w:ascii="Arial" w:hAnsi="Arial" w:cs="Arial"/>
          <w:sz w:val="20"/>
        </w:rPr>
        <w:t>2H .0805 (a) (</w:t>
      </w:r>
      <w:r w:rsidR="00F61AF2">
        <w:rPr>
          <w:rFonts w:ascii="Arial" w:hAnsi="Arial" w:cs="Arial"/>
          <w:sz w:val="20"/>
        </w:rPr>
        <w:t>7</w:t>
      </w:r>
      <w:r w:rsidRPr="00AF1E86">
        <w:rPr>
          <w:rFonts w:ascii="Arial" w:hAnsi="Arial" w:cs="Arial"/>
          <w:sz w:val="20"/>
        </w:rPr>
        <w:t>) and (g) (</w:t>
      </w:r>
      <w:r w:rsidR="00F61AF2">
        <w:rPr>
          <w:rFonts w:ascii="Arial" w:hAnsi="Arial" w:cs="Arial"/>
          <w:sz w:val="20"/>
        </w:rPr>
        <w:t>4</w:t>
      </w:r>
      <w:r w:rsidRPr="00AF1E86">
        <w:rPr>
          <w:rFonts w:ascii="Arial" w:hAnsi="Arial" w:cs="Arial"/>
          <w:sz w:val="20"/>
        </w:rPr>
        <w:t>).</w:t>
      </w:r>
      <w:r w:rsidRPr="003162BB">
        <w:rPr>
          <w:rFonts w:ascii="Arial" w:hAnsi="Arial" w:cs="Arial"/>
          <w:sz w:val="20"/>
        </w:rPr>
        <w:t xml:space="preserve"> </w:t>
      </w:r>
    </w:p>
    <w:p w14:paraId="45FF0289" w14:textId="77777777" w:rsidR="00E70E99" w:rsidRDefault="00E70E99" w:rsidP="00A45033">
      <w:pPr>
        <w:pStyle w:val="BodyText"/>
        <w:contextualSpacing/>
        <w:jc w:val="both"/>
        <w:rPr>
          <w:rFonts w:ascii="Arial" w:hAnsi="Arial" w:cs="Arial"/>
          <w:sz w:val="20"/>
        </w:rPr>
      </w:pPr>
    </w:p>
    <w:p w14:paraId="63111ADC" w14:textId="77777777" w:rsidR="00A45033" w:rsidRDefault="00A45033" w:rsidP="0026085E">
      <w:pPr>
        <w:pStyle w:val="BodyText"/>
        <w:spacing w:before="0" w:after="0"/>
        <w:contextualSpacing/>
        <w:jc w:val="both"/>
        <w:rPr>
          <w:rFonts w:ascii="Arial" w:hAnsi="Arial" w:cs="Arial"/>
          <w:sz w:val="20"/>
        </w:rPr>
      </w:pPr>
      <w:bookmarkStart w:id="0" w:name="_Hlk165450271"/>
      <w:r>
        <w:rPr>
          <w:rFonts w:ascii="Arial" w:hAnsi="Arial" w:cs="Arial"/>
          <w:sz w:val="20"/>
        </w:rPr>
        <w:t xml:space="preserve">Turbidity is considered a method-defined parameter per the definition in the Code of Federal Regulations, Part 136.6, Section (a) (5). This means that the method may not be modified per Part 136.6, Section (b) (3). </w:t>
      </w:r>
    </w:p>
    <w:bookmarkEnd w:id="0"/>
    <w:p w14:paraId="224042A4" w14:textId="77777777" w:rsidR="001A2ED5" w:rsidRPr="00F647B5" w:rsidRDefault="001A2ED5" w:rsidP="001A2ED5">
      <w:pPr>
        <w:widowControl/>
        <w:suppressAutoHyphens/>
        <w:spacing w:before="0" w:after="0"/>
        <w:rPr>
          <w:rFonts w:ascii="Arial" w:hAnsi="Arial" w:cs="Arial"/>
          <w:sz w:val="20"/>
        </w:rPr>
      </w:pPr>
    </w:p>
    <w:p w14:paraId="16494374" w14:textId="77777777" w:rsidR="008330DD" w:rsidRPr="00F61A31" w:rsidRDefault="001A2ED5" w:rsidP="0026085E">
      <w:pPr>
        <w:spacing w:before="0"/>
        <w:jc w:val="both"/>
        <w:rPr>
          <w:rFonts w:ascii="Arial" w:hAnsi="Arial"/>
          <w:b/>
          <w:sz w:val="20"/>
          <w:u w:val="single"/>
        </w:rPr>
      </w:pPr>
      <w:r w:rsidRPr="00F61A31">
        <w:rPr>
          <w:rFonts w:ascii="Arial" w:hAnsi="Arial"/>
          <w:b/>
          <w:sz w:val="20"/>
          <w:u w:val="single"/>
        </w:rPr>
        <w:t xml:space="preserve">Holding Time: </w:t>
      </w:r>
    </w:p>
    <w:p w14:paraId="13AD839F" w14:textId="77777777" w:rsidR="001A2ED5" w:rsidRPr="00E62AF5" w:rsidRDefault="001A2ED5" w:rsidP="008330DD">
      <w:pPr>
        <w:widowControl/>
        <w:numPr>
          <w:ilvl w:val="0"/>
          <w:numId w:val="2"/>
        </w:numPr>
        <w:suppressAutoHyphens/>
        <w:spacing w:before="0" w:after="0"/>
        <w:rPr>
          <w:rFonts w:ascii="Arial" w:hAnsi="Arial" w:cs="Arial"/>
          <w:sz w:val="20"/>
        </w:rPr>
      </w:pPr>
      <w:r w:rsidRPr="009B033A">
        <w:rPr>
          <w:rFonts w:ascii="Arial" w:hAnsi="Arial"/>
          <w:sz w:val="20"/>
        </w:rPr>
        <w:t>S</w:t>
      </w:r>
      <w:r w:rsidR="00C04583">
        <w:rPr>
          <w:rFonts w:ascii="Arial" w:hAnsi="Arial"/>
          <w:sz w:val="20"/>
        </w:rPr>
        <w:t>amples must be analyzed within 48 hours</w:t>
      </w:r>
      <w:r w:rsidRPr="009B033A">
        <w:rPr>
          <w:rFonts w:ascii="Arial" w:hAnsi="Arial"/>
          <w:sz w:val="20"/>
        </w:rPr>
        <w:t xml:space="preserve"> of collection (40 CFR Part 136</w:t>
      </w:r>
      <w:r w:rsidR="004C7040">
        <w:rPr>
          <w:rFonts w:ascii="Arial" w:hAnsi="Arial"/>
          <w:sz w:val="20"/>
        </w:rPr>
        <w:t>.3</w:t>
      </w:r>
      <w:r w:rsidRPr="009B033A">
        <w:rPr>
          <w:rFonts w:ascii="Arial" w:hAnsi="Arial"/>
          <w:sz w:val="20"/>
        </w:rPr>
        <w:t xml:space="preserve"> Table II). </w:t>
      </w:r>
    </w:p>
    <w:p w14:paraId="029F335F" w14:textId="77777777" w:rsidR="001A2ED5" w:rsidRPr="00E62AF5" w:rsidRDefault="001A2ED5" w:rsidP="008330DD">
      <w:pPr>
        <w:widowControl/>
        <w:suppressAutoHyphens/>
        <w:spacing w:before="0" w:after="0"/>
        <w:rPr>
          <w:rFonts w:ascii="Arial" w:hAnsi="Arial" w:cs="Arial"/>
          <w:sz w:val="20"/>
        </w:rPr>
      </w:pPr>
    </w:p>
    <w:p w14:paraId="3082775D" w14:textId="30EDB4D1" w:rsidR="001A2ED5" w:rsidRDefault="001A2ED5" w:rsidP="008330DD">
      <w:pPr>
        <w:widowControl/>
        <w:numPr>
          <w:ilvl w:val="0"/>
          <w:numId w:val="2"/>
        </w:numPr>
        <w:suppressAutoHyphens/>
        <w:spacing w:before="0" w:after="0"/>
        <w:rPr>
          <w:rFonts w:ascii="Arial" w:hAnsi="Arial" w:cs="Arial"/>
          <w:sz w:val="20"/>
        </w:rPr>
      </w:pPr>
      <w:r w:rsidRPr="009B033A">
        <w:rPr>
          <w:rFonts w:ascii="Arial" w:hAnsi="Arial" w:cs="Arial"/>
          <w:sz w:val="20"/>
        </w:rPr>
        <w:t xml:space="preserve">Samples must be stored above freezing </w:t>
      </w:r>
      <w:r>
        <w:rPr>
          <w:rFonts w:ascii="Arial" w:hAnsi="Arial" w:cs="Arial"/>
          <w:sz w:val="20"/>
        </w:rPr>
        <w:t>and</w:t>
      </w:r>
      <w:r w:rsidRPr="009B033A">
        <w:rPr>
          <w:rFonts w:ascii="Arial" w:hAnsi="Arial" w:cs="Arial"/>
          <w:sz w:val="20"/>
        </w:rPr>
        <w:t xml:space="preserve"> </w:t>
      </w:r>
      <w:r>
        <w:rPr>
          <w:rFonts w:ascii="Arial" w:hAnsi="Arial" w:cs="Arial"/>
          <w:sz w:val="20"/>
        </w:rPr>
        <w:t>≤</w:t>
      </w:r>
      <w:r w:rsidRPr="009B033A">
        <w:rPr>
          <w:rFonts w:ascii="Arial" w:hAnsi="Arial" w:cs="Arial"/>
          <w:sz w:val="20"/>
        </w:rPr>
        <w:t>6</w:t>
      </w:r>
      <w:r w:rsidR="000D5996">
        <w:rPr>
          <w:rFonts w:ascii="Arial" w:hAnsi="Arial" w:cs="Arial"/>
          <w:sz w:val="20"/>
        </w:rPr>
        <w:t xml:space="preserve"> </w:t>
      </w:r>
      <w:r w:rsidRPr="009B033A">
        <w:rPr>
          <w:rFonts w:ascii="Arial" w:hAnsi="Arial" w:cs="Arial"/>
          <w:sz w:val="20"/>
        </w:rPr>
        <w:t>°C, if not analyzed immediately.</w:t>
      </w:r>
    </w:p>
    <w:p w14:paraId="1829F8F1" w14:textId="77777777" w:rsidR="001A2ED5" w:rsidRPr="009B033A" w:rsidRDefault="001A2ED5" w:rsidP="008330DD">
      <w:pPr>
        <w:widowControl/>
        <w:suppressAutoHyphens/>
        <w:spacing w:before="0" w:after="0"/>
        <w:contextualSpacing/>
        <w:rPr>
          <w:rFonts w:ascii="Arial" w:hAnsi="Arial" w:cs="Arial"/>
          <w:sz w:val="20"/>
        </w:rPr>
      </w:pPr>
    </w:p>
    <w:p w14:paraId="1D3FEAFA" w14:textId="77777777" w:rsidR="001A2ED5" w:rsidRPr="009B033A" w:rsidRDefault="001A2ED5" w:rsidP="0026085E">
      <w:pPr>
        <w:spacing w:before="0"/>
        <w:jc w:val="both"/>
        <w:rPr>
          <w:rFonts w:ascii="Arial" w:hAnsi="Arial"/>
          <w:b/>
          <w:sz w:val="20"/>
          <w:u w:val="single"/>
        </w:rPr>
      </w:pPr>
      <w:r>
        <w:rPr>
          <w:rFonts w:ascii="Arial" w:hAnsi="Arial"/>
          <w:b/>
          <w:sz w:val="20"/>
          <w:u w:val="single"/>
        </w:rPr>
        <w:t>General Information</w:t>
      </w:r>
      <w:r w:rsidRPr="009B033A">
        <w:rPr>
          <w:rFonts w:ascii="Arial" w:hAnsi="Arial"/>
          <w:b/>
          <w:sz w:val="20"/>
          <w:u w:val="single"/>
        </w:rPr>
        <w:t xml:space="preserve">: </w:t>
      </w:r>
    </w:p>
    <w:p w14:paraId="38263FDA" w14:textId="77777777" w:rsidR="007B481B" w:rsidRDefault="007B481B" w:rsidP="007B481B">
      <w:pPr>
        <w:numPr>
          <w:ilvl w:val="0"/>
          <w:numId w:val="1"/>
        </w:numPr>
        <w:jc w:val="both"/>
        <w:rPr>
          <w:rFonts w:ascii="Arial" w:hAnsi="Arial"/>
          <w:sz w:val="20"/>
        </w:rPr>
      </w:pPr>
      <w:bookmarkStart w:id="1" w:name="_Hlk502820721"/>
      <w:r>
        <w:rPr>
          <w:rFonts w:ascii="Arial" w:hAnsi="Arial"/>
          <w:sz w:val="20"/>
        </w:rPr>
        <w:t>Sample duplicates are not a required quality control element for Field parameters.</w:t>
      </w:r>
    </w:p>
    <w:p w14:paraId="2E6C6F87" w14:textId="77777777" w:rsidR="00B206FE" w:rsidRPr="009B6B6C" w:rsidRDefault="0036244F" w:rsidP="009B6B6C">
      <w:pPr>
        <w:pStyle w:val="ListParagraph"/>
        <w:numPr>
          <w:ilvl w:val="0"/>
          <w:numId w:val="1"/>
        </w:numPr>
        <w:rPr>
          <w:rFonts w:ascii="Arial" w:hAnsi="Arial"/>
          <w:sz w:val="20"/>
        </w:rPr>
      </w:pPr>
      <w:r w:rsidRPr="009B6B6C">
        <w:rPr>
          <w:rFonts w:ascii="Arial" w:hAnsi="Arial"/>
          <w:sz w:val="20"/>
        </w:rPr>
        <w:t>A n</w:t>
      </w:r>
      <w:r w:rsidR="00B206FE" w:rsidRPr="009B6B6C">
        <w:rPr>
          <w:rFonts w:ascii="Arial" w:hAnsi="Arial"/>
          <w:sz w:val="20"/>
        </w:rPr>
        <w:t>ephelometer</w:t>
      </w:r>
      <w:r w:rsidR="00AE38BE" w:rsidRPr="009B6B6C">
        <w:rPr>
          <w:rFonts w:ascii="Arial" w:hAnsi="Arial"/>
          <w:sz w:val="20"/>
        </w:rPr>
        <w:t xml:space="preserve"> must be used for the analysis of Turbidity.</w:t>
      </w:r>
      <w:r w:rsidR="00B206FE" w:rsidRPr="009B6B6C">
        <w:rPr>
          <w:rFonts w:ascii="Arial" w:hAnsi="Arial"/>
          <w:sz w:val="20"/>
        </w:rPr>
        <w:t xml:space="preserve"> </w:t>
      </w:r>
    </w:p>
    <w:bookmarkEnd w:id="1"/>
    <w:p w14:paraId="10FF6603" w14:textId="77777777" w:rsidR="00D925ED" w:rsidRDefault="00C04583" w:rsidP="001A2ED5">
      <w:pPr>
        <w:numPr>
          <w:ilvl w:val="0"/>
          <w:numId w:val="1"/>
        </w:numPr>
        <w:jc w:val="both"/>
        <w:rPr>
          <w:rFonts w:ascii="Arial" w:hAnsi="Arial"/>
          <w:sz w:val="20"/>
        </w:rPr>
      </w:pPr>
      <w:r>
        <w:rPr>
          <w:rFonts w:ascii="Arial" w:hAnsi="Arial"/>
          <w:sz w:val="20"/>
        </w:rPr>
        <w:t>Turbidity</w:t>
      </w:r>
      <w:r w:rsidR="001A2ED5" w:rsidRPr="00BE3A1A">
        <w:rPr>
          <w:rFonts w:ascii="Arial" w:hAnsi="Arial"/>
          <w:sz w:val="20"/>
        </w:rPr>
        <w:t xml:space="preserve"> samples </w:t>
      </w:r>
      <w:r w:rsidR="00D51868">
        <w:rPr>
          <w:rFonts w:ascii="Arial" w:hAnsi="Arial"/>
          <w:sz w:val="20"/>
        </w:rPr>
        <w:t>are</w:t>
      </w:r>
      <w:r w:rsidR="001A2ED5" w:rsidRPr="00BE3A1A">
        <w:rPr>
          <w:rFonts w:ascii="Arial" w:hAnsi="Arial"/>
          <w:sz w:val="20"/>
        </w:rPr>
        <w:t xml:space="preserve"> not </w:t>
      </w:r>
      <w:r w:rsidR="00D51868">
        <w:rPr>
          <w:rFonts w:ascii="Arial" w:hAnsi="Arial"/>
          <w:sz w:val="20"/>
        </w:rPr>
        <w:t xml:space="preserve">to </w:t>
      </w:r>
      <w:r w:rsidR="001A2ED5" w:rsidRPr="00BE3A1A">
        <w:rPr>
          <w:rFonts w:ascii="Arial" w:hAnsi="Arial"/>
          <w:sz w:val="20"/>
        </w:rPr>
        <w:t>be diluted</w:t>
      </w:r>
      <w:r w:rsidR="00D51868">
        <w:rPr>
          <w:rFonts w:ascii="Arial" w:hAnsi="Arial"/>
          <w:sz w:val="20"/>
        </w:rPr>
        <w:t xml:space="preserve"> unless their concentration falls outside the allowable calibration range of the meter</w:t>
      </w:r>
      <w:r w:rsidR="001A2ED5" w:rsidRPr="00BE3A1A">
        <w:rPr>
          <w:rFonts w:ascii="Arial" w:hAnsi="Arial"/>
          <w:sz w:val="20"/>
        </w:rPr>
        <w:t>.</w:t>
      </w:r>
      <w:r w:rsidR="001A2ED5">
        <w:rPr>
          <w:rFonts w:ascii="Arial" w:hAnsi="Arial"/>
          <w:sz w:val="20"/>
        </w:rPr>
        <w:t xml:space="preserve"> </w:t>
      </w:r>
    </w:p>
    <w:p w14:paraId="30F93E02" w14:textId="3FA75A29" w:rsidR="007518D0" w:rsidRDefault="00854C7F" w:rsidP="22610E66">
      <w:pPr>
        <w:pStyle w:val="ListParagraph"/>
        <w:numPr>
          <w:ilvl w:val="0"/>
          <w:numId w:val="1"/>
        </w:numPr>
        <w:jc w:val="both"/>
        <w:rPr>
          <w:rFonts w:ascii="Arial" w:hAnsi="Arial"/>
          <w:sz w:val="20"/>
        </w:rPr>
      </w:pPr>
      <w:r w:rsidRPr="00854C7F">
        <w:rPr>
          <w:rFonts w:ascii="Arial" w:hAnsi="Arial"/>
          <w:sz w:val="20"/>
        </w:rPr>
        <w:t>A post-analysis calibration verification must be performed at the end of the run anytime the meter is transported by vehicle to another location after calibration.</w:t>
      </w:r>
      <w:r w:rsidR="007518D0" w:rsidRPr="22610E66">
        <w:rPr>
          <w:rFonts w:ascii="Arial" w:hAnsi="Arial"/>
          <w:sz w:val="20"/>
        </w:rPr>
        <w:t xml:space="preserve"> It is recommended that a mid-day or a mid-batch calibration verification be performed when samples are analyzed over an extended </w:t>
      </w:r>
      <w:proofErr w:type="gramStart"/>
      <w:r w:rsidR="007518D0" w:rsidRPr="22610E66">
        <w:rPr>
          <w:rFonts w:ascii="Arial" w:hAnsi="Arial"/>
          <w:sz w:val="20"/>
        </w:rPr>
        <w:t>period of time</w:t>
      </w:r>
      <w:proofErr w:type="gramEnd"/>
      <w:r w:rsidR="007518D0" w:rsidRPr="22610E66">
        <w:rPr>
          <w:rFonts w:ascii="Arial" w:hAnsi="Arial"/>
          <w:sz w:val="20"/>
        </w:rPr>
        <w:t xml:space="preserve">. The value obtained for the post-analysis calibration verification check-standard must </w:t>
      </w:r>
      <w:proofErr w:type="gramStart"/>
      <w:r w:rsidR="007518D0" w:rsidRPr="22610E66">
        <w:rPr>
          <w:rFonts w:ascii="Arial" w:hAnsi="Arial"/>
          <w:sz w:val="20"/>
        </w:rPr>
        <w:t>read</w:t>
      </w:r>
      <w:proofErr w:type="gramEnd"/>
      <w:r w:rsidR="007518D0" w:rsidRPr="22610E66">
        <w:rPr>
          <w:rFonts w:ascii="Arial" w:hAnsi="Arial"/>
          <w:sz w:val="20"/>
        </w:rPr>
        <w:t xml:space="preserve"> within 10% of the standard’s true value. If the obtained value is outside of the ±10% range, corrective action must be taken. If recalibration is necessary, all samples analyzed since the last acceptable calibration verification must be reanalyzed, if possible. If samples cannot be reanalyzed, the data must be qualified.</w:t>
      </w:r>
    </w:p>
    <w:p w14:paraId="64CCA00D" w14:textId="77777777" w:rsidR="00DF4C4F" w:rsidRPr="007518D0" w:rsidRDefault="00DF4C4F" w:rsidP="00F035C7">
      <w:pPr>
        <w:pStyle w:val="ListParagraph"/>
        <w:spacing w:after="0"/>
        <w:jc w:val="both"/>
        <w:rPr>
          <w:rFonts w:ascii="Arial" w:hAnsi="Arial"/>
          <w:sz w:val="20"/>
        </w:rPr>
      </w:pPr>
    </w:p>
    <w:p w14:paraId="1924FDF3" w14:textId="77777777" w:rsidR="00D76A2A" w:rsidRPr="007518D0" w:rsidRDefault="007518D0" w:rsidP="00400F9D">
      <w:pPr>
        <w:spacing w:before="0"/>
        <w:jc w:val="both"/>
        <w:rPr>
          <w:rFonts w:ascii="Arial" w:hAnsi="Arial"/>
          <w:b/>
          <w:sz w:val="20"/>
          <w:u w:val="single"/>
        </w:rPr>
      </w:pPr>
      <w:r w:rsidRPr="007518D0">
        <w:rPr>
          <w:rFonts w:ascii="Arial" w:hAnsi="Arial"/>
          <w:b/>
          <w:sz w:val="20"/>
          <w:u w:val="single"/>
        </w:rPr>
        <w:t>Interferences</w:t>
      </w:r>
    </w:p>
    <w:p w14:paraId="3B2F03FB" w14:textId="77777777" w:rsidR="00E70E99" w:rsidRDefault="007518D0" w:rsidP="001A2ED5">
      <w:pPr>
        <w:numPr>
          <w:ilvl w:val="0"/>
          <w:numId w:val="1"/>
        </w:numPr>
        <w:jc w:val="both"/>
        <w:rPr>
          <w:rFonts w:ascii="Arial" w:hAnsi="Arial"/>
          <w:sz w:val="20"/>
        </w:rPr>
      </w:pPr>
      <w:r>
        <w:rPr>
          <w:rFonts w:ascii="Arial" w:hAnsi="Arial"/>
          <w:sz w:val="20"/>
        </w:rPr>
        <w:t>L</w:t>
      </w:r>
      <w:r w:rsidR="00E70E99">
        <w:rPr>
          <w:rFonts w:ascii="Arial" w:hAnsi="Arial"/>
          <w:sz w:val="20"/>
        </w:rPr>
        <w:t>ight-absorbing materials such as activated carbon (when present in significant concentrations) or presence of dissolved, color-causing substances can cause a negative interference.</w:t>
      </w:r>
      <w:r w:rsidR="00AF70BF">
        <w:rPr>
          <w:rFonts w:ascii="Arial" w:hAnsi="Arial"/>
          <w:sz w:val="20"/>
        </w:rPr>
        <w:t xml:space="preserve"> </w:t>
      </w:r>
      <w:r w:rsidR="00CA3F21">
        <w:rPr>
          <w:rFonts w:ascii="Arial" w:hAnsi="Arial"/>
          <w:sz w:val="20"/>
        </w:rPr>
        <w:t xml:space="preserve">Samples with very high turbidity and/or colored samples may benefit from </w:t>
      </w:r>
      <w:r w:rsidR="00C16767">
        <w:rPr>
          <w:rFonts w:ascii="Arial" w:hAnsi="Arial"/>
          <w:sz w:val="20"/>
        </w:rPr>
        <w:t xml:space="preserve">analysis using the Ratio </w:t>
      </w:r>
      <w:r w:rsidR="00701701">
        <w:rPr>
          <w:rFonts w:ascii="Arial" w:hAnsi="Arial"/>
          <w:sz w:val="20"/>
        </w:rPr>
        <w:t>mode that is available</w:t>
      </w:r>
      <w:r w:rsidR="00C16767">
        <w:rPr>
          <w:rFonts w:ascii="Arial" w:hAnsi="Arial"/>
          <w:sz w:val="20"/>
        </w:rPr>
        <w:t xml:space="preserve"> on </w:t>
      </w:r>
      <w:r w:rsidR="00701701">
        <w:rPr>
          <w:rFonts w:ascii="Arial" w:hAnsi="Arial"/>
          <w:sz w:val="20"/>
        </w:rPr>
        <w:t>some</w:t>
      </w:r>
      <w:r w:rsidR="006A25A9">
        <w:rPr>
          <w:rFonts w:ascii="Arial" w:hAnsi="Arial"/>
          <w:sz w:val="20"/>
        </w:rPr>
        <w:t xml:space="preserve"> </w:t>
      </w:r>
      <w:r w:rsidR="00C16767">
        <w:rPr>
          <w:rFonts w:ascii="Arial" w:hAnsi="Arial"/>
          <w:sz w:val="20"/>
        </w:rPr>
        <w:t>meter</w:t>
      </w:r>
      <w:r w:rsidR="0093569A">
        <w:rPr>
          <w:rFonts w:ascii="Arial" w:hAnsi="Arial"/>
          <w:sz w:val="20"/>
        </w:rPr>
        <w:t>s</w:t>
      </w:r>
      <w:r w:rsidR="00C16767">
        <w:rPr>
          <w:rFonts w:ascii="Arial" w:hAnsi="Arial"/>
          <w:sz w:val="20"/>
        </w:rPr>
        <w:t>.</w:t>
      </w:r>
    </w:p>
    <w:p w14:paraId="15B89093" w14:textId="77777777" w:rsidR="002072F6" w:rsidRPr="0031224D" w:rsidRDefault="00A43AFF" w:rsidP="00593CD8">
      <w:pPr>
        <w:numPr>
          <w:ilvl w:val="0"/>
          <w:numId w:val="1"/>
        </w:numPr>
        <w:jc w:val="both"/>
        <w:rPr>
          <w:rFonts w:ascii="Arial" w:hAnsi="Arial"/>
          <w:sz w:val="20"/>
        </w:rPr>
      </w:pPr>
      <w:r w:rsidRPr="00A43AFF">
        <w:rPr>
          <w:rFonts w:ascii="Arial" w:hAnsi="Arial"/>
          <w:sz w:val="20"/>
        </w:rPr>
        <w:t xml:space="preserve">Dirty glassware and air bubbles give false results. </w:t>
      </w:r>
      <w:r w:rsidR="002072F6" w:rsidRPr="0031224D">
        <w:rPr>
          <w:rFonts w:ascii="Arial" w:hAnsi="Arial"/>
          <w:sz w:val="20"/>
        </w:rPr>
        <w:t>Remove air or other entrained gases in the sample before measurement. Preferably degas even if no bubbles are visible.  Degas by applying a partial vacuum, adding a nonfoaming-type surfactant, using an ultrasonic bath, or applying heat. In some cases, two or more of these techniques may be combined for more effective bubble removal. For example, it may be necessary to combine addition of a surfactant with use of an ultrasonic bath for some severe conditions. Any of these techniques, if misapplied, can alter sample turbidity; use with care. If degassing cannot be applied, bubble formation will be minimized if the samples are maintained at the temperature and pressure of the</w:t>
      </w:r>
      <w:r w:rsidR="0031224D" w:rsidRPr="0031224D">
        <w:rPr>
          <w:rFonts w:ascii="Arial" w:hAnsi="Arial"/>
          <w:sz w:val="20"/>
        </w:rPr>
        <w:t xml:space="preserve"> </w:t>
      </w:r>
      <w:r w:rsidR="002072F6" w:rsidRPr="0031224D">
        <w:rPr>
          <w:rFonts w:ascii="Arial" w:hAnsi="Arial"/>
          <w:sz w:val="20"/>
        </w:rPr>
        <w:t>water before sampling.</w:t>
      </w:r>
    </w:p>
    <w:p w14:paraId="648F0974" w14:textId="77777777" w:rsidR="0070141C" w:rsidRDefault="0070141C" w:rsidP="001A2ED5">
      <w:pPr>
        <w:numPr>
          <w:ilvl w:val="0"/>
          <w:numId w:val="1"/>
        </w:numPr>
        <w:jc w:val="both"/>
        <w:rPr>
          <w:rFonts w:ascii="Arial" w:hAnsi="Arial"/>
          <w:sz w:val="20"/>
        </w:rPr>
      </w:pPr>
      <w:r>
        <w:rPr>
          <w:rFonts w:ascii="Arial" w:hAnsi="Arial"/>
          <w:sz w:val="20"/>
        </w:rPr>
        <w:t xml:space="preserve">Keep the </w:t>
      </w:r>
      <w:r w:rsidR="00C04583">
        <w:rPr>
          <w:rFonts w:ascii="Arial" w:hAnsi="Arial"/>
          <w:sz w:val="20"/>
        </w:rPr>
        <w:t>sample</w:t>
      </w:r>
      <w:r>
        <w:rPr>
          <w:rFonts w:ascii="Arial" w:hAnsi="Arial"/>
          <w:sz w:val="20"/>
        </w:rPr>
        <w:t xml:space="preserve"> cell clean when not in use</w:t>
      </w:r>
      <w:r w:rsidR="00686F9B">
        <w:rPr>
          <w:rFonts w:ascii="Arial" w:hAnsi="Arial"/>
          <w:sz w:val="20"/>
        </w:rPr>
        <w:t>.</w:t>
      </w:r>
      <w:r w:rsidR="00676D1B">
        <w:rPr>
          <w:rFonts w:ascii="Arial" w:hAnsi="Arial"/>
          <w:sz w:val="20"/>
        </w:rPr>
        <w:t xml:space="preserve"> </w:t>
      </w:r>
      <w:r w:rsidR="00E9675C">
        <w:rPr>
          <w:rFonts w:ascii="Arial" w:hAnsi="Arial"/>
          <w:sz w:val="20"/>
        </w:rPr>
        <w:t>Handle sample cells only by the top to avoid dirt and fingerprints within the light path.</w:t>
      </w:r>
      <w:r w:rsidR="00676D1B">
        <w:rPr>
          <w:rFonts w:ascii="Arial" w:hAnsi="Arial"/>
          <w:sz w:val="20"/>
        </w:rPr>
        <w:t xml:space="preserve"> Discard when they become scratched or etched. </w:t>
      </w:r>
      <w:r w:rsidR="00E9675C">
        <w:rPr>
          <w:rFonts w:ascii="Arial" w:hAnsi="Arial"/>
          <w:sz w:val="20"/>
        </w:rPr>
        <w:t>A light coating of silicon oil may be used to mask minor imperfections in glass tubes.</w:t>
      </w:r>
    </w:p>
    <w:p w14:paraId="5E6A8DDE" w14:textId="77777777" w:rsidR="00AE02E4" w:rsidRPr="002219B3" w:rsidRDefault="00AE02E4" w:rsidP="00F035C7">
      <w:pPr>
        <w:numPr>
          <w:ilvl w:val="0"/>
          <w:numId w:val="1"/>
        </w:numPr>
        <w:spacing w:after="0"/>
        <w:jc w:val="both"/>
        <w:rPr>
          <w:rFonts w:ascii="Arial" w:hAnsi="Arial"/>
          <w:sz w:val="20"/>
        </w:rPr>
      </w:pPr>
      <w:r w:rsidRPr="002219B3">
        <w:rPr>
          <w:rFonts w:ascii="Arial" w:hAnsi="Arial"/>
          <w:sz w:val="20"/>
        </w:rPr>
        <w:t>Condensation may occur on the outside surface of a sample cell when a cold sample is being measured in a warm, humid environment. This interferes with turbidity measurement. Remove all moisture from the outside of the sample cell before placing the cell in the instrument. If fogging recurs, let sample warm slightly by letting it stand at room temperature or by partially immersing it in a warm water bath for a short time.</w:t>
      </w:r>
      <w:r w:rsidR="002219B3" w:rsidRPr="002219B3">
        <w:rPr>
          <w:rFonts w:ascii="Arial" w:hAnsi="Arial"/>
          <w:sz w:val="20"/>
        </w:rPr>
        <w:t xml:space="preserve"> </w:t>
      </w:r>
      <w:r w:rsidRPr="002219B3">
        <w:rPr>
          <w:rFonts w:ascii="Arial" w:hAnsi="Arial"/>
          <w:sz w:val="20"/>
        </w:rPr>
        <w:t>Make sure samples are again well mixed.</w:t>
      </w:r>
    </w:p>
    <w:p w14:paraId="38D1589D" w14:textId="77777777" w:rsidR="001A2ED5" w:rsidRDefault="001A2ED5" w:rsidP="003133CA">
      <w:pPr>
        <w:spacing w:before="0" w:after="0"/>
        <w:jc w:val="both"/>
        <w:rPr>
          <w:rFonts w:ascii="Arial" w:hAnsi="Arial"/>
          <w:b/>
          <w:sz w:val="20"/>
          <w:u w:val="single"/>
        </w:rPr>
      </w:pPr>
    </w:p>
    <w:p w14:paraId="52414624" w14:textId="77777777" w:rsidR="00CA58E7" w:rsidRDefault="00CA58E7" w:rsidP="003133CA">
      <w:pPr>
        <w:spacing w:before="0"/>
        <w:jc w:val="both"/>
        <w:rPr>
          <w:rFonts w:ascii="Arial" w:hAnsi="Arial"/>
          <w:b/>
          <w:sz w:val="20"/>
          <w:u w:val="single"/>
        </w:rPr>
      </w:pPr>
      <w:r>
        <w:rPr>
          <w:rFonts w:ascii="Arial" w:hAnsi="Arial"/>
          <w:b/>
          <w:sz w:val="20"/>
          <w:u w:val="single"/>
        </w:rPr>
        <w:t>Definitions:</w:t>
      </w:r>
    </w:p>
    <w:p w14:paraId="2D2CBB61" w14:textId="77777777" w:rsidR="00CA58E7" w:rsidRDefault="005E0670" w:rsidP="005E0670">
      <w:pPr>
        <w:pStyle w:val="ListParagraph"/>
        <w:numPr>
          <w:ilvl w:val="0"/>
          <w:numId w:val="11"/>
        </w:numPr>
        <w:jc w:val="both"/>
        <w:rPr>
          <w:rFonts w:ascii="Arial" w:hAnsi="Arial"/>
          <w:sz w:val="20"/>
        </w:rPr>
      </w:pPr>
      <w:r w:rsidRPr="005E0670">
        <w:rPr>
          <w:rFonts w:ascii="Arial" w:hAnsi="Arial"/>
          <w:sz w:val="20"/>
        </w:rPr>
        <w:t>A nephelometer is defined as a turbidimeter with scattered-light detectors located at 90° to the incident beam.</w:t>
      </w:r>
    </w:p>
    <w:p w14:paraId="281D4C16" w14:textId="77777777" w:rsidR="00B6597D" w:rsidRDefault="00B6597D" w:rsidP="00B6597D">
      <w:pPr>
        <w:pStyle w:val="ListParagraph"/>
        <w:jc w:val="both"/>
        <w:rPr>
          <w:rFonts w:ascii="Arial" w:hAnsi="Arial"/>
          <w:sz w:val="20"/>
        </w:rPr>
      </w:pPr>
    </w:p>
    <w:p w14:paraId="06FCA54A" w14:textId="77777777" w:rsidR="00695586" w:rsidRDefault="00695586" w:rsidP="005E0670">
      <w:pPr>
        <w:pStyle w:val="ListParagraph"/>
        <w:numPr>
          <w:ilvl w:val="0"/>
          <w:numId w:val="11"/>
        </w:numPr>
        <w:jc w:val="both"/>
        <w:rPr>
          <w:rFonts w:ascii="Arial" w:hAnsi="Arial"/>
          <w:sz w:val="20"/>
        </w:rPr>
      </w:pPr>
      <w:r>
        <w:rPr>
          <w:rFonts w:ascii="Arial" w:hAnsi="Arial"/>
          <w:sz w:val="20"/>
        </w:rPr>
        <w:t>NTU</w:t>
      </w:r>
      <w:r w:rsidR="005E0730">
        <w:rPr>
          <w:rFonts w:ascii="Arial" w:hAnsi="Arial"/>
          <w:sz w:val="20"/>
        </w:rPr>
        <w:t>: Nephelometric Turbidity Units</w:t>
      </w:r>
    </w:p>
    <w:p w14:paraId="255DAB53" w14:textId="77777777" w:rsidR="00B6597D" w:rsidRDefault="00B6597D" w:rsidP="00B6597D">
      <w:pPr>
        <w:pStyle w:val="ListParagraph"/>
        <w:jc w:val="both"/>
        <w:rPr>
          <w:rFonts w:ascii="Arial" w:hAnsi="Arial"/>
          <w:sz w:val="20"/>
        </w:rPr>
      </w:pPr>
    </w:p>
    <w:p w14:paraId="158265C6" w14:textId="77777777" w:rsidR="00B6597D" w:rsidRDefault="004D6CDE" w:rsidP="00B6597D">
      <w:pPr>
        <w:pStyle w:val="ListParagraph"/>
        <w:numPr>
          <w:ilvl w:val="0"/>
          <w:numId w:val="11"/>
        </w:numPr>
        <w:jc w:val="both"/>
        <w:rPr>
          <w:rFonts w:ascii="Arial" w:hAnsi="Arial"/>
          <w:sz w:val="20"/>
        </w:rPr>
      </w:pPr>
      <w:r w:rsidRPr="004D6CDE">
        <w:rPr>
          <w:rFonts w:ascii="Arial" w:hAnsi="Arial"/>
          <w:sz w:val="20"/>
        </w:rPr>
        <w:t>Primary standards</w:t>
      </w:r>
      <w:r w:rsidR="00B6597D" w:rsidRPr="00B6597D">
        <w:t xml:space="preserve"> </w:t>
      </w:r>
      <w:r w:rsidR="00B6597D" w:rsidRPr="00B6597D">
        <w:rPr>
          <w:rFonts w:ascii="Arial" w:hAnsi="Arial"/>
          <w:sz w:val="20"/>
        </w:rPr>
        <w:t>are defined as liquid suspensions prepared from hydrazine sulfate and hexamethylenetetramine or a commercially certified stock formazin suspension.</w:t>
      </w:r>
    </w:p>
    <w:p w14:paraId="46870F82" w14:textId="77777777" w:rsidR="00B6597D" w:rsidRDefault="00B6597D" w:rsidP="00B6597D">
      <w:pPr>
        <w:pStyle w:val="ListParagraph"/>
        <w:rPr>
          <w:rFonts w:ascii="Arial" w:hAnsi="Arial"/>
          <w:sz w:val="20"/>
        </w:rPr>
      </w:pPr>
    </w:p>
    <w:p w14:paraId="7DF02244" w14:textId="77777777" w:rsidR="00724DBD" w:rsidRPr="00B6597D" w:rsidRDefault="00724DBD" w:rsidP="00B6597D">
      <w:pPr>
        <w:pStyle w:val="ListParagraph"/>
        <w:rPr>
          <w:rFonts w:ascii="Arial" w:hAnsi="Arial"/>
          <w:sz w:val="20"/>
        </w:rPr>
      </w:pPr>
    </w:p>
    <w:p w14:paraId="466AB901" w14:textId="77777777" w:rsidR="00026580" w:rsidRPr="00026580" w:rsidRDefault="00026580" w:rsidP="00026580">
      <w:pPr>
        <w:pStyle w:val="ListParagraph"/>
        <w:numPr>
          <w:ilvl w:val="0"/>
          <w:numId w:val="11"/>
        </w:numPr>
        <w:rPr>
          <w:rFonts w:ascii="Arial" w:hAnsi="Arial"/>
          <w:sz w:val="20"/>
        </w:rPr>
      </w:pPr>
      <w:r w:rsidRPr="00026580">
        <w:rPr>
          <w:rFonts w:ascii="Arial" w:hAnsi="Arial"/>
          <w:sz w:val="20"/>
        </w:rPr>
        <w:lastRenderedPageBreak/>
        <w:t>Secondary standards are defined as commercially prepared, stabilized, sealed liquid or gel turbidity standards calibrated against properly prepared and diluted formazin or styrene divinylbenzene polymers.</w:t>
      </w:r>
    </w:p>
    <w:p w14:paraId="07483FD9" w14:textId="77777777" w:rsidR="00B6597D" w:rsidRPr="00B6597D" w:rsidRDefault="00B6597D" w:rsidP="003133CA">
      <w:pPr>
        <w:pStyle w:val="ListParagraph"/>
        <w:spacing w:after="0"/>
        <w:jc w:val="both"/>
        <w:rPr>
          <w:rFonts w:ascii="Arial" w:hAnsi="Arial"/>
          <w:b/>
          <w:sz w:val="20"/>
          <w:u w:val="single"/>
        </w:rPr>
      </w:pPr>
    </w:p>
    <w:p w14:paraId="79C60B32" w14:textId="77777777" w:rsidR="00B5216E" w:rsidRDefault="00140640" w:rsidP="003133CA">
      <w:pPr>
        <w:spacing w:before="0"/>
        <w:jc w:val="both"/>
        <w:rPr>
          <w:rFonts w:ascii="Arial" w:hAnsi="Arial"/>
          <w:b/>
          <w:sz w:val="20"/>
          <w:u w:val="single"/>
        </w:rPr>
      </w:pPr>
      <w:r>
        <w:rPr>
          <w:rFonts w:ascii="Arial" w:hAnsi="Arial"/>
          <w:b/>
          <w:sz w:val="20"/>
          <w:u w:val="single"/>
        </w:rPr>
        <w:t xml:space="preserve">Meter: </w:t>
      </w:r>
    </w:p>
    <w:p w14:paraId="3DA8732D" w14:textId="77777777" w:rsidR="00140640" w:rsidRPr="00140640" w:rsidRDefault="00140640" w:rsidP="001A2ED5">
      <w:pPr>
        <w:jc w:val="both"/>
        <w:rPr>
          <w:rFonts w:ascii="Arial" w:hAnsi="Arial"/>
          <w:sz w:val="20"/>
        </w:rPr>
      </w:pPr>
      <w:r>
        <w:rPr>
          <w:rFonts w:ascii="Arial" w:hAnsi="Arial"/>
          <w:sz w:val="20"/>
        </w:rPr>
        <w:t>To minimize differences in measured values due to instrument design, the following design criteria must be met:</w:t>
      </w:r>
    </w:p>
    <w:p w14:paraId="0257627D" w14:textId="5D8D2374" w:rsidR="00804A0C" w:rsidRPr="00804A0C" w:rsidRDefault="00140640" w:rsidP="00804A0C">
      <w:pPr>
        <w:numPr>
          <w:ilvl w:val="0"/>
          <w:numId w:val="3"/>
        </w:numPr>
        <w:jc w:val="both"/>
        <w:rPr>
          <w:rFonts w:ascii="Arial" w:hAnsi="Arial"/>
          <w:sz w:val="20"/>
        </w:rPr>
      </w:pPr>
      <w:r w:rsidRPr="00140640">
        <w:rPr>
          <w:rFonts w:ascii="Arial" w:hAnsi="Arial"/>
          <w:sz w:val="20"/>
        </w:rPr>
        <w:t>Tungsten-</w:t>
      </w:r>
      <w:r w:rsidR="00804A0C">
        <w:rPr>
          <w:rFonts w:ascii="Arial" w:hAnsi="Arial"/>
          <w:sz w:val="20"/>
        </w:rPr>
        <w:t>filament lamp</w:t>
      </w:r>
      <w:r w:rsidR="00D062ED">
        <w:rPr>
          <w:rFonts w:ascii="Arial" w:hAnsi="Arial"/>
          <w:sz w:val="20"/>
        </w:rPr>
        <w:t>.</w:t>
      </w:r>
    </w:p>
    <w:p w14:paraId="6D6A006B" w14:textId="6657937A" w:rsidR="00140640" w:rsidRDefault="00140640" w:rsidP="00140640">
      <w:pPr>
        <w:numPr>
          <w:ilvl w:val="0"/>
          <w:numId w:val="3"/>
        </w:numPr>
        <w:jc w:val="both"/>
        <w:rPr>
          <w:rFonts w:ascii="Arial" w:hAnsi="Arial"/>
          <w:sz w:val="20"/>
        </w:rPr>
      </w:pPr>
      <w:r>
        <w:rPr>
          <w:rFonts w:ascii="Arial" w:hAnsi="Arial"/>
          <w:sz w:val="20"/>
        </w:rPr>
        <w:t>Total distance traversed by incident light and scattered light within the sample tube is not to exceed 10 cm</w:t>
      </w:r>
      <w:r w:rsidR="00D062ED">
        <w:rPr>
          <w:rFonts w:ascii="Arial" w:hAnsi="Arial"/>
          <w:sz w:val="20"/>
        </w:rPr>
        <w:t>.</w:t>
      </w:r>
    </w:p>
    <w:p w14:paraId="38CF8895" w14:textId="77777777" w:rsidR="00E86D2D" w:rsidRDefault="00676D1B" w:rsidP="006C4A7B">
      <w:pPr>
        <w:numPr>
          <w:ilvl w:val="0"/>
          <w:numId w:val="3"/>
        </w:numPr>
        <w:jc w:val="both"/>
        <w:rPr>
          <w:rFonts w:ascii="Arial" w:hAnsi="Arial"/>
          <w:sz w:val="20"/>
        </w:rPr>
      </w:pPr>
      <w:r w:rsidRPr="00E86D2D">
        <w:rPr>
          <w:rFonts w:ascii="Arial" w:hAnsi="Arial"/>
          <w:sz w:val="20"/>
        </w:rPr>
        <w:t>Detector centered at 90</w:t>
      </w:r>
      <w:r w:rsidRPr="00E86D2D">
        <w:rPr>
          <w:rFonts w:ascii="Arial" w:hAnsi="Arial" w:cs="Arial"/>
          <w:sz w:val="20"/>
        </w:rPr>
        <w:t>°</w:t>
      </w:r>
      <w:r w:rsidRPr="00E86D2D">
        <w:rPr>
          <w:rFonts w:ascii="Arial" w:hAnsi="Arial"/>
          <w:sz w:val="20"/>
        </w:rPr>
        <w:t xml:space="preserve"> to the incident light path and not to exceed </w:t>
      </w:r>
      <w:r w:rsidRPr="00E86D2D">
        <w:rPr>
          <w:rFonts w:ascii="Arial" w:hAnsi="Arial" w:cs="Arial"/>
          <w:sz w:val="20"/>
        </w:rPr>
        <w:t>±</w:t>
      </w:r>
      <w:r w:rsidRPr="00E86D2D">
        <w:rPr>
          <w:rFonts w:ascii="Arial" w:hAnsi="Arial"/>
          <w:sz w:val="20"/>
        </w:rPr>
        <w:t>30</w:t>
      </w:r>
      <w:r w:rsidRPr="00E86D2D">
        <w:rPr>
          <w:rFonts w:ascii="Arial" w:hAnsi="Arial" w:cs="Arial"/>
          <w:sz w:val="20"/>
        </w:rPr>
        <w:t>°</w:t>
      </w:r>
      <w:r w:rsidRPr="00E86D2D">
        <w:rPr>
          <w:rFonts w:ascii="Arial" w:hAnsi="Arial"/>
          <w:sz w:val="20"/>
        </w:rPr>
        <w:t xml:space="preserve"> from 90</w:t>
      </w:r>
      <w:r w:rsidRPr="00E86D2D">
        <w:rPr>
          <w:rFonts w:ascii="Arial" w:hAnsi="Arial" w:cs="Arial"/>
          <w:sz w:val="20"/>
        </w:rPr>
        <w:t>°</w:t>
      </w:r>
      <w:r w:rsidRPr="00E86D2D">
        <w:rPr>
          <w:rFonts w:ascii="Arial" w:hAnsi="Arial"/>
          <w:sz w:val="20"/>
        </w:rPr>
        <w:t>. The detector and filter (if used) shall have a spectral peak response between 400 and 600 nm.</w:t>
      </w:r>
    </w:p>
    <w:p w14:paraId="560CD16B" w14:textId="3FAA7AB0" w:rsidR="00676D1B" w:rsidRDefault="00804A0C" w:rsidP="006C4A7B">
      <w:pPr>
        <w:numPr>
          <w:ilvl w:val="0"/>
          <w:numId w:val="3"/>
        </w:numPr>
        <w:jc w:val="both"/>
        <w:rPr>
          <w:rFonts w:ascii="Arial" w:hAnsi="Arial"/>
          <w:sz w:val="20"/>
        </w:rPr>
      </w:pPr>
      <w:r w:rsidRPr="00E86D2D">
        <w:rPr>
          <w:rFonts w:ascii="Arial" w:hAnsi="Arial"/>
          <w:sz w:val="20"/>
        </w:rPr>
        <w:t xml:space="preserve">Instruments with an LED </w:t>
      </w:r>
      <w:r w:rsidR="00AD1BB7" w:rsidRPr="00E86D2D">
        <w:rPr>
          <w:rFonts w:ascii="Arial" w:hAnsi="Arial"/>
          <w:sz w:val="20"/>
        </w:rPr>
        <w:t xml:space="preserve">or Laser </w:t>
      </w:r>
      <w:r w:rsidRPr="00E86D2D">
        <w:rPr>
          <w:rFonts w:ascii="Arial" w:hAnsi="Arial"/>
          <w:sz w:val="20"/>
        </w:rPr>
        <w:t>light source are not compliant</w:t>
      </w:r>
      <w:r w:rsidR="00033A74" w:rsidRPr="00E86D2D">
        <w:rPr>
          <w:rFonts w:ascii="Arial" w:hAnsi="Arial"/>
          <w:sz w:val="20"/>
        </w:rPr>
        <w:t xml:space="preserve"> with the SM 2130</w:t>
      </w:r>
      <w:r w:rsidR="005C3D1C" w:rsidRPr="00E86D2D">
        <w:rPr>
          <w:rFonts w:ascii="Arial" w:hAnsi="Arial"/>
          <w:sz w:val="20"/>
        </w:rPr>
        <w:t xml:space="preserve"> </w:t>
      </w:r>
      <w:r w:rsidR="00033A74" w:rsidRPr="00E86D2D">
        <w:rPr>
          <w:rFonts w:ascii="Arial" w:hAnsi="Arial"/>
          <w:sz w:val="20"/>
        </w:rPr>
        <w:t>B-20</w:t>
      </w:r>
      <w:r w:rsidR="00FD6FB4">
        <w:rPr>
          <w:rFonts w:ascii="Arial" w:hAnsi="Arial"/>
          <w:sz w:val="20"/>
        </w:rPr>
        <w:t>20</w:t>
      </w:r>
      <w:r w:rsidR="004B147F">
        <w:rPr>
          <w:rFonts w:ascii="Arial" w:hAnsi="Arial"/>
          <w:sz w:val="20"/>
        </w:rPr>
        <w:t xml:space="preserve"> </w:t>
      </w:r>
      <w:r w:rsidR="00033A74" w:rsidRPr="00E86D2D">
        <w:rPr>
          <w:rFonts w:ascii="Arial" w:hAnsi="Arial"/>
          <w:sz w:val="20"/>
        </w:rPr>
        <w:t xml:space="preserve">method. </w:t>
      </w:r>
    </w:p>
    <w:p w14:paraId="1442957D" w14:textId="77777777" w:rsidR="001730D7" w:rsidRPr="00E86D2D" w:rsidRDefault="001730D7" w:rsidP="001730D7">
      <w:pPr>
        <w:ind w:left="720"/>
        <w:jc w:val="both"/>
        <w:rPr>
          <w:rFonts w:ascii="Arial" w:hAnsi="Arial"/>
          <w:sz w:val="20"/>
        </w:rPr>
      </w:pPr>
    </w:p>
    <w:p w14:paraId="44CAD0C2" w14:textId="77777777" w:rsidR="001A2ED5" w:rsidRDefault="001A2ED5" w:rsidP="001A2ED5">
      <w:pPr>
        <w:jc w:val="both"/>
        <w:rPr>
          <w:rFonts w:ascii="Arial" w:hAnsi="Arial"/>
          <w:b/>
          <w:sz w:val="20"/>
        </w:rPr>
      </w:pPr>
      <w:r w:rsidRPr="00507FD2">
        <w:rPr>
          <w:rFonts w:ascii="Arial" w:hAnsi="Arial"/>
          <w:b/>
          <w:sz w:val="20"/>
          <w:u w:val="single"/>
        </w:rPr>
        <w:t>Standards:</w:t>
      </w:r>
      <w:r w:rsidRPr="00F61A31">
        <w:rPr>
          <w:rFonts w:ascii="Arial" w:hAnsi="Arial"/>
          <w:b/>
          <w:sz w:val="20"/>
        </w:rPr>
        <w:t xml:space="preserve"> </w:t>
      </w:r>
    </w:p>
    <w:p w14:paraId="33B788FB" w14:textId="77777777" w:rsidR="00537266" w:rsidRDefault="00537266" w:rsidP="001A2ED5">
      <w:pPr>
        <w:jc w:val="both"/>
        <w:rPr>
          <w:rFonts w:ascii="Arial" w:hAnsi="Arial"/>
          <w:b/>
          <w:sz w:val="20"/>
        </w:rPr>
      </w:pPr>
      <w:r w:rsidRPr="00537266">
        <w:rPr>
          <w:rFonts w:ascii="Arial" w:hAnsi="Arial"/>
          <w:b/>
          <w:sz w:val="20"/>
        </w:rPr>
        <w:t>CAUTION: Hydrazine sulfate is a carcinogen; avoid inhalation, ingestion, and skin contact. Formazin suspensions can contain residual hydrazine sulfate.</w:t>
      </w:r>
    </w:p>
    <w:p w14:paraId="230ECB3E" w14:textId="77777777" w:rsidR="00DC2CE2" w:rsidRDefault="00DC2CE2" w:rsidP="00DC2CE2">
      <w:pPr>
        <w:ind w:left="720"/>
        <w:contextualSpacing/>
        <w:jc w:val="both"/>
        <w:rPr>
          <w:rFonts w:ascii="Arial" w:hAnsi="Arial"/>
          <w:sz w:val="20"/>
        </w:rPr>
      </w:pPr>
    </w:p>
    <w:p w14:paraId="0997DCFF" w14:textId="77777777" w:rsidR="00D84C7F" w:rsidRDefault="00D84C7F" w:rsidP="000B0B6D">
      <w:pPr>
        <w:contextualSpacing/>
        <w:jc w:val="both"/>
        <w:rPr>
          <w:rFonts w:ascii="Arial" w:hAnsi="Arial"/>
          <w:sz w:val="20"/>
        </w:rPr>
      </w:pPr>
      <w:r>
        <w:rPr>
          <w:rFonts w:ascii="Arial" w:hAnsi="Arial"/>
          <w:sz w:val="20"/>
        </w:rPr>
        <w:t>Stock Primary standard preparation instructions:</w:t>
      </w:r>
    </w:p>
    <w:p w14:paraId="2205E374" w14:textId="77777777" w:rsidR="00DC2CE2" w:rsidRDefault="00DC2CE2" w:rsidP="000B0B6D">
      <w:pPr>
        <w:ind w:left="720"/>
        <w:contextualSpacing/>
        <w:jc w:val="both"/>
        <w:rPr>
          <w:rFonts w:ascii="Arial" w:hAnsi="Arial"/>
          <w:sz w:val="20"/>
        </w:rPr>
      </w:pPr>
    </w:p>
    <w:p w14:paraId="56F39130" w14:textId="77777777" w:rsidR="00D84C7F" w:rsidRDefault="00D84C7F" w:rsidP="000B0B6D">
      <w:pPr>
        <w:numPr>
          <w:ilvl w:val="0"/>
          <w:numId w:val="6"/>
        </w:numPr>
        <w:contextualSpacing/>
        <w:jc w:val="both"/>
        <w:rPr>
          <w:rFonts w:ascii="Arial" w:hAnsi="Arial"/>
          <w:sz w:val="20"/>
        </w:rPr>
      </w:pPr>
      <w:r>
        <w:rPr>
          <w:rFonts w:ascii="Arial" w:hAnsi="Arial"/>
          <w:sz w:val="20"/>
        </w:rPr>
        <w:t>Solution 1 – Dissolve 1.000 g hydrazine sulfate, (NH</w:t>
      </w:r>
      <w:r w:rsidRPr="005F6C93">
        <w:rPr>
          <w:rFonts w:ascii="Arial" w:hAnsi="Arial"/>
          <w:sz w:val="20"/>
          <w:vertAlign w:val="subscript"/>
        </w:rPr>
        <w:t>2</w:t>
      </w:r>
      <w:r>
        <w:rPr>
          <w:rFonts w:ascii="Arial" w:hAnsi="Arial"/>
          <w:sz w:val="20"/>
        </w:rPr>
        <w:t>)</w:t>
      </w:r>
      <w:r w:rsidRPr="005F6C93">
        <w:rPr>
          <w:rFonts w:ascii="Arial" w:hAnsi="Arial"/>
          <w:sz w:val="20"/>
          <w:vertAlign w:val="subscript"/>
        </w:rPr>
        <w:t>2</w:t>
      </w:r>
      <w:r>
        <w:rPr>
          <w:rFonts w:ascii="Arial" w:hAnsi="Arial" w:cs="Arial"/>
          <w:sz w:val="20"/>
        </w:rPr>
        <w:t>•</w:t>
      </w:r>
      <w:r>
        <w:rPr>
          <w:rFonts w:ascii="Arial" w:hAnsi="Arial"/>
          <w:sz w:val="20"/>
        </w:rPr>
        <w:t>H</w:t>
      </w:r>
      <w:r w:rsidRPr="005F6C93">
        <w:rPr>
          <w:rFonts w:ascii="Arial" w:hAnsi="Arial"/>
          <w:sz w:val="20"/>
          <w:vertAlign w:val="subscript"/>
        </w:rPr>
        <w:t>2</w:t>
      </w:r>
      <w:r>
        <w:rPr>
          <w:rFonts w:ascii="Arial" w:hAnsi="Arial"/>
          <w:sz w:val="20"/>
        </w:rPr>
        <w:t>SO</w:t>
      </w:r>
      <w:r w:rsidRPr="005F6C93">
        <w:rPr>
          <w:rFonts w:ascii="Arial" w:hAnsi="Arial"/>
          <w:sz w:val="20"/>
          <w:vertAlign w:val="subscript"/>
        </w:rPr>
        <w:t>4</w:t>
      </w:r>
      <w:r>
        <w:rPr>
          <w:rFonts w:ascii="Arial" w:hAnsi="Arial"/>
          <w:sz w:val="20"/>
        </w:rPr>
        <w:t xml:space="preserve">, in distilled water and dilute to 100 mL in a volumetric flask. </w:t>
      </w:r>
    </w:p>
    <w:p w14:paraId="5915B32E" w14:textId="77777777" w:rsidR="00DC2CE2" w:rsidRDefault="00DC2CE2" w:rsidP="000B0B6D">
      <w:pPr>
        <w:ind w:left="720"/>
        <w:contextualSpacing/>
        <w:jc w:val="both"/>
        <w:rPr>
          <w:rFonts w:ascii="Arial" w:hAnsi="Arial"/>
          <w:sz w:val="20"/>
        </w:rPr>
      </w:pPr>
    </w:p>
    <w:p w14:paraId="3087D643" w14:textId="77777777" w:rsidR="00D84C7F" w:rsidRDefault="00D84C7F" w:rsidP="000B0B6D">
      <w:pPr>
        <w:numPr>
          <w:ilvl w:val="0"/>
          <w:numId w:val="6"/>
        </w:numPr>
        <w:contextualSpacing/>
        <w:jc w:val="both"/>
        <w:rPr>
          <w:rFonts w:ascii="Arial" w:hAnsi="Arial"/>
          <w:sz w:val="20"/>
        </w:rPr>
      </w:pPr>
      <w:r>
        <w:rPr>
          <w:rFonts w:ascii="Arial" w:hAnsi="Arial"/>
          <w:sz w:val="20"/>
        </w:rPr>
        <w:t>Solution 2 – Dissolve 10.00 g hexamethylenetetramine, (CH</w:t>
      </w:r>
      <w:r w:rsidRPr="005F6C93">
        <w:rPr>
          <w:rFonts w:ascii="Arial" w:hAnsi="Arial"/>
          <w:sz w:val="20"/>
          <w:vertAlign w:val="subscript"/>
        </w:rPr>
        <w:t>2</w:t>
      </w:r>
      <w:r>
        <w:rPr>
          <w:rFonts w:ascii="Arial" w:hAnsi="Arial"/>
          <w:sz w:val="20"/>
        </w:rPr>
        <w:t>)</w:t>
      </w:r>
      <w:r w:rsidRPr="005F6C93">
        <w:rPr>
          <w:rFonts w:ascii="Arial" w:hAnsi="Arial"/>
          <w:sz w:val="20"/>
          <w:vertAlign w:val="subscript"/>
        </w:rPr>
        <w:t>6</w:t>
      </w:r>
      <w:r>
        <w:rPr>
          <w:rFonts w:ascii="Arial" w:hAnsi="Arial"/>
          <w:sz w:val="20"/>
        </w:rPr>
        <w:t>N</w:t>
      </w:r>
      <w:r w:rsidRPr="005F6C93">
        <w:rPr>
          <w:rFonts w:ascii="Arial" w:hAnsi="Arial"/>
          <w:sz w:val="20"/>
          <w:vertAlign w:val="subscript"/>
        </w:rPr>
        <w:t>4</w:t>
      </w:r>
      <w:r>
        <w:rPr>
          <w:rFonts w:ascii="Arial" w:hAnsi="Arial"/>
          <w:sz w:val="20"/>
        </w:rPr>
        <w:t xml:space="preserve">, in distilled water and dilute to 100 mL in a volumetric flask. </w:t>
      </w:r>
    </w:p>
    <w:p w14:paraId="6633870E" w14:textId="77777777" w:rsidR="00DC2CE2" w:rsidRDefault="00DC2CE2" w:rsidP="000B0B6D">
      <w:pPr>
        <w:ind w:left="720"/>
        <w:contextualSpacing/>
        <w:jc w:val="both"/>
        <w:rPr>
          <w:rFonts w:ascii="Arial" w:hAnsi="Arial"/>
          <w:sz w:val="20"/>
        </w:rPr>
      </w:pPr>
    </w:p>
    <w:p w14:paraId="61D0FF32" w14:textId="097088D0" w:rsidR="00D84C7F" w:rsidRDefault="00D84C7F" w:rsidP="000B0B6D">
      <w:pPr>
        <w:numPr>
          <w:ilvl w:val="0"/>
          <w:numId w:val="6"/>
        </w:numPr>
        <w:contextualSpacing/>
        <w:jc w:val="both"/>
        <w:rPr>
          <w:rFonts w:ascii="Arial" w:hAnsi="Arial"/>
          <w:sz w:val="20"/>
        </w:rPr>
      </w:pPr>
      <w:r>
        <w:rPr>
          <w:rFonts w:ascii="Arial" w:hAnsi="Arial"/>
          <w:sz w:val="20"/>
        </w:rPr>
        <w:t>Stock Solution – M</w:t>
      </w:r>
      <w:r w:rsidRPr="00926A74">
        <w:rPr>
          <w:rFonts w:ascii="Arial" w:hAnsi="Arial"/>
          <w:sz w:val="20"/>
        </w:rPr>
        <w:t xml:space="preserve">ix 5.0 mL </w:t>
      </w:r>
      <w:r w:rsidR="000833EB">
        <w:rPr>
          <w:rFonts w:ascii="Arial" w:hAnsi="Arial"/>
          <w:sz w:val="20"/>
        </w:rPr>
        <w:t xml:space="preserve">of </w:t>
      </w:r>
      <w:r w:rsidRPr="00926A74">
        <w:rPr>
          <w:rFonts w:ascii="Arial" w:hAnsi="Arial"/>
          <w:sz w:val="20"/>
        </w:rPr>
        <w:t xml:space="preserve">Solution 1 and 5.0 mL </w:t>
      </w:r>
      <w:r w:rsidR="000833EB">
        <w:rPr>
          <w:rFonts w:ascii="Arial" w:hAnsi="Arial"/>
          <w:sz w:val="20"/>
        </w:rPr>
        <w:t xml:space="preserve">of </w:t>
      </w:r>
      <w:r w:rsidRPr="00926A74">
        <w:rPr>
          <w:rFonts w:ascii="Arial" w:hAnsi="Arial"/>
          <w:sz w:val="20"/>
        </w:rPr>
        <w:t>Solution 2</w:t>
      </w:r>
      <w:r>
        <w:rPr>
          <w:rFonts w:ascii="Arial" w:hAnsi="Arial"/>
          <w:sz w:val="20"/>
        </w:rPr>
        <w:t xml:space="preserve"> in a flask</w:t>
      </w:r>
      <w:r w:rsidRPr="00926A74">
        <w:rPr>
          <w:rFonts w:ascii="Arial" w:hAnsi="Arial"/>
          <w:sz w:val="20"/>
        </w:rPr>
        <w:t xml:space="preserve">. Let stand for 24 hours at 25 </w:t>
      </w:r>
      <w:r w:rsidRPr="00926A74">
        <w:rPr>
          <w:rFonts w:ascii="Arial" w:hAnsi="Arial" w:cs="Arial"/>
          <w:sz w:val="20"/>
        </w:rPr>
        <w:t>±</w:t>
      </w:r>
      <w:r w:rsidRPr="00926A74">
        <w:rPr>
          <w:rFonts w:ascii="Arial" w:hAnsi="Arial"/>
          <w:sz w:val="20"/>
        </w:rPr>
        <w:t xml:space="preserve"> 3</w:t>
      </w:r>
      <w:r w:rsidRPr="00926A74">
        <w:rPr>
          <w:rFonts w:ascii="Arial" w:hAnsi="Arial" w:cs="Arial"/>
          <w:sz w:val="20"/>
        </w:rPr>
        <w:t>°</w:t>
      </w:r>
      <w:r w:rsidRPr="00926A74">
        <w:rPr>
          <w:rFonts w:ascii="Arial" w:hAnsi="Arial"/>
          <w:sz w:val="20"/>
        </w:rPr>
        <w:t xml:space="preserve">C. This makes a 4000 NTU suspension. Store in amber glass or </w:t>
      </w:r>
      <w:proofErr w:type="gramStart"/>
      <w:r w:rsidRPr="00926A74">
        <w:rPr>
          <w:rFonts w:ascii="Arial" w:hAnsi="Arial"/>
          <w:sz w:val="20"/>
        </w:rPr>
        <w:t>other</w:t>
      </w:r>
      <w:proofErr w:type="gramEnd"/>
      <w:r w:rsidRPr="00926A74">
        <w:rPr>
          <w:rFonts w:ascii="Arial" w:hAnsi="Arial"/>
          <w:sz w:val="20"/>
        </w:rPr>
        <w:t xml:space="preserve"> UV-light-blocking </w:t>
      </w:r>
      <w:proofErr w:type="gramStart"/>
      <w:r w:rsidRPr="00926A74">
        <w:rPr>
          <w:rFonts w:ascii="Arial" w:hAnsi="Arial"/>
          <w:sz w:val="20"/>
        </w:rPr>
        <w:t>container</w:t>
      </w:r>
      <w:proofErr w:type="gramEnd"/>
      <w:r w:rsidRPr="00926A74">
        <w:rPr>
          <w:rFonts w:ascii="Arial" w:hAnsi="Arial"/>
          <w:sz w:val="20"/>
        </w:rPr>
        <w:t>. Stock solution is stable for</w:t>
      </w:r>
      <w:r>
        <w:rPr>
          <w:rFonts w:ascii="Arial" w:hAnsi="Arial"/>
          <w:sz w:val="20"/>
        </w:rPr>
        <w:t xml:space="preserve"> up to 1 year. Prepare</w:t>
      </w:r>
      <w:r w:rsidR="00507FD2">
        <w:rPr>
          <w:rFonts w:ascii="Arial" w:hAnsi="Arial"/>
          <w:sz w:val="20"/>
        </w:rPr>
        <w:t xml:space="preserve"> calibration</w:t>
      </w:r>
      <w:r>
        <w:rPr>
          <w:rFonts w:ascii="Arial" w:hAnsi="Arial"/>
          <w:sz w:val="20"/>
        </w:rPr>
        <w:t xml:space="preserve"> standards</w:t>
      </w:r>
      <w:r w:rsidRPr="00926A74">
        <w:rPr>
          <w:rFonts w:ascii="Arial" w:hAnsi="Arial"/>
          <w:sz w:val="20"/>
        </w:rPr>
        <w:t xml:space="preserve"> from this stock solution for calibration.</w:t>
      </w:r>
    </w:p>
    <w:p w14:paraId="29DB1C93" w14:textId="77777777" w:rsidR="00DC2CE2" w:rsidRDefault="00DC2CE2" w:rsidP="000B0B6D">
      <w:pPr>
        <w:ind w:left="720"/>
        <w:contextualSpacing/>
        <w:jc w:val="both"/>
        <w:rPr>
          <w:rFonts w:ascii="Arial" w:hAnsi="Arial"/>
          <w:sz w:val="20"/>
        </w:rPr>
      </w:pPr>
    </w:p>
    <w:p w14:paraId="55E3ED19" w14:textId="77777777" w:rsidR="00A8125A" w:rsidRPr="00926A74" w:rsidRDefault="00A8125A" w:rsidP="000B0B6D">
      <w:pPr>
        <w:ind w:left="720"/>
        <w:contextualSpacing/>
        <w:jc w:val="both"/>
        <w:rPr>
          <w:rFonts w:ascii="Arial" w:hAnsi="Arial"/>
          <w:sz w:val="20"/>
        </w:rPr>
      </w:pPr>
      <w:r w:rsidRPr="00DC2CE2">
        <w:rPr>
          <w:rFonts w:ascii="Arial" w:hAnsi="Arial"/>
          <w:i/>
          <w:sz w:val="20"/>
          <w:u w:val="single"/>
        </w:rPr>
        <w:t>Note</w:t>
      </w:r>
      <w:r>
        <w:rPr>
          <w:rFonts w:ascii="Arial" w:hAnsi="Arial"/>
          <w:sz w:val="20"/>
        </w:rPr>
        <w:t xml:space="preserve">: prepare stock </w:t>
      </w:r>
      <w:r w:rsidR="00507FD2">
        <w:rPr>
          <w:rFonts w:ascii="Arial" w:hAnsi="Arial"/>
          <w:sz w:val="20"/>
        </w:rPr>
        <w:t>standard</w:t>
      </w:r>
      <w:r>
        <w:rPr>
          <w:rFonts w:ascii="Arial" w:hAnsi="Arial"/>
          <w:sz w:val="20"/>
        </w:rPr>
        <w:t xml:space="preserve"> and </w:t>
      </w:r>
      <w:r w:rsidR="00507FD2">
        <w:rPr>
          <w:rFonts w:ascii="Arial" w:hAnsi="Arial"/>
          <w:sz w:val="20"/>
        </w:rPr>
        <w:t>calibration standards using reagent water</w:t>
      </w:r>
      <w:r w:rsidR="004079E0">
        <w:rPr>
          <w:rFonts w:ascii="Arial" w:hAnsi="Arial"/>
          <w:sz w:val="20"/>
        </w:rPr>
        <w:t xml:space="preserve"> passed through a filter with pore size </w:t>
      </w:r>
      <w:r w:rsidR="00DC2CE2">
        <w:rPr>
          <w:rFonts w:ascii="Arial" w:hAnsi="Arial"/>
          <w:sz w:val="20"/>
        </w:rPr>
        <w:t>no</w:t>
      </w:r>
      <w:r w:rsidR="004079E0">
        <w:rPr>
          <w:rFonts w:ascii="Arial" w:hAnsi="Arial"/>
          <w:sz w:val="20"/>
        </w:rPr>
        <w:t xml:space="preserve"> larger than </w:t>
      </w:r>
      <w:r w:rsidR="00DC2CE2">
        <w:rPr>
          <w:rFonts w:ascii="Arial" w:hAnsi="Arial"/>
          <w:sz w:val="20"/>
        </w:rPr>
        <w:t xml:space="preserve">0.1 </w:t>
      </w:r>
      <w:r w:rsidR="00DC2CE2">
        <w:rPr>
          <w:rFonts w:ascii="Arial" w:hAnsi="Arial" w:cs="Arial"/>
          <w:sz w:val="20"/>
        </w:rPr>
        <w:t>µ</w:t>
      </w:r>
      <w:r w:rsidR="00DC2CE2">
        <w:rPr>
          <w:rFonts w:ascii="Arial" w:hAnsi="Arial"/>
          <w:sz w:val="20"/>
        </w:rPr>
        <w:t xml:space="preserve">m. </w:t>
      </w:r>
      <w:r w:rsidR="004079E0">
        <w:rPr>
          <w:rFonts w:ascii="Arial" w:hAnsi="Arial"/>
          <w:sz w:val="20"/>
        </w:rPr>
        <w:t>The usual filter used for bacteriological examinations is not satisfactory</w:t>
      </w:r>
      <w:r w:rsidR="00DC2CE2">
        <w:rPr>
          <w:rFonts w:ascii="Arial" w:hAnsi="Arial"/>
          <w:sz w:val="20"/>
        </w:rPr>
        <w:t xml:space="preserve"> for this</w:t>
      </w:r>
      <w:r w:rsidR="00507FD2">
        <w:rPr>
          <w:rFonts w:ascii="Arial" w:hAnsi="Arial"/>
          <w:sz w:val="20"/>
        </w:rPr>
        <w:t xml:space="preserve">. </w:t>
      </w:r>
    </w:p>
    <w:p w14:paraId="240BACAE" w14:textId="77777777" w:rsidR="00D84C7F" w:rsidRDefault="00D84C7F" w:rsidP="00DC2CE2">
      <w:pPr>
        <w:contextualSpacing/>
        <w:jc w:val="both"/>
        <w:rPr>
          <w:rFonts w:ascii="Arial" w:hAnsi="Arial"/>
          <w:sz w:val="20"/>
        </w:rPr>
      </w:pPr>
    </w:p>
    <w:p w14:paraId="6EEC4575" w14:textId="77777777" w:rsidR="00DC2CE2" w:rsidRPr="00DC2CE2" w:rsidRDefault="00DC2CE2" w:rsidP="000B0B6D">
      <w:pPr>
        <w:contextualSpacing/>
        <w:jc w:val="both"/>
        <w:rPr>
          <w:rFonts w:ascii="Arial" w:hAnsi="Arial"/>
          <w:sz w:val="20"/>
        </w:rPr>
      </w:pPr>
      <w:r w:rsidRPr="00DC2CE2">
        <w:rPr>
          <w:rFonts w:ascii="Arial" w:hAnsi="Arial"/>
          <w:sz w:val="20"/>
        </w:rPr>
        <w:t xml:space="preserve">Secondary standards may be used beyond their expiration date only if their concentrations are verified against a primary standard </w:t>
      </w:r>
      <w:r w:rsidR="00914F9F">
        <w:rPr>
          <w:rFonts w:ascii="Arial" w:hAnsi="Arial"/>
          <w:sz w:val="20"/>
        </w:rPr>
        <w:t>by</w:t>
      </w:r>
      <w:r w:rsidRPr="00DC2CE2">
        <w:rPr>
          <w:rFonts w:ascii="Arial" w:hAnsi="Arial"/>
          <w:sz w:val="20"/>
        </w:rPr>
        <w:t xml:space="preserve"> the date of expiration and quarterly thereafter and are shown to be within 10% of their original concentration.</w:t>
      </w:r>
      <w:r w:rsidR="008F2A25">
        <w:rPr>
          <w:rFonts w:ascii="Arial" w:hAnsi="Arial"/>
          <w:sz w:val="20"/>
        </w:rPr>
        <w:t xml:space="preserve"> This must be documented and kept on file.</w:t>
      </w:r>
    </w:p>
    <w:p w14:paraId="793186D2" w14:textId="77777777" w:rsidR="00726C6F" w:rsidRDefault="00726C6F" w:rsidP="00DC2CE2">
      <w:pPr>
        <w:contextualSpacing/>
        <w:jc w:val="both"/>
        <w:rPr>
          <w:rFonts w:ascii="Arial" w:hAnsi="Arial"/>
          <w:sz w:val="20"/>
        </w:rPr>
      </w:pPr>
    </w:p>
    <w:p w14:paraId="7C0E2716" w14:textId="77777777" w:rsidR="004E4277" w:rsidRPr="004E4277" w:rsidRDefault="00A84BC2" w:rsidP="001A2ED5">
      <w:pPr>
        <w:jc w:val="both"/>
        <w:rPr>
          <w:rFonts w:ascii="Arial" w:hAnsi="Arial"/>
          <w:b/>
          <w:sz w:val="20"/>
          <w:u w:val="single"/>
        </w:rPr>
      </w:pPr>
      <w:r>
        <w:rPr>
          <w:rFonts w:ascii="Arial" w:hAnsi="Arial"/>
          <w:b/>
          <w:sz w:val="20"/>
          <w:u w:val="single"/>
        </w:rPr>
        <w:t>Procedure</w:t>
      </w:r>
      <w:r w:rsidR="004E4277" w:rsidRPr="004E4277">
        <w:rPr>
          <w:rFonts w:ascii="Arial" w:hAnsi="Arial"/>
          <w:b/>
          <w:sz w:val="20"/>
          <w:u w:val="single"/>
        </w:rPr>
        <w:t>:</w:t>
      </w:r>
    </w:p>
    <w:p w14:paraId="45FE807C" w14:textId="77777777" w:rsidR="004E4277" w:rsidRDefault="004E4277" w:rsidP="004E4277">
      <w:pPr>
        <w:numPr>
          <w:ilvl w:val="0"/>
          <w:numId w:val="4"/>
        </w:numPr>
        <w:jc w:val="both"/>
        <w:rPr>
          <w:rFonts w:ascii="Arial" w:hAnsi="Arial"/>
          <w:sz w:val="20"/>
        </w:rPr>
      </w:pPr>
      <w:r>
        <w:rPr>
          <w:rFonts w:ascii="Arial" w:hAnsi="Arial"/>
          <w:sz w:val="20"/>
        </w:rPr>
        <w:t>Allow instrument sufficient time to warm up</w:t>
      </w:r>
      <w:r w:rsidR="00294075">
        <w:rPr>
          <w:rFonts w:ascii="Arial" w:hAnsi="Arial"/>
          <w:sz w:val="20"/>
        </w:rPr>
        <w:t>.</w:t>
      </w:r>
    </w:p>
    <w:p w14:paraId="5A61BB21" w14:textId="3F9471D8" w:rsidR="009C2C2F" w:rsidRPr="002266C8" w:rsidRDefault="002944D4" w:rsidP="00F53E4E">
      <w:pPr>
        <w:numPr>
          <w:ilvl w:val="0"/>
          <w:numId w:val="4"/>
        </w:numPr>
        <w:rPr>
          <w:rFonts w:ascii="Arial" w:hAnsi="Arial"/>
          <w:sz w:val="20"/>
        </w:rPr>
      </w:pPr>
      <w:r>
        <w:rPr>
          <w:rFonts w:ascii="Arial" w:hAnsi="Arial"/>
          <w:sz w:val="20"/>
        </w:rPr>
        <w:t xml:space="preserve">Calibrate the meter </w:t>
      </w:r>
      <w:r w:rsidR="0050147E">
        <w:rPr>
          <w:rFonts w:ascii="Arial" w:hAnsi="Arial"/>
          <w:sz w:val="20"/>
        </w:rPr>
        <w:t>according to manufacturer’s instructions</w:t>
      </w:r>
      <w:r w:rsidR="003E1458">
        <w:rPr>
          <w:rFonts w:ascii="Arial" w:hAnsi="Arial"/>
          <w:sz w:val="20"/>
        </w:rPr>
        <w:t xml:space="preserve">, with at least one </w:t>
      </w:r>
      <w:r w:rsidR="00F64668">
        <w:rPr>
          <w:rFonts w:ascii="Arial" w:hAnsi="Arial"/>
          <w:sz w:val="20"/>
        </w:rPr>
        <w:t xml:space="preserve">calibration or verification </w:t>
      </w:r>
      <w:r w:rsidR="003E1458">
        <w:rPr>
          <w:rFonts w:ascii="Arial" w:hAnsi="Arial"/>
          <w:sz w:val="20"/>
        </w:rPr>
        <w:t>standard in each instrument range to be used</w:t>
      </w:r>
      <w:r w:rsidR="00560A47">
        <w:rPr>
          <w:rFonts w:ascii="Arial" w:hAnsi="Arial"/>
          <w:sz w:val="20"/>
        </w:rPr>
        <w:t xml:space="preserve">. </w:t>
      </w:r>
    </w:p>
    <w:p w14:paraId="7B0C3771" w14:textId="77777777" w:rsidR="002E2011" w:rsidRDefault="00CC476D" w:rsidP="004E4277">
      <w:pPr>
        <w:numPr>
          <w:ilvl w:val="0"/>
          <w:numId w:val="4"/>
        </w:numPr>
        <w:jc w:val="both"/>
        <w:rPr>
          <w:rFonts w:ascii="Arial" w:hAnsi="Arial"/>
          <w:sz w:val="20"/>
        </w:rPr>
      </w:pPr>
      <w:r>
        <w:rPr>
          <w:rFonts w:ascii="Arial" w:hAnsi="Arial"/>
          <w:sz w:val="20"/>
        </w:rPr>
        <w:t xml:space="preserve">Gently agitate </w:t>
      </w:r>
      <w:proofErr w:type="gramStart"/>
      <w:r>
        <w:rPr>
          <w:rFonts w:ascii="Arial" w:hAnsi="Arial"/>
          <w:sz w:val="20"/>
        </w:rPr>
        <w:t>sample</w:t>
      </w:r>
      <w:proofErr w:type="gramEnd"/>
      <w:r>
        <w:rPr>
          <w:rFonts w:ascii="Arial" w:hAnsi="Arial"/>
          <w:sz w:val="20"/>
        </w:rPr>
        <w:t xml:space="preserve"> </w:t>
      </w:r>
      <w:r w:rsidR="002E2011">
        <w:rPr>
          <w:rFonts w:ascii="Arial" w:hAnsi="Arial"/>
          <w:sz w:val="20"/>
        </w:rPr>
        <w:t xml:space="preserve">to ensure homogeneity </w:t>
      </w:r>
      <w:r>
        <w:rPr>
          <w:rFonts w:ascii="Arial" w:hAnsi="Arial"/>
          <w:sz w:val="20"/>
        </w:rPr>
        <w:t xml:space="preserve">and </w:t>
      </w:r>
      <w:r w:rsidR="002E2011">
        <w:rPr>
          <w:rFonts w:ascii="Arial" w:hAnsi="Arial"/>
          <w:sz w:val="20"/>
        </w:rPr>
        <w:t xml:space="preserve">wait for air bubbles to disappear. </w:t>
      </w:r>
    </w:p>
    <w:p w14:paraId="1EB7E29D" w14:textId="77777777" w:rsidR="00CC476D" w:rsidRDefault="002E2011" w:rsidP="004E4277">
      <w:pPr>
        <w:numPr>
          <w:ilvl w:val="0"/>
          <w:numId w:val="4"/>
        </w:numPr>
        <w:jc w:val="both"/>
        <w:rPr>
          <w:rFonts w:ascii="Arial" w:hAnsi="Arial"/>
          <w:sz w:val="20"/>
        </w:rPr>
      </w:pPr>
      <w:r>
        <w:rPr>
          <w:rFonts w:ascii="Arial" w:hAnsi="Arial"/>
          <w:sz w:val="20"/>
        </w:rPr>
        <w:t>Pou</w:t>
      </w:r>
      <w:r w:rsidR="00CC476D">
        <w:rPr>
          <w:rFonts w:ascii="Arial" w:hAnsi="Arial"/>
          <w:sz w:val="20"/>
        </w:rPr>
        <w:t xml:space="preserve">r </w:t>
      </w:r>
      <w:r>
        <w:rPr>
          <w:rFonts w:ascii="Arial" w:hAnsi="Arial"/>
          <w:sz w:val="20"/>
        </w:rPr>
        <w:t>sample in</w:t>
      </w:r>
      <w:r w:rsidR="00CC476D">
        <w:rPr>
          <w:rFonts w:ascii="Arial" w:hAnsi="Arial"/>
          <w:sz w:val="20"/>
        </w:rPr>
        <w:t xml:space="preserve">to sample </w:t>
      </w:r>
      <w:r>
        <w:rPr>
          <w:rFonts w:ascii="Arial" w:hAnsi="Arial"/>
          <w:sz w:val="20"/>
        </w:rPr>
        <w:t>via</w:t>
      </w:r>
      <w:r w:rsidR="00CC476D">
        <w:rPr>
          <w:rFonts w:ascii="Arial" w:hAnsi="Arial"/>
          <w:sz w:val="20"/>
        </w:rPr>
        <w:t>l</w:t>
      </w:r>
      <w:r w:rsidR="00CF3DCB">
        <w:rPr>
          <w:rFonts w:ascii="Arial" w:hAnsi="Arial"/>
          <w:sz w:val="20"/>
        </w:rPr>
        <w:t xml:space="preserve">. Ensure no air bubbles are present.  </w:t>
      </w:r>
    </w:p>
    <w:p w14:paraId="0F7D5E8E" w14:textId="77777777" w:rsidR="002944D4" w:rsidRDefault="00CF3DCB" w:rsidP="004E4277">
      <w:pPr>
        <w:numPr>
          <w:ilvl w:val="0"/>
          <w:numId w:val="4"/>
        </w:numPr>
        <w:jc w:val="both"/>
        <w:rPr>
          <w:rFonts w:ascii="Arial" w:hAnsi="Arial"/>
          <w:sz w:val="20"/>
        </w:rPr>
      </w:pPr>
      <w:r>
        <w:rPr>
          <w:rFonts w:ascii="Arial" w:hAnsi="Arial"/>
          <w:sz w:val="20"/>
        </w:rPr>
        <w:t xml:space="preserve">Wipe vial with a lint-free cloth or Kimwipe to remove any condensation, moisture or fingerprints. A thin layer of silicon oil may be applied (optional). </w:t>
      </w:r>
    </w:p>
    <w:p w14:paraId="57A125EE" w14:textId="77777777" w:rsidR="00CF3DCB" w:rsidRDefault="00CF3DCB" w:rsidP="004E4277">
      <w:pPr>
        <w:numPr>
          <w:ilvl w:val="0"/>
          <w:numId w:val="4"/>
        </w:numPr>
        <w:jc w:val="both"/>
        <w:rPr>
          <w:rFonts w:ascii="Arial" w:hAnsi="Arial"/>
          <w:sz w:val="20"/>
        </w:rPr>
      </w:pPr>
      <w:r>
        <w:rPr>
          <w:rFonts w:ascii="Arial" w:hAnsi="Arial"/>
          <w:sz w:val="20"/>
        </w:rPr>
        <w:t>Gently invert the sa</w:t>
      </w:r>
      <w:r w:rsidR="002E2011">
        <w:rPr>
          <w:rFonts w:ascii="Arial" w:hAnsi="Arial"/>
          <w:sz w:val="20"/>
        </w:rPr>
        <w:t xml:space="preserve">mple to ensure homogeneity and place in turbidimeter. </w:t>
      </w:r>
    </w:p>
    <w:p w14:paraId="5C390C14" w14:textId="77777777" w:rsidR="002E2011" w:rsidRDefault="002E2011" w:rsidP="004E4277">
      <w:pPr>
        <w:numPr>
          <w:ilvl w:val="0"/>
          <w:numId w:val="4"/>
        </w:numPr>
        <w:jc w:val="both"/>
        <w:rPr>
          <w:rFonts w:ascii="Arial" w:hAnsi="Arial"/>
          <w:sz w:val="20"/>
        </w:rPr>
      </w:pPr>
      <w:r>
        <w:rPr>
          <w:rFonts w:ascii="Arial" w:hAnsi="Arial"/>
          <w:sz w:val="20"/>
        </w:rPr>
        <w:t>Close chamber lid and read turbidity from instrument display</w:t>
      </w:r>
      <w:r w:rsidR="004111F7">
        <w:rPr>
          <w:rFonts w:ascii="Arial" w:hAnsi="Arial"/>
          <w:sz w:val="20"/>
        </w:rPr>
        <w:t xml:space="preserve"> at first stable reading</w:t>
      </w:r>
      <w:r>
        <w:rPr>
          <w:rFonts w:ascii="Arial" w:hAnsi="Arial"/>
          <w:sz w:val="20"/>
        </w:rPr>
        <w:t>.</w:t>
      </w:r>
    </w:p>
    <w:p w14:paraId="13913555" w14:textId="77777777" w:rsidR="002E2011" w:rsidRDefault="002E2011" w:rsidP="004E4277">
      <w:pPr>
        <w:numPr>
          <w:ilvl w:val="0"/>
          <w:numId w:val="4"/>
        </w:numPr>
        <w:jc w:val="both"/>
        <w:rPr>
          <w:rFonts w:ascii="Arial" w:hAnsi="Arial"/>
          <w:sz w:val="20"/>
        </w:rPr>
      </w:pPr>
      <w:r>
        <w:rPr>
          <w:rFonts w:ascii="Arial" w:hAnsi="Arial"/>
          <w:sz w:val="20"/>
        </w:rPr>
        <w:t>Do</w:t>
      </w:r>
      <w:r w:rsidR="004111F7">
        <w:rPr>
          <w:rFonts w:ascii="Arial" w:hAnsi="Arial"/>
          <w:sz w:val="20"/>
        </w:rPr>
        <w:t>cument turbidity measurement from instrument display.</w:t>
      </w:r>
    </w:p>
    <w:p w14:paraId="44B7BE18" w14:textId="77777777" w:rsidR="000A5BFE" w:rsidRPr="00A0276A" w:rsidRDefault="003D1ECB" w:rsidP="00593CD8">
      <w:pPr>
        <w:numPr>
          <w:ilvl w:val="0"/>
          <w:numId w:val="4"/>
        </w:numPr>
        <w:jc w:val="both"/>
        <w:rPr>
          <w:rFonts w:ascii="Arial" w:hAnsi="Arial"/>
          <w:sz w:val="20"/>
        </w:rPr>
      </w:pPr>
      <w:r>
        <w:rPr>
          <w:rFonts w:ascii="Arial" w:hAnsi="Arial"/>
          <w:sz w:val="20"/>
        </w:rPr>
        <w:t>If sample dilutions</w:t>
      </w:r>
      <w:r w:rsidR="002A12F3">
        <w:rPr>
          <w:rFonts w:ascii="Arial" w:hAnsi="Arial"/>
          <w:sz w:val="20"/>
        </w:rPr>
        <w:t xml:space="preserve"> are performed, analyze the dilution water</w:t>
      </w:r>
      <w:r w:rsidR="00A0276A">
        <w:rPr>
          <w:rFonts w:ascii="Arial" w:hAnsi="Arial"/>
          <w:sz w:val="20"/>
        </w:rPr>
        <w:t xml:space="preserve"> to demonstrate </w:t>
      </w:r>
      <w:proofErr w:type="gramStart"/>
      <w:r w:rsidR="00A0276A">
        <w:rPr>
          <w:rFonts w:ascii="Arial" w:hAnsi="Arial"/>
          <w:sz w:val="20"/>
        </w:rPr>
        <w:t xml:space="preserve">a </w:t>
      </w:r>
      <w:r w:rsidR="00A0276A" w:rsidRPr="00A0276A">
        <w:rPr>
          <w:rFonts w:ascii="Arial" w:hAnsi="Arial"/>
          <w:sz w:val="20"/>
        </w:rPr>
        <w:t xml:space="preserve">concentration </w:t>
      </w:r>
      <w:r w:rsidR="00A0276A" w:rsidRPr="00A0276A">
        <w:rPr>
          <w:rFonts w:ascii="Arial" w:hAnsi="Arial" w:cs="Arial"/>
          <w:sz w:val="20"/>
        </w:rPr>
        <w:t>≤</w:t>
      </w:r>
      <w:proofErr w:type="gramEnd"/>
      <w:r w:rsidR="00A0276A" w:rsidRPr="00A0276A">
        <w:rPr>
          <w:rFonts w:ascii="Arial" w:hAnsi="Arial"/>
          <w:sz w:val="20"/>
        </w:rPr>
        <w:t xml:space="preserve"> 0.02 NTU</w:t>
      </w:r>
      <w:r w:rsidR="000A5BFE" w:rsidRPr="00A0276A">
        <w:rPr>
          <w:rFonts w:ascii="Arial" w:hAnsi="Arial"/>
          <w:sz w:val="20"/>
        </w:rPr>
        <w:t>.</w:t>
      </w:r>
    </w:p>
    <w:p w14:paraId="58046BBE" w14:textId="77777777" w:rsidR="000A5BFE" w:rsidRDefault="000A5BFE" w:rsidP="000A5BFE">
      <w:pPr>
        <w:numPr>
          <w:ilvl w:val="0"/>
          <w:numId w:val="4"/>
        </w:numPr>
        <w:jc w:val="both"/>
        <w:rPr>
          <w:rFonts w:ascii="Arial" w:hAnsi="Arial"/>
          <w:sz w:val="20"/>
        </w:rPr>
      </w:pPr>
      <w:r w:rsidRPr="002E2011">
        <w:rPr>
          <w:rFonts w:ascii="Arial" w:hAnsi="Arial"/>
          <w:sz w:val="20"/>
        </w:rPr>
        <w:t>Report turbidity readings</w:t>
      </w:r>
      <w:r>
        <w:rPr>
          <w:rFonts w:ascii="Arial" w:hAnsi="Arial"/>
          <w:sz w:val="20"/>
        </w:rPr>
        <w:t>, along with qualification if applicable,</w:t>
      </w:r>
      <w:r w:rsidRPr="002E2011">
        <w:rPr>
          <w:rFonts w:ascii="Arial" w:hAnsi="Arial"/>
          <w:sz w:val="20"/>
        </w:rPr>
        <w:t xml:space="preserve"> as follows:</w:t>
      </w:r>
    </w:p>
    <w:p w14:paraId="3CA64DBC" w14:textId="77777777" w:rsidR="00C32A98" w:rsidRDefault="00C32A98" w:rsidP="008D3052">
      <w:pPr>
        <w:jc w:val="center"/>
        <w:rPr>
          <w:rFonts w:ascii="Arial" w:hAnsi="Arial"/>
          <w:sz w:val="20"/>
        </w:rPr>
      </w:pPr>
    </w:p>
    <w:p w14:paraId="437D0CCF" w14:textId="77777777" w:rsidR="00B17893" w:rsidRDefault="00B17893" w:rsidP="008D3052">
      <w:pPr>
        <w:jc w:val="center"/>
        <w:rPr>
          <w:rFonts w:ascii="Arial" w:hAnsi="Arial"/>
          <w:sz w:val="20"/>
        </w:rPr>
      </w:pPr>
    </w:p>
    <w:p w14:paraId="3D4E60E5" w14:textId="77777777" w:rsidR="00B17893" w:rsidRDefault="00B17893" w:rsidP="008D3052">
      <w:pPr>
        <w:jc w:val="center"/>
        <w:rPr>
          <w:rFonts w:ascii="Arial" w:hAnsi="Arial"/>
          <w:sz w:val="20"/>
        </w:rPr>
      </w:pPr>
    </w:p>
    <w:p w14:paraId="57F7B9C1" w14:textId="77777777" w:rsidR="00206E3C" w:rsidRDefault="00206E3C" w:rsidP="008D3052">
      <w:pPr>
        <w:jc w:val="center"/>
        <w:rPr>
          <w:rFonts w:ascii="Arial" w:hAnsi="Arial"/>
          <w:sz w:val="20"/>
        </w:rPr>
      </w:pPr>
    </w:p>
    <w:p w14:paraId="283599E0" w14:textId="77777777" w:rsidR="00206E3C" w:rsidRDefault="00206E3C" w:rsidP="008D3052">
      <w:pPr>
        <w:jc w:val="center"/>
        <w:rPr>
          <w:rFonts w:ascii="Arial" w:hAnsi="Arial"/>
          <w:sz w:val="20"/>
        </w:rPr>
      </w:pPr>
    </w:p>
    <w:p w14:paraId="086E8370" w14:textId="77777777" w:rsidR="00206E3C" w:rsidRDefault="00206E3C" w:rsidP="008D3052">
      <w:pPr>
        <w:jc w:val="center"/>
        <w:rPr>
          <w:rFonts w:ascii="Arial" w:hAnsi="Arial"/>
          <w:sz w:val="20"/>
        </w:rPr>
      </w:pPr>
    </w:p>
    <w:tbl>
      <w:tblPr>
        <w:tblW w:w="0" w:type="auto"/>
        <w:tblInd w:w="2445" w:type="dxa"/>
        <w:tblBorders>
          <w:top w:val="single" w:sz="4" w:space="0" w:color="auto"/>
          <w:bottom w:val="single" w:sz="4" w:space="0" w:color="auto"/>
        </w:tblBorders>
        <w:tblLook w:val="04A0" w:firstRow="1" w:lastRow="0" w:firstColumn="1" w:lastColumn="0" w:noHBand="0" w:noVBand="1"/>
      </w:tblPr>
      <w:tblGrid>
        <w:gridCol w:w="2784"/>
        <w:gridCol w:w="2784"/>
      </w:tblGrid>
      <w:tr w:rsidR="00C32A98" w14:paraId="45A5A3CC" w14:textId="77777777" w:rsidTr="007C53B1">
        <w:trPr>
          <w:trHeight w:hRule="exact" w:val="504"/>
        </w:trPr>
        <w:tc>
          <w:tcPr>
            <w:tcW w:w="2784" w:type="dxa"/>
            <w:tcBorders>
              <w:top w:val="single" w:sz="4" w:space="0" w:color="auto"/>
              <w:bottom w:val="single" w:sz="8" w:space="0" w:color="auto"/>
            </w:tcBorders>
          </w:tcPr>
          <w:p w14:paraId="53010CD9" w14:textId="77777777" w:rsidR="00C32A98" w:rsidRPr="007C53B1" w:rsidRDefault="004111F7" w:rsidP="007C53B1">
            <w:pPr>
              <w:spacing w:before="0" w:after="0"/>
              <w:jc w:val="center"/>
              <w:rPr>
                <w:rFonts w:ascii="Arial" w:hAnsi="Arial"/>
                <w:sz w:val="20"/>
              </w:rPr>
            </w:pPr>
            <w:bookmarkStart w:id="2" w:name="_Hlk535596560"/>
            <w:r w:rsidRPr="007C53B1">
              <w:rPr>
                <w:rFonts w:ascii="Arial" w:hAnsi="Arial"/>
                <w:sz w:val="20"/>
              </w:rPr>
              <w:t xml:space="preserve">Measured </w:t>
            </w:r>
            <w:r w:rsidR="00C32A98" w:rsidRPr="007C53B1">
              <w:rPr>
                <w:rFonts w:ascii="Arial" w:hAnsi="Arial"/>
                <w:sz w:val="20"/>
              </w:rPr>
              <w:t>Turbidity Range</w:t>
            </w:r>
          </w:p>
          <w:p w14:paraId="6A56BBB8" w14:textId="77777777" w:rsidR="00C32A98" w:rsidRPr="007C53B1" w:rsidRDefault="00C32A98" w:rsidP="007C53B1">
            <w:pPr>
              <w:spacing w:before="0" w:after="0"/>
              <w:jc w:val="center"/>
              <w:rPr>
                <w:rFonts w:ascii="Arial" w:hAnsi="Arial"/>
                <w:i/>
                <w:sz w:val="20"/>
              </w:rPr>
            </w:pPr>
            <w:r w:rsidRPr="007C53B1">
              <w:rPr>
                <w:rFonts w:ascii="Arial" w:hAnsi="Arial"/>
                <w:i/>
                <w:sz w:val="20"/>
              </w:rPr>
              <w:t>NTU</w:t>
            </w:r>
          </w:p>
        </w:tc>
        <w:tc>
          <w:tcPr>
            <w:tcW w:w="2784" w:type="dxa"/>
            <w:tcBorders>
              <w:top w:val="single" w:sz="4" w:space="0" w:color="auto"/>
              <w:bottom w:val="single" w:sz="8" w:space="0" w:color="auto"/>
            </w:tcBorders>
          </w:tcPr>
          <w:p w14:paraId="1C6C6859" w14:textId="77777777" w:rsidR="00C32A98" w:rsidRPr="007C53B1" w:rsidRDefault="00C32A98" w:rsidP="007C53B1">
            <w:pPr>
              <w:spacing w:before="0" w:after="0"/>
              <w:jc w:val="center"/>
              <w:rPr>
                <w:rFonts w:ascii="Arial" w:hAnsi="Arial"/>
                <w:sz w:val="20"/>
              </w:rPr>
            </w:pPr>
            <w:r w:rsidRPr="007C53B1">
              <w:rPr>
                <w:rFonts w:ascii="Arial" w:hAnsi="Arial"/>
                <w:sz w:val="20"/>
              </w:rPr>
              <w:t>Report to the Nearest</w:t>
            </w:r>
          </w:p>
          <w:p w14:paraId="05EBE465" w14:textId="77777777" w:rsidR="00C32A98" w:rsidRPr="007C53B1" w:rsidRDefault="00C32A98" w:rsidP="007C53B1">
            <w:pPr>
              <w:spacing w:before="0" w:after="0"/>
              <w:jc w:val="center"/>
              <w:rPr>
                <w:rFonts w:ascii="Arial" w:hAnsi="Arial"/>
                <w:sz w:val="20"/>
              </w:rPr>
            </w:pPr>
            <w:r w:rsidRPr="007C53B1">
              <w:rPr>
                <w:rFonts w:ascii="Arial" w:hAnsi="Arial"/>
                <w:i/>
                <w:sz w:val="20"/>
              </w:rPr>
              <w:t>NTU</w:t>
            </w:r>
          </w:p>
        </w:tc>
      </w:tr>
      <w:tr w:rsidR="00C32A98" w14:paraId="4C758534" w14:textId="77777777" w:rsidTr="007C53B1">
        <w:trPr>
          <w:trHeight w:hRule="exact" w:val="360"/>
        </w:trPr>
        <w:tc>
          <w:tcPr>
            <w:tcW w:w="2784" w:type="dxa"/>
            <w:tcBorders>
              <w:top w:val="single" w:sz="8" w:space="0" w:color="auto"/>
            </w:tcBorders>
          </w:tcPr>
          <w:p w14:paraId="7E89B048" w14:textId="77777777" w:rsidR="00C32A98" w:rsidRPr="007C53B1" w:rsidRDefault="00C32A98" w:rsidP="007C53B1">
            <w:pPr>
              <w:jc w:val="center"/>
              <w:rPr>
                <w:rFonts w:ascii="Arial" w:hAnsi="Arial"/>
                <w:sz w:val="20"/>
              </w:rPr>
            </w:pPr>
            <w:r w:rsidRPr="007C53B1">
              <w:rPr>
                <w:rFonts w:ascii="Arial" w:hAnsi="Arial"/>
                <w:sz w:val="20"/>
              </w:rPr>
              <w:t>0 – 1.0</w:t>
            </w:r>
          </w:p>
        </w:tc>
        <w:tc>
          <w:tcPr>
            <w:tcW w:w="2784" w:type="dxa"/>
            <w:tcBorders>
              <w:top w:val="single" w:sz="8" w:space="0" w:color="auto"/>
            </w:tcBorders>
          </w:tcPr>
          <w:p w14:paraId="033CBEEF" w14:textId="77777777" w:rsidR="00C32A98" w:rsidRPr="007C53B1" w:rsidRDefault="00C32A98" w:rsidP="007C53B1">
            <w:pPr>
              <w:jc w:val="center"/>
              <w:rPr>
                <w:rFonts w:ascii="Arial" w:hAnsi="Arial"/>
                <w:sz w:val="20"/>
              </w:rPr>
            </w:pPr>
            <w:r w:rsidRPr="007C53B1">
              <w:rPr>
                <w:rFonts w:ascii="Arial" w:hAnsi="Arial"/>
                <w:sz w:val="20"/>
              </w:rPr>
              <w:t>0.05</w:t>
            </w:r>
          </w:p>
        </w:tc>
      </w:tr>
      <w:tr w:rsidR="00C32A98" w14:paraId="6529419C" w14:textId="77777777" w:rsidTr="007C53B1">
        <w:trPr>
          <w:trHeight w:hRule="exact" w:val="360"/>
        </w:trPr>
        <w:tc>
          <w:tcPr>
            <w:tcW w:w="2784" w:type="dxa"/>
          </w:tcPr>
          <w:p w14:paraId="53840671" w14:textId="77777777" w:rsidR="00C32A98" w:rsidRPr="007C53B1" w:rsidRDefault="00C32A98" w:rsidP="007C53B1">
            <w:pPr>
              <w:jc w:val="center"/>
              <w:rPr>
                <w:rFonts w:ascii="Arial" w:hAnsi="Arial"/>
                <w:sz w:val="20"/>
              </w:rPr>
            </w:pPr>
            <w:r w:rsidRPr="007C53B1">
              <w:rPr>
                <w:rFonts w:ascii="Arial" w:hAnsi="Arial"/>
                <w:sz w:val="20"/>
              </w:rPr>
              <w:t>1 – 10</w:t>
            </w:r>
          </w:p>
        </w:tc>
        <w:tc>
          <w:tcPr>
            <w:tcW w:w="2784" w:type="dxa"/>
          </w:tcPr>
          <w:p w14:paraId="0AF7F2C6" w14:textId="77777777" w:rsidR="00C32A98" w:rsidRPr="007C53B1" w:rsidRDefault="00C32A98" w:rsidP="007C53B1">
            <w:pPr>
              <w:jc w:val="center"/>
              <w:rPr>
                <w:rFonts w:ascii="Arial" w:hAnsi="Arial"/>
                <w:sz w:val="20"/>
              </w:rPr>
            </w:pPr>
            <w:r w:rsidRPr="007C53B1">
              <w:rPr>
                <w:rFonts w:ascii="Arial" w:hAnsi="Arial"/>
                <w:sz w:val="20"/>
              </w:rPr>
              <w:t>0.1</w:t>
            </w:r>
          </w:p>
        </w:tc>
      </w:tr>
      <w:tr w:rsidR="00C32A98" w14:paraId="1B0C559F" w14:textId="77777777" w:rsidTr="007C53B1">
        <w:trPr>
          <w:trHeight w:hRule="exact" w:val="360"/>
        </w:trPr>
        <w:tc>
          <w:tcPr>
            <w:tcW w:w="2784" w:type="dxa"/>
          </w:tcPr>
          <w:p w14:paraId="7AC6F9E6" w14:textId="77777777" w:rsidR="00C32A98" w:rsidRPr="007C53B1" w:rsidRDefault="00C32A98" w:rsidP="007C53B1">
            <w:pPr>
              <w:jc w:val="center"/>
              <w:rPr>
                <w:rFonts w:ascii="Arial" w:hAnsi="Arial"/>
                <w:sz w:val="20"/>
              </w:rPr>
            </w:pPr>
            <w:r w:rsidRPr="007C53B1">
              <w:rPr>
                <w:rFonts w:ascii="Arial" w:hAnsi="Arial"/>
                <w:sz w:val="20"/>
              </w:rPr>
              <w:t>10 – 40</w:t>
            </w:r>
          </w:p>
        </w:tc>
        <w:tc>
          <w:tcPr>
            <w:tcW w:w="2784" w:type="dxa"/>
          </w:tcPr>
          <w:p w14:paraId="3E6DF2E7" w14:textId="77777777" w:rsidR="00C32A98" w:rsidRPr="007C53B1" w:rsidRDefault="00C32A98" w:rsidP="007C53B1">
            <w:pPr>
              <w:jc w:val="center"/>
              <w:rPr>
                <w:rFonts w:ascii="Arial" w:hAnsi="Arial"/>
                <w:sz w:val="20"/>
              </w:rPr>
            </w:pPr>
            <w:r w:rsidRPr="007C53B1">
              <w:rPr>
                <w:rFonts w:ascii="Arial" w:hAnsi="Arial"/>
                <w:sz w:val="20"/>
              </w:rPr>
              <w:t>1</w:t>
            </w:r>
          </w:p>
        </w:tc>
      </w:tr>
      <w:tr w:rsidR="00C32A98" w14:paraId="1E65F38B" w14:textId="77777777" w:rsidTr="007C53B1">
        <w:trPr>
          <w:trHeight w:hRule="exact" w:val="360"/>
        </w:trPr>
        <w:tc>
          <w:tcPr>
            <w:tcW w:w="2784" w:type="dxa"/>
          </w:tcPr>
          <w:p w14:paraId="433D7619" w14:textId="77777777" w:rsidR="00C32A98" w:rsidRPr="007C53B1" w:rsidRDefault="00C32A98" w:rsidP="007C53B1">
            <w:pPr>
              <w:jc w:val="center"/>
              <w:rPr>
                <w:rFonts w:ascii="Arial" w:hAnsi="Arial"/>
                <w:sz w:val="20"/>
              </w:rPr>
            </w:pPr>
            <w:r w:rsidRPr="007C53B1">
              <w:rPr>
                <w:rFonts w:ascii="Arial" w:hAnsi="Arial"/>
                <w:sz w:val="20"/>
              </w:rPr>
              <w:t>40 – 100</w:t>
            </w:r>
          </w:p>
        </w:tc>
        <w:tc>
          <w:tcPr>
            <w:tcW w:w="2784" w:type="dxa"/>
          </w:tcPr>
          <w:p w14:paraId="27E885E9" w14:textId="77777777" w:rsidR="00C32A98" w:rsidRPr="007C53B1" w:rsidRDefault="00C32A98" w:rsidP="007C53B1">
            <w:pPr>
              <w:jc w:val="center"/>
              <w:rPr>
                <w:rFonts w:ascii="Arial" w:hAnsi="Arial"/>
                <w:sz w:val="20"/>
              </w:rPr>
            </w:pPr>
            <w:r w:rsidRPr="007C53B1">
              <w:rPr>
                <w:rFonts w:ascii="Arial" w:hAnsi="Arial"/>
                <w:sz w:val="20"/>
              </w:rPr>
              <w:t>5</w:t>
            </w:r>
          </w:p>
        </w:tc>
      </w:tr>
      <w:tr w:rsidR="00C32A98" w14:paraId="5E1E9B2B" w14:textId="77777777" w:rsidTr="007C53B1">
        <w:trPr>
          <w:trHeight w:hRule="exact" w:val="360"/>
        </w:trPr>
        <w:tc>
          <w:tcPr>
            <w:tcW w:w="2784" w:type="dxa"/>
          </w:tcPr>
          <w:p w14:paraId="483CE24E" w14:textId="77777777" w:rsidR="00C32A98" w:rsidRPr="007C53B1" w:rsidRDefault="00C32A98" w:rsidP="007C53B1">
            <w:pPr>
              <w:jc w:val="center"/>
              <w:rPr>
                <w:rFonts w:ascii="Arial" w:hAnsi="Arial"/>
                <w:sz w:val="20"/>
              </w:rPr>
            </w:pPr>
            <w:r w:rsidRPr="007C53B1">
              <w:rPr>
                <w:rFonts w:ascii="Arial" w:hAnsi="Arial"/>
                <w:sz w:val="20"/>
              </w:rPr>
              <w:t>100 – 400</w:t>
            </w:r>
          </w:p>
        </w:tc>
        <w:tc>
          <w:tcPr>
            <w:tcW w:w="2784" w:type="dxa"/>
          </w:tcPr>
          <w:p w14:paraId="62C296C3" w14:textId="77777777" w:rsidR="00C32A98" w:rsidRPr="007C53B1" w:rsidRDefault="00C32A98" w:rsidP="007C53B1">
            <w:pPr>
              <w:jc w:val="center"/>
              <w:rPr>
                <w:rFonts w:ascii="Arial" w:hAnsi="Arial"/>
                <w:sz w:val="20"/>
              </w:rPr>
            </w:pPr>
            <w:r w:rsidRPr="007C53B1">
              <w:rPr>
                <w:rFonts w:ascii="Arial" w:hAnsi="Arial"/>
                <w:sz w:val="20"/>
              </w:rPr>
              <w:t>10</w:t>
            </w:r>
          </w:p>
        </w:tc>
      </w:tr>
      <w:tr w:rsidR="00C32A98" w14:paraId="42F3DB63" w14:textId="77777777" w:rsidTr="007C53B1">
        <w:trPr>
          <w:trHeight w:hRule="exact" w:val="360"/>
        </w:trPr>
        <w:tc>
          <w:tcPr>
            <w:tcW w:w="2784" w:type="dxa"/>
          </w:tcPr>
          <w:p w14:paraId="5733A2C7" w14:textId="77777777" w:rsidR="00C32A98" w:rsidRPr="007C53B1" w:rsidRDefault="00C32A98" w:rsidP="007C53B1">
            <w:pPr>
              <w:jc w:val="center"/>
              <w:rPr>
                <w:rFonts w:ascii="Arial" w:hAnsi="Arial"/>
                <w:sz w:val="20"/>
              </w:rPr>
            </w:pPr>
            <w:r w:rsidRPr="007C53B1">
              <w:rPr>
                <w:rFonts w:ascii="Arial" w:hAnsi="Arial"/>
                <w:sz w:val="20"/>
              </w:rPr>
              <w:t>400 – 1000</w:t>
            </w:r>
          </w:p>
        </w:tc>
        <w:tc>
          <w:tcPr>
            <w:tcW w:w="2784" w:type="dxa"/>
          </w:tcPr>
          <w:p w14:paraId="72F8842E" w14:textId="77777777" w:rsidR="00C32A98" w:rsidRPr="007C53B1" w:rsidRDefault="00C32A98" w:rsidP="007C53B1">
            <w:pPr>
              <w:jc w:val="center"/>
              <w:rPr>
                <w:rFonts w:ascii="Arial" w:hAnsi="Arial"/>
                <w:sz w:val="20"/>
              </w:rPr>
            </w:pPr>
            <w:r w:rsidRPr="007C53B1">
              <w:rPr>
                <w:rFonts w:ascii="Arial" w:hAnsi="Arial"/>
                <w:sz w:val="20"/>
              </w:rPr>
              <w:t>50</w:t>
            </w:r>
          </w:p>
        </w:tc>
      </w:tr>
      <w:tr w:rsidR="00C32A98" w14:paraId="541B9EDC" w14:textId="77777777" w:rsidTr="007C53B1">
        <w:trPr>
          <w:trHeight w:hRule="exact" w:val="360"/>
        </w:trPr>
        <w:tc>
          <w:tcPr>
            <w:tcW w:w="2784" w:type="dxa"/>
          </w:tcPr>
          <w:p w14:paraId="2034366A" w14:textId="77777777" w:rsidR="00C32A98" w:rsidRPr="007C53B1" w:rsidRDefault="00C32A98" w:rsidP="007C53B1">
            <w:pPr>
              <w:jc w:val="center"/>
              <w:rPr>
                <w:rFonts w:ascii="Arial" w:hAnsi="Arial"/>
                <w:sz w:val="20"/>
              </w:rPr>
            </w:pPr>
            <w:r w:rsidRPr="007C53B1">
              <w:rPr>
                <w:rFonts w:ascii="Arial" w:hAnsi="Arial"/>
                <w:sz w:val="20"/>
              </w:rPr>
              <w:t>&gt; 1000</w:t>
            </w:r>
          </w:p>
        </w:tc>
        <w:tc>
          <w:tcPr>
            <w:tcW w:w="2784" w:type="dxa"/>
          </w:tcPr>
          <w:p w14:paraId="0E1844FF" w14:textId="77777777" w:rsidR="00C32A98" w:rsidRPr="007C53B1" w:rsidRDefault="00C32A98" w:rsidP="007C53B1">
            <w:pPr>
              <w:jc w:val="center"/>
              <w:rPr>
                <w:rFonts w:ascii="Arial" w:hAnsi="Arial"/>
                <w:sz w:val="20"/>
              </w:rPr>
            </w:pPr>
            <w:r w:rsidRPr="007C53B1">
              <w:rPr>
                <w:rFonts w:ascii="Arial" w:hAnsi="Arial"/>
                <w:sz w:val="20"/>
              </w:rPr>
              <w:t>100</w:t>
            </w:r>
          </w:p>
        </w:tc>
      </w:tr>
      <w:bookmarkEnd w:id="2"/>
    </w:tbl>
    <w:p w14:paraId="42AA4EEA" w14:textId="77777777" w:rsidR="004E4277" w:rsidRDefault="004E4277" w:rsidP="001A2ED5">
      <w:pPr>
        <w:jc w:val="both"/>
        <w:rPr>
          <w:rFonts w:ascii="Arial" w:hAnsi="Arial"/>
          <w:sz w:val="20"/>
        </w:rPr>
      </w:pPr>
    </w:p>
    <w:p w14:paraId="1AA23D8D" w14:textId="77777777" w:rsidR="001A2ED5" w:rsidRPr="00F61A31" w:rsidRDefault="001A2ED5" w:rsidP="001A2ED5">
      <w:pPr>
        <w:jc w:val="both"/>
        <w:rPr>
          <w:rFonts w:ascii="Arial" w:hAnsi="Arial"/>
          <w:b/>
          <w:sz w:val="20"/>
          <w:u w:val="single"/>
        </w:rPr>
      </w:pPr>
      <w:r w:rsidRPr="00F61A31">
        <w:rPr>
          <w:rFonts w:ascii="Arial" w:hAnsi="Arial"/>
          <w:b/>
          <w:sz w:val="20"/>
          <w:u w:val="single"/>
        </w:rPr>
        <w:t>Documentation:</w:t>
      </w:r>
    </w:p>
    <w:p w14:paraId="5D201C31" w14:textId="77777777" w:rsidR="001A2ED5" w:rsidRPr="00F61A31" w:rsidRDefault="001A2ED5" w:rsidP="001A2ED5">
      <w:pPr>
        <w:suppressAutoHyphens/>
        <w:jc w:val="both"/>
        <w:rPr>
          <w:rFonts w:ascii="Arial" w:hAnsi="Arial" w:cs="Arial"/>
          <w:sz w:val="20"/>
        </w:rPr>
      </w:pPr>
      <w:r w:rsidRPr="00F61A31">
        <w:rPr>
          <w:rFonts w:ascii="Arial" w:hAnsi="Arial" w:cs="Arial"/>
          <w:sz w:val="20"/>
        </w:rPr>
        <w:t xml:space="preserve">The following must be </w:t>
      </w:r>
      <w:proofErr w:type="gramStart"/>
      <w:r w:rsidRPr="00F61A31">
        <w:rPr>
          <w:rFonts w:ascii="Arial" w:hAnsi="Arial" w:cs="Arial"/>
          <w:sz w:val="20"/>
        </w:rPr>
        <w:t xml:space="preserve">documented </w:t>
      </w:r>
      <w:r w:rsidRPr="00BE3A1A">
        <w:rPr>
          <w:rFonts w:ascii="Arial" w:hAnsi="Arial" w:cs="Arial"/>
          <w:sz w:val="20"/>
        </w:rPr>
        <w:t>in</w:t>
      </w:r>
      <w:proofErr w:type="gramEnd"/>
      <w:r w:rsidRPr="00BE3A1A">
        <w:rPr>
          <w:rFonts w:ascii="Arial" w:hAnsi="Arial" w:cs="Arial"/>
          <w:sz w:val="20"/>
        </w:rPr>
        <w:t xml:space="preserve"> indelible ink</w:t>
      </w:r>
      <w:r>
        <w:rPr>
          <w:rFonts w:ascii="Arial" w:hAnsi="Arial" w:cs="Arial"/>
          <w:sz w:val="20"/>
        </w:rPr>
        <w:t xml:space="preserve"> </w:t>
      </w:r>
      <w:r w:rsidRPr="00F61A31">
        <w:rPr>
          <w:rFonts w:ascii="Arial" w:hAnsi="Arial" w:cs="Arial"/>
          <w:sz w:val="20"/>
        </w:rPr>
        <w:t>whenev</w:t>
      </w:r>
      <w:r w:rsidR="007C62BE">
        <w:rPr>
          <w:rFonts w:ascii="Arial" w:hAnsi="Arial" w:cs="Arial"/>
          <w:sz w:val="20"/>
        </w:rPr>
        <w:t>er sample analysis is performed:</w:t>
      </w:r>
    </w:p>
    <w:p w14:paraId="33E67911" w14:textId="0AB3113E" w:rsidR="001A2ED5" w:rsidRPr="001E60B2" w:rsidRDefault="001A2ED5" w:rsidP="006B2CB2">
      <w:pPr>
        <w:widowControl/>
        <w:numPr>
          <w:ilvl w:val="0"/>
          <w:numId w:val="12"/>
        </w:numPr>
        <w:suppressAutoHyphens/>
        <w:spacing w:before="0" w:after="0"/>
        <w:ind w:left="360"/>
        <w:jc w:val="both"/>
        <w:rPr>
          <w:rFonts w:ascii="Arial" w:hAnsi="Arial" w:cs="Arial"/>
          <w:spacing w:val="-3"/>
          <w:sz w:val="20"/>
          <w:lang w:eastAsia="zh-CN"/>
        </w:rPr>
      </w:pPr>
      <w:r w:rsidRPr="001E60B2">
        <w:rPr>
          <w:rFonts w:ascii="Arial" w:hAnsi="Arial" w:cs="Arial"/>
          <w:spacing w:val="-3"/>
          <w:sz w:val="20"/>
          <w:lang w:eastAsia="zh-CN"/>
        </w:rPr>
        <w:t>Date a</w:t>
      </w:r>
      <w:r w:rsidR="007C62BE">
        <w:rPr>
          <w:rFonts w:ascii="Arial" w:hAnsi="Arial" w:cs="Arial"/>
          <w:spacing w:val="-3"/>
          <w:sz w:val="20"/>
          <w:lang w:eastAsia="zh-CN"/>
        </w:rPr>
        <w:t>nd time of sample collection</w:t>
      </w:r>
    </w:p>
    <w:p w14:paraId="2BBF3EEB" w14:textId="10703BDF" w:rsidR="001A2ED5" w:rsidRPr="001E60B2" w:rsidRDefault="001A2ED5" w:rsidP="006B2CB2">
      <w:pPr>
        <w:widowControl/>
        <w:numPr>
          <w:ilvl w:val="0"/>
          <w:numId w:val="12"/>
        </w:numPr>
        <w:suppressAutoHyphens/>
        <w:spacing w:before="0" w:after="0"/>
        <w:ind w:left="360"/>
        <w:jc w:val="both"/>
        <w:rPr>
          <w:rFonts w:ascii="Arial" w:hAnsi="Arial" w:cs="Arial"/>
          <w:spacing w:val="-3"/>
          <w:sz w:val="20"/>
          <w:lang w:eastAsia="zh-CN"/>
        </w:rPr>
      </w:pPr>
      <w:r w:rsidRPr="001E60B2">
        <w:rPr>
          <w:rFonts w:ascii="Arial" w:hAnsi="Arial" w:cs="Arial"/>
          <w:spacing w:val="-3"/>
          <w:sz w:val="20"/>
          <w:lang w:eastAsia="zh-CN"/>
        </w:rPr>
        <w:t>Date</w:t>
      </w:r>
      <w:r w:rsidR="0011508D">
        <w:rPr>
          <w:rFonts w:ascii="Arial" w:hAnsi="Arial" w:cs="Arial"/>
          <w:spacing w:val="-3"/>
          <w:sz w:val="20"/>
          <w:lang w:eastAsia="zh-CN"/>
        </w:rPr>
        <w:t xml:space="preserve"> and time</w:t>
      </w:r>
      <w:r w:rsidRPr="001E60B2">
        <w:rPr>
          <w:rFonts w:ascii="Arial" w:hAnsi="Arial" w:cs="Arial"/>
          <w:spacing w:val="-3"/>
          <w:sz w:val="20"/>
          <w:lang w:eastAsia="zh-CN"/>
        </w:rPr>
        <w:t xml:space="preserve"> of sample analysis</w:t>
      </w:r>
      <w:r w:rsidR="0011508D">
        <w:rPr>
          <w:rFonts w:ascii="Arial" w:hAnsi="Arial" w:cs="Arial"/>
          <w:spacing w:val="-3"/>
          <w:sz w:val="20"/>
          <w:lang w:eastAsia="zh-CN"/>
        </w:rPr>
        <w:t xml:space="preserve"> to verify the 4</w:t>
      </w:r>
      <w:r>
        <w:rPr>
          <w:rFonts w:ascii="Arial" w:hAnsi="Arial" w:cs="Arial"/>
          <w:spacing w:val="-3"/>
          <w:sz w:val="20"/>
          <w:lang w:eastAsia="zh-CN"/>
        </w:rPr>
        <w:t>8</w:t>
      </w:r>
      <w:r w:rsidR="00D97249">
        <w:rPr>
          <w:rFonts w:ascii="Arial" w:hAnsi="Arial" w:cs="Arial"/>
          <w:spacing w:val="-3"/>
          <w:sz w:val="20"/>
          <w:lang w:eastAsia="zh-CN"/>
        </w:rPr>
        <w:t>-</w:t>
      </w:r>
      <w:r w:rsidR="0011508D">
        <w:rPr>
          <w:rFonts w:ascii="Arial" w:hAnsi="Arial" w:cs="Arial"/>
          <w:spacing w:val="-3"/>
          <w:sz w:val="20"/>
          <w:lang w:eastAsia="zh-CN"/>
        </w:rPr>
        <w:t>hour</w:t>
      </w:r>
      <w:r>
        <w:rPr>
          <w:rFonts w:ascii="Arial" w:hAnsi="Arial" w:cs="Arial"/>
          <w:spacing w:val="-3"/>
          <w:sz w:val="20"/>
          <w:lang w:eastAsia="zh-CN"/>
        </w:rPr>
        <w:t xml:space="preserve"> holding time is met</w:t>
      </w:r>
      <w:r w:rsidRPr="007C3F31">
        <w:rPr>
          <w:rFonts w:ascii="Arial" w:hAnsi="Arial" w:cs="Arial"/>
          <w:spacing w:val="-3"/>
          <w:sz w:val="20"/>
          <w:lang w:eastAsia="zh-CN"/>
        </w:rPr>
        <w:t xml:space="preserve"> </w:t>
      </w:r>
    </w:p>
    <w:p w14:paraId="62DD8A9F" w14:textId="123AB588" w:rsidR="001A2ED5" w:rsidRDefault="00927980" w:rsidP="006B2CB2">
      <w:pPr>
        <w:widowControl/>
        <w:numPr>
          <w:ilvl w:val="0"/>
          <w:numId w:val="12"/>
        </w:numPr>
        <w:suppressAutoHyphens/>
        <w:spacing w:before="0" w:after="0"/>
        <w:ind w:left="360"/>
        <w:jc w:val="both"/>
        <w:rPr>
          <w:rFonts w:ascii="Arial" w:hAnsi="Arial" w:cs="Arial"/>
          <w:spacing w:val="-3"/>
          <w:sz w:val="20"/>
          <w:lang w:eastAsia="zh-CN"/>
        </w:rPr>
      </w:pPr>
      <w:r>
        <w:rPr>
          <w:rFonts w:ascii="Arial" w:hAnsi="Arial" w:cs="Arial"/>
          <w:spacing w:val="-3"/>
          <w:sz w:val="20"/>
          <w:lang w:eastAsia="zh-CN"/>
        </w:rPr>
        <w:t>Permitted f</w:t>
      </w:r>
      <w:r w:rsidR="002C5FD1">
        <w:rPr>
          <w:rFonts w:ascii="Arial" w:hAnsi="Arial" w:cs="Arial"/>
          <w:spacing w:val="-3"/>
          <w:sz w:val="20"/>
          <w:lang w:eastAsia="zh-CN"/>
        </w:rPr>
        <w:t>acility</w:t>
      </w:r>
      <w:r w:rsidR="002C5FD1" w:rsidRPr="002C5FD1">
        <w:t xml:space="preserve"> </w:t>
      </w:r>
      <w:r w:rsidR="002C5FD1" w:rsidRPr="002C5FD1">
        <w:rPr>
          <w:rFonts w:ascii="Arial" w:hAnsi="Arial" w:cs="Arial"/>
          <w:spacing w:val="-3"/>
          <w:sz w:val="20"/>
          <w:lang w:eastAsia="zh-CN"/>
        </w:rPr>
        <w:t>name</w:t>
      </w:r>
      <w:r w:rsidR="009C2C2F">
        <w:rPr>
          <w:rFonts w:ascii="Arial" w:hAnsi="Arial" w:cs="Arial"/>
          <w:spacing w:val="-3"/>
          <w:sz w:val="20"/>
          <w:lang w:eastAsia="zh-CN"/>
        </w:rPr>
        <w:t xml:space="preserve"> or permit number</w:t>
      </w:r>
      <w:r w:rsidR="002C5FD1" w:rsidRPr="002C5FD1">
        <w:rPr>
          <w:rFonts w:ascii="Arial" w:hAnsi="Arial" w:cs="Arial"/>
          <w:spacing w:val="-3"/>
          <w:sz w:val="20"/>
          <w:lang w:eastAsia="zh-CN"/>
        </w:rPr>
        <w:t xml:space="preserve">, </w:t>
      </w:r>
      <w:r w:rsidR="009C2C2F">
        <w:rPr>
          <w:rFonts w:ascii="Arial" w:hAnsi="Arial" w:cs="Arial"/>
          <w:spacing w:val="-3"/>
          <w:sz w:val="20"/>
          <w:lang w:eastAsia="zh-CN"/>
        </w:rPr>
        <w:t xml:space="preserve">and </w:t>
      </w:r>
      <w:r w:rsidR="002C5FD1" w:rsidRPr="002C5FD1">
        <w:rPr>
          <w:rFonts w:ascii="Arial" w:hAnsi="Arial" w:cs="Arial"/>
          <w:spacing w:val="-3"/>
          <w:sz w:val="20"/>
          <w:lang w:eastAsia="zh-CN"/>
        </w:rPr>
        <w:t>sample site (ID or location)</w:t>
      </w:r>
    </w:p>
    <w:p w14:paraId="681BDA03" w14:textId="019EB8ED" w:rsidR="001A2ED5" w:rsidRDefault="001A2ED5" w:rsidP="006B2CB2">
      <w:pPr>
        <w:widowControl/>
        <w:numPr>
          <w:ilvl w:val="0"/>
          <w:numId w:val="12"/>
        </w:numPr>
        <w:suppressAutoHyphens/>
        <w:spacing w:before="0" w:after="0"/>
        <w:ind w:left="360"/>
        <w:jc w:val="both"/>
        <w:rPr>
          <w:rFonts w:ascii="Arial" w:hAnsi="Arial" w:cs="Arial"/>
          <w:spacing w:val="-3"/>
          <w:sz w:val="20"/>
          <w:lang w:eastAsia="zh-CN"/>
        </w:rPr>
      </w:pPr>
      <w:r w:rsidRPr="000F75E1">
        <w:rPr>
          <w:rFonts w:ascii="Arial" w:hAnsi="Arial" w:cs="Arial"/>
          <w:spacing w:val="-3"/>
          <w:sz w:val="20"/>
          <w:lang w:eastAsia="zh-CN"/>
        </w:rPr>
        <w:t xml:space="preserve">Collector’s/analyst’s name </w:t>
      </w:r>
      <w:r w:rsidRPr="00BE3A1A">
        <w:rPr>
          <w:rFonts w:ascii="Arial" w:hAnsi="Arial" w:cs="Arial"/>
          <w:spacing w:val="-3"/>
          <w:sz w:val="20"/>
          <w:lang w:eastAsia="zh-CN"/>
        </w:rPr>
        <w:t>or initials</w:t>
      </w:r>
    </w:p>
    <w:p w14:paraId="0F87A6A5" w14:textId="5F921FB5" w:rsidR="008F2A25" w:rsidRPr="001E60B2" w:rsidRDefault="008F2A25" w:rsidP="006B2CB2">
      <w:pPr>
        <w:widowControl/>
        <w:numPr>
          <w:ilvl w:val="0"/>
          <w:numId w:val="12"/>
        </w:numPr>
        <w:suppressAutoHyphens/>
        <w:spacing w:before="0" w:after="0"/>
        <w:ind w:left="360"/>
        <w:jc w:val="both"/>
        <w:rPr>
          <w:rFonts w:ascii="Arial" w:hAnsi="Arial" w:cs="Arial"/>
          <w:spacing w:val="-3"/>
          <w:sz w:val="20"/>
          <w:lang w:eastAsia="zh-CN"/>
        </w:rPr>
      </w:pPr>
      <w:r>
        <w:rPr>
          <w:rFonts w:ascii="Arial" w:hAnsi="Arial" w:cs="Arial"/>
          <w:spacing w:val="-3"/>
          <w:sz w:val="20"/>
          <w:lang w:eastAsia="zh-CN"/>
        </w:rPr>
        <w:t>Meter calibration and meter calibration time(s)</w:t>
      </w:r>
    </w:p>
    <w:p w14:paraId="374625CB" w14:textId="7E0CBE7A" w:rsidR="00526D1F" w:rsidRPr="00C211A3" w:rsidRDefault="001A2ED5" w:rsidP="00C211A3">
      <w:pPr>
        <w:widowControl/>
        <w:numPr>
          <w:ilvl w:val="0"/>
          <w:numId w:val="12"/>
        </w:numPr>
        <w:suppressAutoHyphens/>
        <w:spacing w:before="0" w:after="0"/>
        <w:ind w:left="360"/>
        <w:jc w:val="both"/>
        <w:rPr>
          <w:rFonts w:ascii="Arial" w:hAnsi="Arial" w:cs="Arial"/>
          <w:spacing w:val="-3"/>
          <w:sz w:val="20"/>
          <w:lang w:eastAsia="zh-CN"/>
        </w:rPr>
      </w:pPr>
      <w:r>
        <w:rPr>
          <w:rFonts w:ascii="Arial" w:hAnsi="Arial" w:cs="Arial"/>
          <w:spacing w:val="-3"/>
          <w:sz w:val="20"/>
          <w:lang w:eastAsia="zh-CN"/>
        </w:rPr>
        <w:t>True v</w:t>
      </w:r>
      <w:r w:rsidRPr="001E60B2">
        <w:rPr>
          <w:rFonts w:ascii="Arial" w:hAnsi="Arial" w:cs="Arial"/>
          <w:spacing w:val="-3"/>
          <w:sz w:val="20"/>
          <w:lang w:eastAsia="zh-CN"/>
        </w:rPr>
        <w:t>alue</w:t>
      </w:r>
      <w:r w:rsidR="000532C6">
        <w:rPr>
          <w:rFonts w:ascii="Arial" w:hAnsi="Arial" w:cs="Arial"/>
          <w:spacing w:val="-3"/>
          <w:sz w:val="20"/>
          <w:lang w:eastAsia="zh-CN"/>
        </w:rPr>
        <w:t>s</w:t>
      </w:r>
      <w:r w:rsidRPr="001E60B2">
        <w:rPr>
          <w:rFonts w:ascii="Arial" w:hAnsi="Arial" w:cs="Arial"/>
          <w:spacing w:val="-3"/>
          <w:sz w:val="20"/>
          <w:lang w:eastAsia="zh-CN"/>
        </w:rPr>
        <w:t xml:space="preserve"> of </w:t>
      </w:r>
      <w:r>
        <w:rPr>
          <w:rFonts w:ascii="Arial" w:hAnsi="Arial" w:cs="Arial"/>
          <w:spacing w:val="-3"/>
          <w:sz w:val="20"/>
          <w:lang w:eastAsia="zh-CN"/>
        </w:rPr>
        <w:t>the</w:t>
      </w:r>
      <w:r w:rsidR="00B30575">
        <w:rPr>
          <w:rFonts w:ascii="Arial" w:hAnsi="Arial" w:cs="Arial"/>
          <w:spacing w:val="-3"/>
          <w:sz w:val="20"/>
          <w:lang w:eastAsia="zh-CN"/>
        </w:rPr>
        <w:t xml:space="preserve"> calibration</w:t>
      </w:r>
      <w:r>
        <w:rPr>
          <w:rFonts w:ascii="Arial" w:hAnsi="Arial" w:cs="Arial"/>
          <w:spacing w:val="-3"/>
          <w:sz w:val="20"/>
          <w:lang w:eastAsia="zh-CN"/>
        </w:rPr>
        <w:t xml:space="preserve"> </w:t>
      </w:r>
      <w:r w:rsidR="00C211A3">
        <w:rPr>
          <w:rFonts w:ascii="Arial" w:hAnsi="Arial" w:cs="Arial"/>
          <w:spacing w:val="-3"/>
          <w:sz w:val="20"/>
          <w:lang w:eastAsia="zh-CN"/>
        </w:rPr>
        <w:t xml:space="preserve">and/or verification </w:t>
      </w:r>
      <w:r w:rsidRPr="001E60B2">
        <w:rPr>
          <w:rFonts w:ascii="Arial" w:hAnsi="Arial" w:cs="Arial"/>
          <w:spacing w:val="-3"/>
          <w:sz w:val="20"/>
          <w:lang w:eastAsia="zh-CN"/>
        </w:rPr>
        <w:t>standard</w:t>
      </w:r>
      <w:r w:rsidR="008F2A25">
        <w:rPr>
          <w:rFonts w:ascii="Arial" w:hAnsi="Arial" w:cs="Arial"/>
          <w:spacing w:val="-3"/>
          <w:sz w:val="20"/>
          <w:lang w:eastAsia="zh-CN"/>
        </w:rPr>
        <w:t>s</w:t>
      </w:r>
      <w:r w:rsidR="00266908">
        <w:rPr>
          <w:rFonts w:ascii="Arial" w:hAnsi="Arial" w:cs="Arial"/>
          <w:spacing w:val="-3"/>
          <w:sz w:val="20"/>
          <w:lang w:eastAsia="zh-CN"/>
        </w:rPr>
        <w:t xml:space="preserve"> (determined by the manufacture</w:t>
      </w:r>
      <w:r w:rsidR="00240FF9">
        <w:rPr>
          <w:rFonts w:ascii="Arial" w:hAnsi="Arial" w:cs="Arial"/>
          <w:spacing w:val="-3"/>
          <w:sz w:val="20"/>
          <w:lang w:eastAsia="zh-CN"/>
        </w:rPr>
        <w:t>r</w:t>
      </w:r>
      <w:r w:rsidR="008347F6">
        <w:rPr>
          <w:rFonts w:ascii="Arial" w:hAnsi="Arial" w:cs="Arial"/>
          <w:spacing w:val="-3"/>
          <w:sz w:val="20"/>
          <w:lang w:eastAsia="zh-CN"/>
        </w:rPr>
        <w:t>’s calibration procedure)</w:t>
      </w:r>
    </w:p>
    <w:p w14:paraId="2FC29292" w14:textId="735F4F3E" w:rsidR="008F2A25" w:rsidRDefault="00F6589C" w:rsidP="006B2CB2">
      <w:pPr>
        <w:widowControl/>
        <w:numPr>
          <w:ilvl w:val="0"/>
          <w:numId w:val="12"/>
        </w:numPr>
        <w:suppressAutoHyphens/>
        <w:spacing w:before="0" w:after="0"/>
        <w:ind w:left="360"/>
        <w:jc w:val="both"/>
        <w:rPr>
          <w:rFonts w:ascii="Arial" w:hAnsi="Arial" w:cs="Arial"/>
          <w:spacing w:val="-3"/>
          <w:sz w:val="20"/>
          <w:lang w:eastAsia="zh-CN"/>
        </w:rPr>
      </w:pPr>
      <w:r w:rsidRPr="00F6589C">
        <w:rPr>
          <w:rFonts w:ascii="Arial" w:hAnsi="Arial" w:cs="Arial"/>
          <w:spacing w:val="-3"/>
          <w:sz w:val="20"/>
          <w:lang w:eastAsia="zh-CN"/>
        </w:rPr>
        <w:t>True value and value obtained for the post-analysis calibration verification(s), when applicable</w:t>
      </w:r>
      <w:r w:rsidR="001A2ED5" w:rsidRPr="0006162E">
        <w:rPr>
          <w:rFonts w:ascii="Arial" w:hAnsi="Arial" w:cs="Arial"/>
          <w:spacing w:val="-3"/>
          <w:sz w:val="20"/>
          <w:lang w:eastAsia="zh-CN"/>
        </w:rPr>
        <w:t xml:space="preserve"> </w:t>
      </w:r>
    </w:p>
    <w:p w14:paraId="6443D235" w14:textId="27903DF2" w:rsidR="006B2CB2" w:rsidRPr="006B2CB2" w:rsidRDefault="006E6620" w:rsidP="006B2CB2">
      <w:pPr>
        <w:widowControl/>
        <w:numPr>
          <w:ilvl w:val="0"/>
          <w:numId w:val="12"/>
        </w:numPr>
        <w:suppressAutoHyphens/>
        <w:spacing w:before="0" w:after="0"/>
        <w:ind w:left="360"/>
        <w:jc w:val="both"/>
        <w:rPr>
          <w:rFonts w:ascii="Arial" w:hAnsi="Arial" w:cs="Arial"/>
          <w:spacing w:val="-3"/>
          <w:sz w:val="20"/>
          <w:lang w:eastAsia="zh-CN"/>
        </w:rPr>
      </w:pPr>
      <w:r>
        <w:rPr>
          <w:rFonts w:ascii="Arial" w:hAnsi="Arial" w:cs="Arial"/>
          <w:spacing w:val="-3"/>
          <w:sz w:val="20"/>
          <w:lang w:eastAsia="zh-CN"/>
        </w:rPr>
        <w:t>Q</w:t>
      </w:r>
      <w:r w:rsidR="006B2CB2">
        <w:rPr>
          <w:rFonts w:ascii="Arial" w:hAnsi="Arial" w:cs="Arial"/>
          <w:spacing w:val="-3"/>
          <w:sz w:val="20"/>
          <w:lang w:eastAsia="zh-CN"/>
        </w:rPr>
        <w:t>uality control assessments</w:t>
      </w:r>
    </w:p>
    <w:p w14:paraId="567DC3C1" w14:textId="3EF8A7A2" w:rsidR="00FF1A67" w:rsidRDefault="00FF1A67" w:rsidP="006B2CB2">
      <w:pPr>
        <w:widowControl/>
        <w:numPr>
          <w:ilvl w:val="0"/>
          <w:numId w:val="12"/>
        </w:numPr>
        <w:suppressAutoHyphens/>
        <w:spacing w:before="0" w:after="0"/>
        <w:ind w:left="360"/>
        <w:jc w:val="both"/>
        <w:rPr>
          <w:rFonts w:ascii="Arial" w:hAnsi="Arial" w:cs="Arial"/>
          <w:spacing w:val="-3"/>
          <w:sz w:val="20"/>
          <w:lang w:eastAsia="zh-CN"/>
        </w:rPr>
      </w:pPr>
      <w:r w:rsidRPr="00FF1A67">
        <w:rPr>
          <w:rFonts w:ascii="Arial" w:hAnsi="Arial" w:cs="Arial"/>
          <w:spacing w:val="-3"/>
          <w:sz w:val="20"/>
          <w:lang w:eastAsia="zh-CN"/>
        </w:rPr>
        <w:t>Indication of when the post-analysis calibration verification was performed (e.g., time of analysis, end-of-day analysis, etc.)</w:t>
      </w:r>
    </w:p>
    <w:p w14:paraId="5FFEC4E7" w14:textId="3AD8A5C3" w:rsidR="00F43AFD" w:rsidRDefault="00016637" w:rsidP="006B2CB2">
      <w:pPr>
        <w:widowControl/>
        <w:numPr>
          <w:ilvl w:val="0"/>
          <w:numId w:val="12"/>
        </w:numPr>
        <w:suppressAutoHyphens/>
        <w:spacing w:before="0" w:after="0"/>
        <w:ind w:left="360"/>
        <w:jc w:val="both"/>
        <w:rPr>
          <w:rFonts w:ascii="Arial" w:hAnsi="Arial" w:cs="Arial"/>
          <w:spacing w:val="-3"/>
          <w:sz w:val="20"/>
          <w:lang w:eastAsia="zh-CN"/>
        </w:rPr>
      </w:pPr>
      <w:r>
        <w:rPr>
          <w:rFonts w:ascii="Arial" w:hAnsi="Arial" w:cs="Arial"/>
          <w:spacing w:val="-3"/>
          <w:sz w:val="20"/>
          <w:lang w:eastAsia="zh-CN"/>
        </w:rPr>
        <w:t>Measured value</w:t>
      </w:r>
    </w:p>
    <w:p w14:paraId="31CB9F5A" w14:textId="24FB561B" w:rsidR="00FF1A67" w:rsidRDefault="00FF1A67" w:rsidP="006B2CB2">
      <w:pPr>
        <w:widowControl/>
        <w:numPr>
          <w:ilvl w:val="0"/>
          <w:numId w:val="12"/>
        </w:numPr>
        <w:suppressAutoHyphens/>
        <w:spacing w:before="0" w:after="0"/>
        <w:ind w:left="360"/>
        <w:jc w:val="both"/>
        <w:rPr>
          <w:rFonts w:ascii="Arial" w:hAnsi="Arial" w:cs="Arial"/>
          <w:spacing w:val="-3"/>
          <w:sz w:val="20"/>
          <w:lang w:eastAsia="zh-CN"/>
        </w:rPr>
      </w:pPr>
      <w:r>
        <w:rPr>
          <w:rFonts w:ascii="Arial" w:hAnsi="Arial" w:cs="Arial"/>
          <w:spacing w:val="-3"/>
          <w:sz w:val="20"/>
          <w:lang w:eastAsia="zh-CN"/>
        </w:rPr>
        <w:t>Units of measure</w:t>
      </w:r>
      <w:r w:rsidR="00B63376">
        <w:rPr>
          <w:rFonts w:ascii="Arial" w:hAnsi="Arial" w:cs="Arial"/>
          <w:spacing w:val="-3"/>
          <w:sz w:val="20"/>
          <w:lang w:eastAsia="zh-CN"/>
        </w:rPr>
        <w:t xml:space="preserve"> (NTU)</w:t>
      </w:r>
    </w:p>
    <w:p w14:paraId="6BAD0A2C" w14:textId="59232020" w:rsidR="001A2ED5" w:rsidRDefault="001A2ED5" w:rsidP="006B2CB2">
      <w:pPr>
        <w:widowControl/>
        <w:numPr>
          <w:ilvl w:val="0"/>
          <w:numId w:val="12"/>
        </w:numPr>
        <w:suppressAutoHyphens/>
        <w:spacing w:before="0" w:after="0"/>
        <w:ind w:left="360"/>
        <w:jc w:val="both"/>
        <w:rPr>
          <w:rFonts w:ascii="Arial" w:hAnsi="Arial" w:cs="Arial"/>
          <w:spacing w:val="-3"/>
          <w:sz w:val="20"/>
          <w:lang w:eastAsia="zh-CN"/>
        </w:rPr>
      </w:pPr>
      <w:r w:rsidRPr="00F61A31">
        <w:rPr>
          <w:rFonts w:ascii="Arial" w:hAnsi="Arial" w:cs="Arial"/>
          <w:spacing w:val="-3"/>
          <w:sz w:val="20"/>
          <w:lang w:eastAsia="zh-CN"/>
        </w:rPr>
        <w:t>Traceability for chemicals, reagents, standards and consumables</w:t>
      </w:r>
    </w:p>
    <w:p w14:paraId="686C28F3" w14:textId="22DE5BEC" w:rsidR="001A2ED5" w:rsidRPr="00BE3A1A" w:rsidRDefault="00E77D04" w:rsidP="006B2CB2">
      <w:pPr>
        <w:widowControl/>
        <w:numPr>
          <w:ilvl w:val="0"/>
          <w:numId w:val="12"/>
        </w:numPr>
        <w:suppressAutoHyphens/>
        <w:spacing w:before="0" w:after="0"/>
        <w:ind w:left="360"/>
        <w:jc w:val="both"/>
        <w:rPr>
          <w:rFonts w:ascii="Arial" w:hAnsi="Arial" w:cs="Arial"/>
          <w:spacing w:val="-3"/>
          <w:sz w:val="20"/>
          <w:lang w:eastAsia="zh-CN"/>
        </w:rPr>
      </w:pPr>
      <w:r>
        <w:rPr>
          <w:rFonts w:ascii="Arial" w:hAnsi="Arial" w:cs="Arial"/>
          <w:spacing w:val="-3"/>
          <w:sz w:val="20"/>
          <w:lang w:eastAsia="zh-CN"/>
        </w:rPr>
        <w:t xml:space="preserve">Unique </w:t>
      </w:r>
      <w:r w:rsidR="003B691C">
        <w:rPr>
          <w:rFonts w:ascii="Arial" w:hAnsi="Arial" w:cs="Arial"/>
          <w:spacing w:val="-3"/>
          <w:sz w:val="20"/>
          <w:lang w:eastAsia="zh-CN"/>
        </w:rPr>
        <w:t>i</w:t>
      </w:r>
      <w:r w:rsidR="001A2ED5" w:rsidRPr="00BE3A1A">
        <w:rPr>
          <w:rFonts w:ascii="Arial" w:hAnsi="Arial" w:cs="Arial"/>
          <w:spacing w:val="-3"/>
          <w:sz w:val="20"/>
          <w:lang w:eastAsia="zh-CN"/>
        </w:rPr>
        <w:t>nstrument identification</w:t>
      </w:r>
      <w:r w:rsidR="002C5FD1">
        <w:rPr>
          <w:rFonts w:ascii="Arial" w:hAnsi="Arial" w:cs="Arial"/>
          <w:spacing w:val="-3"/>
          <w:sz w:val="20"/>
          <w:lang w:eastAsia="zh-CN"/>
        </w:rPr>
        <w:t xml:space="preserve"> (serial number preferred)</w:t>
      </w:r>
    </w:p>
    <w:p w14:paraId="186BF2EF" w14:textId="5BA9A759" w:rsidR="001A2ED5" w:rsidRDefault="001A2ED5" w:rsidP="006B2CB2">
      <w:pPr>
        <w:widowControl/>
        <w:numPr>
          <w:ilvl w:val="0"/>
          <w:numId w:val="12"/>
        </w:numPr>
        <w:suppressAutoHyphens/>
        <w:spacing w:before="0" w:after="0"/>
        <w:ind w:left="360"/>
        <w:jc w:val="both"/>
        <w:rPr>
          <w:rFonts w:ascii="Arial" w:hAnsi="Arial" w:cs="Arial"/>
          <w:spacing w:val="-3"/>
          <w:sz w:val="20"/>
          <w:lang w:eastAsia="zh-CN"/>
        </w:rPr>
      </w:pPr>
      <w:r w:rsidRPr="00BE3A1A">
        <w:rPr>
          <w:rFonts w:ascii="Arial" w:hAnsi="Arial" w:cs="Arial"/>
          <w:spacing w:val="-3"/>
          <w:sz w:val="20"/>
          <w:lang w:eastAsia="zh-CN"/>
        </w:rPr>
        <w:t>Parameter analyzed</w:t>
      </w:r>
    </w:p>
    <w:p w14:paraId="00536995" w14:textId="2A7C5C22" w:rsidR="00FF1A67" w:rsidRPr="00BE3A1A" w:rsidRDefault="00FF1A67" w:rsidP="006B2CB2">
      <w:pPr>
        <w:widowControl/>
        <w:numPr>
          <w:ilvl w:val="0"/>
          <w:numId w:val="12"/>
        </w:numPr>
        <w:suppressAutoHyphens/>
        <w:spacing w:before="0" w:after="0"/>
        <w:ind w:left="360"/>
        <w:jc w:val="both"/>
        <w:rPr>
          <w:rFonts w:ascii="Arial" w:hAnsi="Arial" w:cs="Arial"/>
          <w:spacing w:val="-3"/>
          <w:sz w:val="20"/>
          <w:lang w:eastAsia="zh-CN"/>
        </w:rPr>
      </w:pPr>
      <w:r>
        <w:rPr>
          <w:rFonts w:ascii="Arial" w:hAnsi="Arial" w:cs="Arial"/>
          <w:spacing w:val="-3"/>
          <w:sz w:val="20"/>
          <w:lang w:eastAsia="zh-CN"/>
        </w:rPr>
        <w:t>Method reference</w:t>
      </w:r>
      <w:r w:rsidR="00FD2893">
        <w:rPr>
          <w:rFonts w:ascii="Arial" w:hAnsi="Arial" w:cs="Arial"/>
          <w:spacing w:val="-3"/>
          <w:sz w:val="20"/>
          <w:lang w:eastAsia="zh-CN"/>
        </w:rPr>
        <w:t xml:space="preserve"> or Standard Operating Procedure</w:t>
      </w:r>
    </w:p>
    <w:p w14:paraId="1B0639CB" w14:textId="2994A8E1" w:rsidR="004111F7" w:rsidRPr="00BE3A1A" w:rsidRDefault="001A2ED5" w:rsidP="006B2CB2">
      <w:pPr>
        <w:widowControl/>
        <w:numPr>
          <w:ilvl w:val="0"/>
          <w:numId w:val="12"/>
        </w:numPr>
        <w:suppressAutoHyphens/>
        <w:spacing w:before="0" w:after="0"/>
        <w:ind w:left="360"/>
        <w:jc w:val="both"/>
        <w:rPr>
          <w:rFonts w:ascii="Arial" w:hAnsi="Arial" w:cs="Arial"/>
          <w:spacing w:val="-3"/>
          <w:sz w:val="20"/>
          <w:lang w:eastAsia="zh-CN"/>
        </w:rPr>
      </w:pPr>
      <w:r w:rsidRPr="00BE3A1A">
        <w:rPr>
          <w:rFonts w:ascii="Arial" w:hAnsi="Arial" w:cs="Arial"/>
          <w:spacing w:val="-3"/>
          <w:sz w:val="20"/>
          <w:lang w:eastAsia="zh-CN"/>
        </w:rPr>
        <w:t>Data qualifiers, when necessary</w:t>
      </w:r>
    </w:p>
    <w:p w14:paraId="7E853D7B" w14:textId="77777777" w:rsidR="001A2ED5" w:rsidRDefault="001A2ED5" w:rsidP="001A2ED5">
      <w:pPr>
        <w:tabs>
          <w:tab w:val="left" w:pos="-720"/>
        </w:tabs>
        <w:suppressAutoHyphens/>
        <w:jc w:val="both"/>
        <w:rPr>
          <w:rFonts w:ascii="Arial" w:hAnsi="Arial" w:cs="Arial"/>
          <w:spacing w:val="-3"/>
          <w:sz w:val="20"/>
        </w:rPr>
      </w:pPr>
    </w:p>
    <w:p w14:paraId="56B93B0A" w14:textId="77777777" w:rsidR="001A2ED5" w:rsidRDefault="001A2ED5" w:rsidP="001A2ED5">
      <w:pPr>
        <w:suppressAutoHyphens/>
        <w:jc w:val="both"/>
        <w:rPr>
          <w:rFonts w:ascii="Arial" w:hAnsi="Arial"/>
          <w:spacing w:val="-3"/>
          <w:sz w:val="20"/>
        </w:rPr>
      </w:pPr>
    </w:p>
    <w:p w14:paraId="6F752583" w14:textId="03DF0BD2" w:rsidR="00FD1BE7" w:rsidRDefault="00411369" w:rsidP="001D533D">
      <w:pPr>
        <w:widowControl/>
        <w:suppressAutoHyphens/>
        <w:spacing w:before="0" w:after="0"/>
        <w:jc w:val="both"/>
        <w:rPr>
          <w:rFonts w:ascii="Arial" w:hAnsi="Arial" w:cs="Arial"/>
          <w:spacing w:val="-3"/>
          <w:sz w:val="20"/>
          <w:lang w:eastAsia="zh-CN"/>
        </w:rPr>
      </w:pPr>
      <w:r>
        <w:rPr>
          <w:rFonts w:ascii="Arial" w:hAnsi="Arial" w:cs="Arial"/>
          <w:spacing w:val="-3"/>
          <w:sz w:val="20"/>
          <w:lang w:eastAsia="zh-CN"/>
        </w:rPr>
        <w:t>Ref:</w:t>
      </w:r>
      <w:r w:rsidR="001A2ED5" w:rsidRPr="009D0771">
        <w:rPr>
          <w:rFonts w:ascii="Arial" w:hAnsi="Arial" w:cs="Arial"/>
          <w:spacing w:val="-3"/>
          <w:sz w:val="20"/>
          <w:lang w:eastAsia="zh-CN"/>
        </w:rPr>
        <w:t xml:space="preserve"> Standard Methods 2</w:t>
      </w:r>
      <w:r w:rsidR="00C04583">
        <w:rPr>
          <w:rFonts w:ascii="Arial" w:hAnsi="Arial" w:cs="Arial"/>
          <w:spacing w:val="-3"/>
          <w:sz w:val="20"/>
          <w:lang w:eastAsia="zh-CN"/>
        </w:rPr>
        <w:t>130 B</w:t>
      </w:r>
      <w:r w:rsidR="001A2ED5" w:rsidRPr="009D0771">
        <w:rPr>
          <w:rFonts w:ascii="Arial" w:hAnsi="Arial" w:cs="Arial"/>
          <w:spacing w:val="-3"/>
          <w:sz w:val="20"/>
          <w:lang w:eastAsia="zh-CN"/>
        </w:rPr>
        <w:t xml:space="preserve"> – </w:t>
      </w:r>
      <w:r w:rsidR="001A2ED5">
        <w:rPr>
          <w:rFonts w:ascii="Arial" w:hAnsi="Arial" w:cs="Arial"/>
          <w:spacing w:val="-3"/>
          <w:sz w:val="20"/>
          <w:lang w:eastAsia="zh-CN"/>
        </w:rPr>
        <w:t>20</w:t>
      </w:r>
      <w:r w:rsidR="00162337">
        <w:rPr>
          <w:rFonts w:ascii="Arial" w:hAnsi="Arial" w:cs="Arial"/>
          <w:spacing w:val="-3"/>
          <w:sz w:val="20"/>
          <w:lang w:eastAsia="zh-CN"/>
        </w:rPr>
        <w:t>20</w:t>
      </w:r>
    </w:p>
    <w:p w14:paraId="552DF569" w14:textId="77777777" w:rsidR="0054067B" w:rsidRDefault="0054067B" w:rsidP="001D533D">
      <w:pPr>
        <w:widowControl/>
        <w:suppressAutoHyphens/>
        <w:spacing w:before="0" w:after="0"/>
        <w:jc w:val="both"/>
        <w:rPr>
          <w:rFonts w:ascii="Arial" w:hAnsi="Arial" w:cs="Arial"/>
          <w:spacing w:val="-3"/>
          <w:sz w:val="20"/>
          <w:lang w:eastAsia="zh-CN"/>
        </w:rPr>
      </w:pPr>
    </w:p>
    <w:p w14:paraId="06209B0B" w14:textId="77777777" w:rsidR="0054067B" w:rsidRDefault="0054067B" w:rsidP="001D533D">
      <w:pPr>
        <w:widowControl/>
        <w:suppressAutoHyphens/>
        <w:spacing w:before="0" w:after="0"/>
        <w:jc w:val="both"/>
        <w:rPr>
          <w:rFonts w:ascii="Arial" w:hAnsi="Arial" w:cs="Arial"/>
          <w:spacing w:val="-3"/>
          <w:sz w:val="20"/>
          <w:lang w:eastAsia="zh-CN"/>
        </w:rPr>
      </w:pPr>
    </w:p>
    <w:p w14:paraId="25D0C565" w14:textId="77777777" w:rsidR="0054067B" w:rsidRDefault="0054067B" w:rsidP="001D533D">
      <w:pPr>
        <w:widowControl/>
        <w:suppressAutoHyphens/>
        <w:spacing w:before="0" w:after="0"/>
        <w:jc w:val="both"/>
        <w:rPr>
          <w:rFonts w:ascii="Arial" w:hAnsi="Arial" w:cs="Arial"/>
          <w:spacing w:val="-3"/>
          <w:sz w:val="20"/>
          <w:lang w:eastAsia="zh-CN"/>
        </w:rPr>
      </w:pPr>
    </w:p>
    <w:p w14:paraId="1A35EA5E" w14:textId="77777777" w:rsidR="0054067B" w:rsidRDefault="0054067B" w:rsidP="001D533D">
      <w:pPr>
        <w:widowControl/>
        <w:suppressAutoHyphens/>
        <w:spacing w:before="0" w:after="0"/>
        <w:jc w:val="both"/>
        <w:rPr>
          <w:rFonts w:ascii="Arial" w:hAnsi="Arial" w:cs="Arial"/>
          <w:spacing w:val="-3"/>
          <w:sz w:val="20"/>
          <w:lang w:eastAsia="zh-CN"/>
        </w:rPr>
      </w:pPr>
    </w:p>
    <w:p w14:paraId="24BD2452" w14:textId="77777777" w:rsidR="0054067B" w:rsidRDefault="0054067B" w:rsidP="001D533D">
      <w:pPr>
        <w:widowControl/>
        <w:suppressAutoHyphens/>
        <w:spacing w:before="0" w:after="0"/>
        <w:jc w:val="both"/>
        <w:rPr>
          <w:rFonts w:ascii="Arial" w:hAnsi="Arial" w:cs="Arial"/>
          <w:spacing w:val="-3"/>
          <w:sz w:val="20"/>
          <w:lang w:eastAsia="zh-CN"/>
        </w:rPr>
      </w:pPr>
    </w:p>
    <w:p w14:paraId="2C0FE9F7" w14:textId="77777777" w:rsidR="0054067B" w:rsidRDefault="0054067B" w:rsidP="001D533D">
      <w:pPr>
        <w:widowControl/>
        <w:suppressAutoHyphens/>
        <w:spacing w:before="0" w:after="0"/>
        <w:jc w:val="both"/>
        <w:rPr>
          <w:rFonts w:ascii="Arial" w:hAnsi="Arial" w:cs="Arial"/>
          <w:spacing w:val="-3"/>
          <w:sz w:val="20"/>
          <w:lang w:eastAsia="zh-CN"/>
        </w:rPr>
      </w:pPr>
    </w:p>
    <w:p w14:paraId="653E161D" w14:textId="77777777" w:rsidR="0054067B" w:rsidRDefault="0054067B" w:rsidP="001D533D">
      <w:pPr>
        <w:widowControl/>
        <w:suppressAutoHyphens/>
        <w:spacing w:before="0" w:after="0"/>
        <w:jc w:val="both"/>
        <w:rPr>
          <w:rFonts w:ascii="Arial" w:hAnsi="Arial" w:cs="Arial"/>
          <w:spacing w:val="-3"/>
          <w:sz w:val="20"/>
          <w:lang w:eastAsia="zh-CN"/>
        </w:rPr>
      </w:pPr>
    </w:p>
    <w:p w14:paraId="3A305CE6" w14:textId="77777777" w:rsidR="00AD47FB" w:rsidRDefault="00AD47FB" w:rsidP="001D533D">
      <w:pPr>
        <w:widowControl/>
        <w:suppressAutoHyphens/>
        <w:spacing w:before="0" w:after="0"/>
        <w:jc w:val="both"/>
        <w:rPr>
          <w:rFonts w:ascii="Arial" w:hAnsi="Arial" w:cs="Arial"/>
          <w:spacing w:val="-3"/>
          <w:sz w:val="20"/>
          <w:lang w:eastAsia="zh-CN"/>
        </w:rPr>
      </w:pPr>
    </w:p>
    <w:p w14:paraId="05AD261B" w14:textId="77777777" w:rsidR="00AD47FB" w:rsidRDefault="00AD47FB" w:rsidP="001D533D">
      <w:pPr>
        <w:widowControl/>
        <w:suppressAutoHyphens/>
        <w:spacing w:before="0" w:after="0"/>
        <w:jc w:val="both"/>
        <w:rPr>
          <w:rFonts w:ascii="Arial" w:hAnsi="Arial" w:cs="Arial"/>
          <w:spacing w:val="-3"/>
          <w:sz w:val="20"/>
          <w:lang w:eastAsia="zh-CN"/>
        </w:rPr>
      </w:pPr>
    </w:p>
    <w:p w14:paraId="7287742E" w14:textId="77777777" w:rsidR="00AD47FB" w:rsidRDefault="00AD47FB" w:rsidP="001D533D">
      <w:pPr>
        <w:widowControl/>
        <w:suppressAutoHyphens/>
        <w:spacing w:before="0" w:after="0"/>
        <w:jc w:val="both"/>
        <w:rPr>
          <w:rFonts w:ascii="Arial" w:hAnsi="Arial" w:cs="Arial"/>
          <w:spacing w:val="-3"/>
          <w:sz w:val="20"/>
          <w:lang w:eastAsia="zh-CN"/>
        </w:rPr>
      </w:pPr>
    </w:p>
    <w:p w14:paraId="5C965DE5" w14:textId="77777777" w:rsidR="00AD47FB" w:rsidRDefault="00AD47FB" w:rsidP="001D533D">
      <w:pPr>
        <w:widowControl/>
        <w:suppressAutoHyphens/>
        <w:spacing w:before="0" w:after="0"/>
        <w:jc w:val="both"/>
        <w:rPr>
          <w:rFonts w:ascii="Arial" w:hAnsi="Arial" w:cs="Arial"/>
          <w:spacing w:val="-3"/>
          <w:sz w:val="20"/>
          <w:lang w:eastAsia="zh-CN"/>
        </w:rPr>
      </w:pPr>
    </w:p>
    <w:p w14:paraId="13AF440E" w14:textId="77777777" w:rsidR="00AD47FB" w:rsidRDefault="00AD47FB" w:rsidP="001D533D">
      <w:pPr>
        <w:widowControl/>
        <w:suppressAutoHyphens/>
        <w:spacing w:before="0" w:after="0"/>
        <w:jc w:val="both"/>
        <w:rPr>
          <w:rFonts w:ascii="Arial" w:hAnsi="Arial" w:cs="Arial"/>
          <w:spacing w:val="-3"/>
          <w:sz w:val="20"/>
          <w:lang w:eastAsia="zh-CN"/>
        </w:rPr>
      </w:pPr>
    </w:p>
    <w:p w14:paraId="38EB36DB" w14:textId="77777777" w:rsidR="00AD47FB" w:rsidRDefault="00AD47FB" w:rsidP="001D533D">
      <w:pPr>
        <w:widowControl/>
        <w:suppressAutoHyphens/>
        <w:spacing w:before="0" w:after="0"/>
        <w:jc w:val="both"/>
        <w:rPr>
          <w:rFonts w:ascii="Arial" w:hAnsi="Arial" w:cs="Arial"/>
          <w:spacing w:val="-3"/>
          <w:sz w:val="20"/>
          <w:lang w:eastAsia="zh-CN"/>
        </w:rPr>
      </w:pPr>
    </w:p>
    <w:p w14:paraId="604AE622" w14:textId="77777777" w:rsidR="00AD47FB" w:rsidRDefault="00AD47FB" w:rsidP="001D533D">
      <w:pPr>
        <w:widowControl/>
        <w:suppressAutoHyphens/>
        <w:spacing w:before="0" w:after="0"/>
        <w:jc w:val="both"/>
        <w:rPr>
          <w:rFonts w:ascii="Arial" w:hAnsi="Arial" w:cs="Arial"/>
          <w:spacing w:val="-3"/>
          <w:sz w:val="20"/>
          <w:lang w:eastAsia="zh-CN"/>
        </w:rPr>
      </w:pPr>
    </w:p>
    <w:p w14:paraId="4AB0FAF3" w14:textId="77777777" w:rsidR="0054067B" w:rsidRDefault="0054067B" w:rsidP="001D533D">
      <w:pPr>
        <w:widowControl/>
        <w:suppressAutoHyphens/>
        <w:spacing w:before="0" w:after="0"/>
        <w:jc w:val="both"/>
        <w:rPr>
          <w:rFonts w:ascii="Arial" w:hAnsi="Arial" w:cs="Arial"/>
          <w:spacing w:val="-3"/>
          <w:sz w:val="20"/>
          <w:lang w:eastAsia="zh-CN"/>
        </w:rPr>
      </w:pPr>
    </w:p>
    <w:p w14:paraId="0B490E09" w14:textId="77777777" w:rsidR="0054067B" w:rsidRDefault="0054067B" w:rsidP="001D533D">
      <w:pPr>
        <w:widowControl/>
        <w:suppressAutoHyphens/>
        <w:spacing w:before="0" w:after="0"/>
        <w:jc w:val="both"/>
        <w:rPr>
          <w:rFonts w:ascii="Arial" w:hAnsi="Arial" w:cs="Arial"/>
          <w:spacing w:val="-3"/>
          <w:sz w:val="20"/>
          <w:lang w:eastAsia="zh-CN"/>
        </w:rPr>
      </w:pPr>
    </w:p>
    <w:p w14:paraId="548F2730" w14:textId="77777777" w:rsidR="0054067B" w:rsidRDefault="0054067B" w:rsidP="001D533D">
      <w:pPr>
        <w:widowControl/>
        <w:suppressAutoHyphens/>
        <w:spacing w:before="0" w:after="0"/>
        <w:jc w:val="both"/>
        <w:rPr>
          <w:rFonts w:ascii="Arial" w:hAnsi="Arial" w:cs="Arial"/>
          <w:spacing w:val="-3"/>
          <w:sz w:val="20"/>
          <w:lang w:eastAsia="zh-CN"/>
        </w:rPr>
      </w:pPr>
    </w:p>
    <w:p w14:paraId="62DA2905" w14:textId="77777777" w:rsidR="0054067B" w:rsidRDefault="0054067B" w:rsidP="001D533D">
      <w:pPr>
        <w:widowControl/>
        <w:suppressAutoHyphens/>
        <w:spacing w:before="0" w:after="0"/>
        <w:jc w:val="both"/>
        <w:rPr>
          <w:rFonts w:ascii="Arial" w:hAnsi="Arial" w:cs="Arial"/>
          <w:spacing w:val="-3"/>
          <w:sz w:val="20"/>
          <w:lang w:eastAsia="zh-CN"/>
        </w:rPr>
      </w:pPr>
    </w:p>
    <w:p w14:paraId="03995205" w14:textId="77777777" w:rsidR="0054067B" w:rsidRDefault="0054067B" w:rsidP="001D533D">
      <w:pPr>
        <w:widowControl/>
        <w:suppressAutoHyphens/>
        <w:spacing w:before="0" w:after="0"/>
        <w:jc w:val="both"/>
        <w:rPr>
          <w:rFonts w:ascii="Arial" w:hAnsi="Arial" w:cs="Arial"/>
          <w:spacing w:val="-3"/>
          <w:sz w:val="20"/>
          <w:lang w:eastAsia="zh-CN"/>
        </w:rPr>
      </w:pPr>
    </w:p>
    <w:p w14:paraId="03320272" w14:textId="3824DF0A" w:rsidR="0054067B" w:rsidRDefault="0054067B" w:rsidP="00B17893">
      <w:pPr>
        <w:widowControl/>
        <w:suppressAutoHyphens/>
        <w:spacing w:before="0" w:after="0"/>
        <w:jc w:val="center"/>
        <w:rPr>
          <w:rFonts w:ascii="Arial" w:hAnsi="Arial" w:cs="Arial"/>
          <w:spacing w:val="-3"/>
          <w:sz w:val="20"/>
          <w:lang w:eastAsia="zh-CN"/>
        </w:rPr>
      </w:pPr>
      <w:r w:rsidRPr="0054067B">
        <w:rPr>
          <w:rFonts w:ascii="Arial" w:hAnsi="Arial" w:cs="Arial"/>
          <w:spacing w:val="-3"/>
          <w:sz w:val="20"/>
          <w:lang w:eastAsia="zh-CN"/>
        </w:rPr>
        <w:t>Refer to the NC DEQ WW/GW LCB website for additional resources.</w:t>
      </w:r>
    </w:p>
    <w:sectPr w:rsidR="0054067B" w:rsidSect="003857D1">
      <w:headerReference w:type="default" r:id="rId11"/>
      <w:footerReference w:type="default" r:id="rId12"/>
      <w:headerReference w:type="first" r:id="rId13"/>
      <w:pgSz w:w="12240" w:h="15840" w:code="1"/>
      <w:pgMar w:top="446" w:right="1008" w:bottom="720" w:left="1008" w:header="288"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0F623" w14:textId="77777777" w:rsidR="00B363D7" w:rsidRDefault="00B363D7">
      <w:pPr>
        <w:spacing w:before="0" w:after="0"/>
      </w:pPr>
      <w:r>
        <w:separator/>
      </w:r>
    </w:p>
  </w:endnote>
  <w:endnote w:type="continuationSeparator" w:id="0">
    <w:p w14:paraId="1E41A893" w14:textId="77777777" w:rsidR="00B363D7" w:rsidRDefault="00B363D7">
      <w:pPr>
        <w:spacing w:before="0" w:after="0"/>
      </w:pPr>
      <w:r>
        <w:continuationSeparator/>
      </w:r>
    </w:p>
  </w:endnote>
  <w:endnote w:type="continuationNotice" w:id="1">
    <w:p w14:paraId="32309593" w14:textId="77777777" w:rsidR="00B363D7" w:rsidRDefault="00B363D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542701196"/>
      <w:docPartObj>
        <w:docPartGallery w:val="Page Numbers (Bottom of Page)"/>
        <w:docPartUnique/>
      </w:docPartObj>
    </w:sdtPr>
    <w:sdtEndPr>
      <w:rPr>
        <w:noProof/>
        <w:szCs w:val="16"/>
      </w:rPr>
    </w:sdtEndPr>
    <w:sdtContent>
      <w:p w14:paraId="52C07722" w14:textId="5BFEA785" w:rsidR="00FB0D56" w:rsidRPr="00AD47FB" w:rsidRDefault="00C32879" w:rsidP="00AD47FB">
        <w:pPr>
          <w:pStyle w:val="Footer"/>
          <w:tabs>
            <w:tab w:val="clear" w:pos="4320"/>
            <w:tab w:val="clear" w:pos="8640"/>
            <w:tab w:val="right" w:pos="10224"/>
          </w:tabs>
          <w:rPr>
            <w:rFonts w:ascii="Arial" w:hAnsi="Arial" w:cs="Arial"/>
            <w:noProof/>
            <w:sz w:val="16"/>
            <w:szCs w:val="12"/>
          </w:rPr>
        </w:pPr>
        <w:r w:rsidRPr="00D35CEC">
          <w:rPr>
            <w:rFonts w:ascii="Arial" w:hAnsi="Arial" w:cs="Arial"/>
            <w:sz w:val="16"/>
            <w:szCs w:val="16"/>
          </w:rPr>
          <w:t>Rev</w:t>
        </w:r>
        <w:r>
          <w:rPr>
            <w:rFonts w:ascii="Arial" w:hAnsi="Arial" w:cs="Arial"/>
            <w:sz w:val="16"/>
            <w:szCs w:val="16"/>
          </w:rPr>
          <w:t>ised</w:t>
        </w:r>
        <w:r w:rsidRPr="00D35CEC">
          <w:rPr>
            <w:rFonts w:ascii="Arial" w:hAnsi="Arial" w:cs="Arial"/>
            <w:sz w:val="16"/>
            <w:szCs w:val="16"/>
          </w:rPr>
          <w:t xml:space="preserve"> </w:t>
        </w:r>
        <w:r>
          <w:rPr>
            <w:rFonts w:ascii="Arial" w:hAnsi="Arial" w:cs="Arial"/>
            <w:sz w:val="16"/>
            <w:szCs w:val="16"/>
          </w:rPr>
          <w:t>05/01/2024</w:t>
        </w:r>
        <w:r w:rsidR="00A628F5">
          <w:rPr>
            <w:rFonts w:ascii="Arial" w:hAnsi="Arial" w:cs="Arial"/>
            <w:sz w:val="16"/>
            <w:szCs w:val="16"/>
          </w:rPr>
          <w:t xml:space="preserve"> </w:t>
        </w:r>
        <w:r w:rsidR="00AD47FB">
          <w:rPr>
            <w:rFonts w:ascii="Arial" w:hAnsi="Arial" w:cs="Arial"/>
            <w:sz w:val="16"/>
            <w:szCs w:val="16"/>
          </w:rPr>
          <w:tab/>
        </w:r>
        <w:r w:rsidR="00A628F5">
          <w:rPr>
            <w:rFonts w:ascii="Arial" w:hAnsi="Arial" w:cs="Arial"/>
            <w:sz w:val="16"/>
            <w:szCs w:val="16"/>
          </w:rPr>
          <w:t xml:space="preserve">Page </w:t>
        </w:r>
        <w:r w:rsidR="00FB0D56" w:rsidRPr="00AD47FB">
          <w:rPr>
            <w:rFonts w:ascii="Arial" w:hAnsi="Arial" w:cs="Arial"/>
            <w:sz w:val="16"/>
            <w:szCs w:val="12"/>
          </w:rPr>
          <w:fldChar w:fldCharType="begin"/>
        </w:r>
        <w:r w:rsidR="00FB0D56" w:rsidRPr="00AD47FB">
          <w:rPr>
            <w:rFonts w:ascii="Arial" w:hAnsi="Arial" w:cs="Arial"/>
            <w:sz w:val="16"/>
            <w:szCs w:val="12"/>
          </w:rPr>
          <w:instrText xml:space="preserve"> PAGE   \* MERGEFORMAT </w:instrText>
        </w:r>
        <w:r w:rsidR="00FB0D56" w:rsidRPr="00AD47FB">
          <w:rPr>
            <w:rFonts w:ascii="Arial" w:hAnsi="Arial" w:cs="Arial"/>
            <w:sz w:val="16"/>
            <w:szCs w:val="12"/>
          </w:rPr>
          <w:fldChar w:fldCharType="separate"/>
        </w:r>
        <w:r w:rsidR="00FB0D56" w:rsidRPr="00AD47FB">
          <w:rPr>
            <w:rFonts w:ascii="Arial" w:hAnsi="Arial" w:cs="Arial"/>
            <w:noProof/>
            <w:sz w:val="16"/>
            <w:szCs w:val="12"/>
          </w:rPr>
          <w:t>2</w:t>
        </w:r>
        <w:r w:rsidR="00FB0D56" w:rsidRPr="00AD47FB">
          <w:rPr>
            <w:rFonts w:ascii="Arial" w:hAnsi="Arial" w:cs="Arial"/>
            <w:noProof/>
            <w:sz w:val="16"/>
            <w:szCs w:val="12"/>
          </w:rPr>
          <w:fldChar w:fldCharType="end"/>
        </w:r>
        <w:r w:rsidR="00AD47FB">
          <w:rPr>
            <w:rFonts w:ascii="Arial" w:hAnsi="Arial" w:cs="Arial"/>
            <w:noProof/>
            <w:sz w:val="16"/>
            <w:szCs w:val="12"/>
          </w:rPr>
          <w:t xml:space="preserve"> of 3</w:t>
        </w:r>
      </w:p>
    </w:sdtContent>
  </w:sdt>
  <w:p w14:paraId="49FB864E" w14:textId="2CE11A73" w:rsidR="00F43AFD" w:rsidRPr="00D35CEC" w:rsidRDefault="00F43AFD" w:rsidP="0054067B">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45E01" w14:textId="77777777" w:rsidR="00B363D7" w:rsidRDefault="00B363D7">
      <w:pPr>
        <w:spacing w:before="0" w:after="0"/>
      </w:pPr>
      <w:r>
        <w:separator/>
      </w:r>
    </w:p>
  </w:footnote>
  <w:footnote w:type="continuationSeparator" w:id="0">
    <w:p w14:paraId="73272426" w14:textId="77777777" w:rsidR="00B363D7" w:rsidRDefault="00B363D7">
      <w:pPr>
        <w:spacing w:before="0" w:after="0"/>
      </w:pPr>
      <w:r>
        <w:continuationSeparator/>
      </w:r>
    </w:p>
  </w:footnote>
  <w:footnote w:type="continuationNotice" w:id="1">
    <w:p w14:paraId="630EA6FC" w14:textId="77777777" w:rsidR="00B363D7" w:rsidRDefault="00B363D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CE61" w14:textId="735269EC" w:rsidR="00BE0F52" w:rsidRPr="0018305C" w:rsidRDefault="00B21039" w:rsidP="0018305C">
    <w:pPr>
      <w:rPr>
        <w:bCs/>
        <w:sz w:val="20"/>
        <w:szCs w:val="16"/>
      </w:rPr>
    </w:pPr>
    <w:r w:rsidRPr="0018305C">
      <w:rPr>
        <w:rFonts w:ascii="Arial" w:hAnsi="Arial" w:cs="Arial"/>
        <w:bCs/>
        <w:sz w:val="18"/>
        <w:szCs w:val="18"/>
      </w:rPr>
      <w:t>Approved Procedure for the analysis of Turbidity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2DCF" w14:textId="739BBD7C" w:rsidR="00CA1B4E" w:rsidRPr="00CA1B4E" w:rsidRDefault="00CA1B4E" w:rsidP="00CA1B4E">
    <w:pPr>
      <w:pStyle w:val="Header"/>
      <w:rPr>
        <w:rFonts w:ascii="Arial" w:hAnsi="Arial" w:cs="Arial"/>
      </w:rPr>
    </w:pPr>
    <w:r w:rsidRPr="00CA1B4E">
      <w:rPr>
        <w:rFonts w:ascii="Arial" w:hAnsi="Arial" w:cs="Arial"/>
        <w:b/>
      </w:rPr>
      <w:t xml:space="preserve">NORTH CAROLINA WASTEWATER/GROUNDWATER LABORATORY CERTIFICATION BRANCH APPROVED PROCEDURE FOR THE ANALYSIS OF </w:t>
    </w:r>
    <w:r>
      <w:rPr>
        <w:rFonts w:ascii="Arial" w:hAnsi="Arial" w:cs="Arial"/>
        <w:b/>
      </w:rPr>
      <w:t>TURBIDITY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F6A"/>
    <w:multiLevelType w:val="hybridMultilevel"/>
    <w:tmpl w:val="9376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97E80"/>
    <w:multiLevelType w:val="hybridMultilevel"/>
    <w:tmpl w:val="E5A44948"/>
    <w:lvl w:ilvl="0" w:tplc="D6C4D47A">
      <w:start w:val="1"/>
      <w:numFmt w:val="decimal"/>
      <w:lvlText w:val="%1."/>
      <w:lvlJc w:val="left"/>
      <w:pPr>
        <w:ind w:left="540" w:hanging="48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5257038"/>
    <w:multiLevelType w:val="hybridMultilevel"/>
    <w:tmpl w:val="04090021"/>
    <w:lvl w:ilvl="0" w:tplc="4EE61EA2">
      <w:start w:val="1"/>
      <w:numFmt w:val="bullet"/>
      <w:lvlText w:val=""/>
      <w:lvlJc w:val="left"/>
      <w:pPr>
        <w:ind w:left="360" w:hanging="360"/>
      </w:pPr>
      <w:rPr>
        <w:rFonts w:ascii="Wingdings" w:hAnsi="Wingdings" w:hint="default"/>
      </w:rPr>
    </w:lvl>
    <w:lvl w:ilvl="1" w:tplc="B504F2BE">
      <w:start w:val="1"/>
      <w:numFmt w:val="bullet"/>
      <w:lvlText w:val=""/>
      <w:lvlJc w:val="left"/>
      <w:pPr>
        <w:ind w:left="720" w:hanging="360"/>
      </w:pPr>
      <w:rPr>
        <w:rFonts w:ascii="Wingdings" w:hAnsi="Wingdings" w:hint="default"/>
      </w:rPr>
    </w:lvl>
    <w:lvl w:ilvl="2" w:tplc="E99CB7E8">
      <w:start w:val="1"/>
      <w:numFmt w:val="bullet"/>
      <w:lvlText w:val=""/>
      <w:lvlJc w:val="left"/>
      <w:pPr>
        <w:ind w:left="1080" w:hanging="360"/>
      </w:pPr>
      <w:rPr>
        <w:rFonts w:ascii="Wingdings" w:hAnsi="Wingdings" w:hint="default"/>
      </w:rPr>
    </w:lvl>
    <w:lvl w:ilvl="3" w:tplc="B7E20464">
      <w:start w:val="1"/>
      <w:numFmt w:val="bullet"/>
      <w:lvlText w:val=""/>
      <w:lvlJc w:val="left"/>
      <w:pPr>
        <w:ind w:left="1440" w:hanging="360"/>
      </w:pPr>
      <w:rPr>
        <w:rFonts w:ascii="Symbol" w:hAnsi="Symbol" w:hint="default"/>
      </w:rPr>
    </w:lvl>
    <w:lvl w:ilvl="4" w:tplc="D0F61E50">
      <w:start w:val="1"/>
      <w:numFmt w:val="bullet"/>
      <w:lvlText w:val=""/>
      <w:lvlJc w:val="left"/>
      <w:pPr>
        <w:ind w:left="1800" w:hanging="360"/>
      </w:pPr>
      <w:rPr>
        <w:rFonts w:ascii="Symbol" w:hAnsi="Symbol" w:hint="default"/>
      </w:rPr>
    </w:lvl>
    <w:lvl w:ilvl="5" w:tplc="41E43FFE">
      <w:start w:val="1"/>
      <w:numFmt w:val="bullet"/>
      <w:lvlText w:val=""/>
      <w:lvlJc w:val="left"/>
      <w:pPr>
        <w:ind w:left="2160" w:hanging="360"/>
      </w:pPr>
      <w:rPr>
        <w:rFonts w:ascii="Wingdings" w:hAnsi="Wingdings" w:hint="default"/>
      </w:rPr>
    </w:lvl>
    <w:lvl w:ilvl="6" w:tplc="6D827592">
      <w:start w:val="1"/>
      <w:numFmt w:val="bullet"/>
      <w:lvlText w:val=""/>
      <w:lvlJc w:val="left"/>
      <w:pPr>
        <w:ind w:left="2520" w:hanging="360"/>
      </w:pPr>
      <w:rPr>
        <w:rFonts w:ascii="Wingdings" w:hAnsi="Wingdings" w:hint="default"/>
      </w:rPr>
    </w:lvl>
    <w:lvl w:ilvl="7" w:tplc="00783BD0">
      <w:start w:val="1"/>
      <w:numFmt w:val="bullet"/>
      <w:lvlText w:val=""/>
      <w:lvlJc w:val="left"/>
      <w:pPr>
        <w:ind w:left="2880" w:hanging="360"/>
      </w:pPr>
      <w:rPr>
        <w:rFonts w:ascii="Symbol" w:hAnsi="Symbol" w:hint="default"/>
      </w:rPr>
    </w:lvl>
    <w:lvl w:ilvl="8" w:tplc="E91C9EF2">
      <w:start w:val="1"/>
      <w:numFmt w:val="bullet"/>
      <w:lvlText w:val=""/>
      <w:lvlJc w:val="left"/>
      <w:pPr>
        <w:ind w:left="3240" w:hanging="360"/>
      </w:pPr>
      <w:rPr>
        <w:rFonts w:ascii="Symbol" w:hAnsi="Symbol" w:hint="default"/>
      </w:rPr>
    </w:lvl>
  </w:abstractNum>
  <w:abstractNum w:abstractNumId="3" w15:restartNumberingAfterBreak="0">
    <w:nsid w:val="1AD473C9"/>
    <w:multiLevelType w:val="hybridMultilevel"/>
    <w:tmpl w:val="BB78A5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FF2EC1"/>
    <w:multiLevelType w:val="hybridMultilevel"/>
    <w:tmpl w:val="D1E00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750D5"/>
    <w:multiLevelType w:val="hybridMultilevel"/>
    <w:tmpl w:val="BB5439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73344"/>
    <w:multiLevelType w:val="hybridMultilevel"/>
    <w:tmpl w:val="122A369C"/>
    <w:lvl w:ilvl="0" w:tplc="0D642C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0E6C3B"/>
    <w:multiLevelType w:val="hybridMultilevel"/>
    <w:tmpl w:val="F5C4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C6997"/>
    <w:multiLevelType w:val="hybridMultilevel"/>
    <w:tmpl w:val="29E0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D410B7"/>
    <w:multiLevelType w:val="hybridMultilevel"/>
    <w:tmpl w:val="EE68C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072D20"/>
    <w:multiLevelType w:val="hybridMultilevel"/>
    <w:tmpl w:val="D0861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FB389B"/>
    <w:multiLevelType w:val="hybridMultilevel"/>
    <w:tmpl w:val="5D38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421F5D"/>
    <w:multiLevelType w:val="hybridMultilevel"/>
    <w:tmpl w:val="B7F2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4776C3"/>
    <w:multiLevelType w:val="hybridMultilevel"/>
    <w:tmpl w:val="4A16989A"/>
    <w:lvl w:ilvl="0" w:tplc="0409000B">
      <w:start w:val="40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3213164">
    <w:abstractNumId w:val="3"/>
  </w:num>
  <w:num w:numId="2" w16cid:durableId="48699733">
    <w:abstractNumId w:val="7"/>
  </w:num>
  <w:num w:numId="3" w16cid:durableId="1067608329">
    <w:abstractNumId w:val="10"/>
  </w:num>
  <w:num w:numId="4" w16cid:durableId="739517956">
    <w:abstractNumId w:val="0"/>
  </w:num>
  <w:num w:numId="5" w16cid:durableId="184443717">
    <w:abstractNumId w:val="13"/>
  </w:num>
  <w:num w:numId="6" w16cid:durableId="1852600042">
    <w:abstractNumId w:val="5"/>
  </w:num>
  <w:num w:numId="7" w16cid:durableId="944771218">
    <w:abstractNumId w:val="11"/>
  </w:num>
  <w:num w:numId="8" w16cid:durableId="999231758">
    <w:abstractNumId w:val="2"/>
  </w:num>
  <w:num w:numId="9" w16cid:durableId="1589919705">
    <w:abstractNumId w:val="12"/>
  </w:num>
  <w:num w:numId="10" w16cid:durableId="1550147945">
    <w:abstractNumId w:val="6"/>
  </w:num>
  <w:num w:numId="11" w16cid:durableId="706300885">
    <w:abstractNumId w:val="4"/>
  </w:num>
  <w:num w:numId="12" w16cid:durableId="764964287">
    <w:abstractNumId w:val="9"/>
  </w:num>
  <w:num w:numId="13" w16cid:durableId="241064463">
    <w:abstractNumId w:val="1"/>
  </w:num>
  <w:num w:numId="14" w16cid:durableId="6576136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ED5"/>
    <w:rsid w:val="00000116"/>
    <w:rsid w:val="00001018"/>
    <w:rsid w:val="00004048"/>
    <w:rsid w:val="000052A9"/>
    <w:rsid w:val="00005AFB"/>
    <w:rsid w:val="000063ED"/>
    <w:rsid w:val="0000645F"/>
    <w:rsid w:val="000073E9"/>
    <w:rsid w:val="00013561"/>
    <w:rsid w:val="00014227"/>
    <w:rsid w:val="0001546C"/>
    <w:rsid w:val="00016637"/>
    <w:rsid w:val="00016BF3"/>
    <w:rsid w:val="00017343"/>
    <w:rsid w:val="000207FF"/>
    <w:rsid w:val="00022915"/>
    <w:rsid w:val="000235C0"/>
    <w:rsid w:val="000236C5"/>
    <w:rsid w:val="00023B8F"/>
    <w:rsid w:val="0002491F"/>
    <w:rsid w:val="00026580"/>
    <w:rsid w:val="0002768A"/>
    <w:rsid w:val="000302EB"/>
    <w:rsid w:val="00030A13"/>
    <w:rsid w:val="00030B82"/>
    <w:rsid w:val="00032453"/>
    <w:rsid w:val="00032B43"/>
    <w:rsid w:val="00033179"/>
    <w:rsid w:val="00033A74"/>
    <w:rsid w:val="00033E39"/>
    <w:rsid w:val="00034B52"/>
    <w:rsid w:val="000353F1"/>
    <w:rsid w:val="00035A8F"/>
    <w:rsid w:val="0003609F"/>
    <w:rsid w:val="0003618C"/>
    <w:rsid w:val="0004204C"/>
    <w:rsid w:val="00046091"/>
    <w:rsid w:val="00046E16"/>
    <w:rsid w:val="00051B36"/>
    <w:rsid w:val="00053232"/>
    <w:rsid w:val="000532C6"/>
    <w:rsid w:val="00053DEF"/>
    <w:rsid w:val="00055369"/>
    <w:rsid w:val="000562E2"/>
    <w:rsid w:val="00057603"/>
    <w:rsid w:val="00057D73"/>
    <w:rsid w:val="00060820"/>
    <w:rsid w:val="000612EF"/>
    <w:rsid w:val="00061D8C"/>
    <w:rsid w:val="00063743"/>
    <w:rsid w:val="00064C23"/>
    <w:rsid w:val="00067101"/>
    <w:rsid w:val="00070944"/>
    <w:rsid w:val="00072992"/>
    <w:rsid w:val="00072C1F"/>
    <w:rsid w:val="000758C0"/>
    <w:rsid w:val="000758EA"/>
    <w:rsid w:val="00075D15"/>
    <w:rsid w:val="00075D82"/>
    <w:rsid w:val="00076ED1"/>
    <w:rsid w:val="00080A14"/>
    <w:rsid w:val="00082947"/>
    <w:rsid w:val="000833EB"/>
    <w:rsid w:val="0008714F"/>
    <w:rsid w:val="000877DD"/>
    <w:rsid w:val="00092BC7"/>
    <w:rsid w:val="000A0477"/>
    <w:rsid w:val="000A0513"/>
    <w:rsid w:val="000A3FD2"/>
    <w:rsid w:val="000A5BFE"/>
    <w:rsid w:val="000A7EB8"/>
    <w:rsid w:val="000B0B6D"/>
    <w:rsid w:val="000B68D6"/>
    <w:rsid w:val="000B6DEB"/>
    <w:rsid w:val="000C1D31"/>
    <w:rsid w:val="000C2E9B"/>
    <w:rsid w:val="000C4500"/>
    <w:rsid w:val="000C66C7"/>
    <w:rsid w:val="000D03B6"/>
    <w:rsid w:val="000D1E35"/>
    <w:rsid w:val="000D2614"/>
    <w:rsid w:val="000D2696"/>
    <w:rsid w:val="000D46B2"/>
    <w:rsid w:val="000D5996"/>
    <w:rsid w:val="000D6658"/>
    <w:rsid w:val="000E23C6"/>
    <w:rsid w:val="000E54BE"/>
    <w:rsid w:val="000E5684"/>
    <w:rsid w:val="000E6CF0"/>
    <w:rsid w:val="000E7A6C"/>
    <w:rsid w:val="000F10B2"/>
    <w:rsid w:val="000F2377"/>
    <w:rsid w:val="000F5E8C"/>
    <w:rsid w:val="000F6625"/>
    <w:rsid w:val="00100511"/>
    <w:rsid w:val="00101923"/>
    <w:rsid w:val="00101DC2"/>
    <w:rsid w:val="0010607E"/>
    <w:rsid w:val="0011030B"/>
    <w:rsid w:val="001114EA"/>
    <w:rsid w:val="0011264A"/>
    <w:rsid w:val="0011362F"/>
    <w:rsid w:val="00114382"/>
    <w:rsid w:val="0011508D"/>
    <w:rsid w:val="001225F1"/>
    <w:rsid w:val="00122A7E"/>
    <w:rsid w:val="00124517"/>
    <w:rsid w:val="00126987"/>
    <w:rsid w:val="00134CF9"/>
    <w:rsid w:val="001356C5"/>
    <w:rsid w:val="001357E4"/>
    <w:rsid w:val="0013584F"/>
    <w:rsid w:val="00135EE9"/>
    <w:rsid w:val="00136E95"/>
    <w:rsid w:val="00140640"/>
    <w:rsid w:val="00141592"/>
    <w:rsid w:val="00142DC5"/>
    <w:rsid w:val="00147491"/>
    <w:rsid w:val="00147E04"/>
    <w:rsid w:val="00153888"/>
    <w:rsid w:val="001565E6"/>
    <w:rsid w:val="00157E5E"/>
    <w:rsid w:val="00161E98"/>
    <w:rsid w:val="001620CF"/>
    <w:rsid w:val="00162337"/>
    <w:rsid w:val="00163012"/>
    <w:rsid w:val="00166297"/>
    <w:rsid w:val="001723EA"/>
    <w:rsid w:val="001730D7"/>
    <w:rsid w:val="00177389"/>
    <w:rsid w:val="0018305C"/>
    <w:rsid w:val="00183C45"/>
    <w:rsid w:val="00195378"/>
    <w:rsid w:val="00197AE4"/>
    <w:rsid w:val="00197BC8"/>
    <w:rsid w:val="001A141D"/>
    <w:rsid w:val="001A1709"/>
    <w:rsid w:val="001A2ED5"/>
    <w:rsid w:val="001A55DC"/>
    <w:rsid w:val="001A59B0"/>
    <w:rsid w:val="001A6EF1"/>
    <w:rsid w:val="001B32B6"/>
    <w:rsid w:val="001B3ED4"/>
    <w:rsid w:val="001B69B3"/>
    <w:rsid w:val="001B7B28"/>
    <w:rsid w:val="001C00DF"/>
    <w:rsid w:val="001C0E93"/>
    <w:rsid w:val="001C1BE3"/>
    <w:rsid w:val="001C2263"/>
    <w:rsid w:val="001C2815"/>
    <w:rsid w:val="001C63F4"/>
    <w:rsid w:val="001C74A6"/>
    <w:rsid w:val="001D2C61"/>
    <w:rsid w:val="001D3D6C"/>
    <w:rsid w:val="001D533D"/>
    <w:rsid w:val="001D6284"/>
    <w:rsid w:val="001D7B16"/>
    <w:rsid w:val="001E15D2"/>
    <w:rsid w:val="001E53F4"/>
    <w:rsid w:val="001E7814"/>
    <w:rsid w:val="001F137B"/>
    <w:rsid w:val="001F2E04"/>
    <w:rsid w:val="001F6F0F"/>
    <w:rsid w:val="001F7745"/>
    <w:rsid w:val="002012FE"/>
    <w:rsid w:val="00201E4F"/>
    <w:rsid w:val="00206E3C"/>
    <w:rsid w:val="00207037"/>
    <w:rsid w:val="002072F6"/>
    <w:rsid w:val="002120EE"/>
    <w:rsid w:val="00212273"/>
    <w:rsid w:val="00216038"/>
    <w:rsid w:val="00217CAD"/>
    <w:rsid w:val="00220DCE"/>
    <w:rsid w:val="002219B3"/>
    <w:rsid w:val="00222D16"/>
    <w:rsid w:val="002239FD"/>
    <w:rsid w:val="00225299"/>
    <w:rsid w:val="002257DA"/>
    <w:rsid w:val="002266C8"/>
    <w:rsid w:val="002331B2"/>
    <w:rsid w:val="0023376C"/>
    <w:rsid w:val="0023469B"/>
    <w:rsid w:val="00234FE2"/>
    <w:rsid w:val="00235999"/>
    <w:rsid w:val="00240FF9"/>
    <w:rsid w:val="00246109"/>
    <w:rsid w:val="0024687C"/>
    <w:rsid w:val="00250CC3"/>
    <w:rsid w:val="00253E43"/>
    <w:rsid w:val="002570CE"/>
    <w:rsid w:val="002570DB"/>
    <w:rsid w:val="0026085E"/>
    <w:rsid w:val="00260941"/>
    <w:rsid w:val="00261926"/>
    <w:rsid w:val="002629B1"/>
    <w:rsid w:val="0026311C"/>
    <w:rsid w:val="00264214"/>
    <w:rsid w:val="00266908"/>
    <w:rsid w:val="002676C9"/>
    <w:rsid w:val="00270269"/>
    <w:rsid w:val="00272F24"/>
    <w:rsid w:val="00276E7A"/>
    <w:rsid w:val="002819AF"/>
    <w:rsid w:val="00281D9E"/>
    <w:rsid w:val="00284C46"/>
    <w:rsid w:val="00286B10"/>
    <w:rsid w:val="00291144"/>
    <w:rsid w:val="002915C3"/>
    <w:rsid w:val="00291929"/>
    <w:rsid w:val="00293DED"/>
    <w:rsid w:val="00294075"/>
    <w:rsid w:val="0029418F"/>
    <w:rsid w:val="002944D4"/>
    <w:rsid w:val="002A12F3"/>
    <w:rsid w:val="002A3CD3"/>
    <w:rsid w:val="002A3D13"/>
    <w:rsid w:val="002A5451"/>
    <w:rsid w:val="002A6022"/>
    <w:rsid w:val="002A6A95"/>
    <w:rsid w:val="002B13DE"/>
    <w:rsid w:val="002B2A3A"/>
    <w:rsid w:val="002B39F7"/>
    <w:rsid w:val="002B5FC8"/>
    <w:rsid w:val="002C085B"/>
    <w:rsid w:val="002C1B80"/>
    <w:rsid w:val="002C2685"/>
    <w:rsid w:val="002C3BD1"/>
    <w:rsid w:val="002C4848"/>
    <w:rsid w:val="002C56C2"/>
    <w:rsid w:val="002C5FD1"/>
    <w:rsid w:val="002C643C"/>
    <w:rsid w:val="002D22F8"/>
    <w:rsid w:val="002D3874"/>
    <w:rsid w:val="002E2011"/>
    <w:rsid w:val="002E3AB8"/>
    <w:rsid w:val="002E4B9C"/>
    <w:rsid w:val="002E5365"/>
    <w:rsid w:val="002F1336"/>
    <w:rsid w:val="002F15F6"/>
    <w:rsid w:val="002F354C"/>
    <w:rsid w:val="002F3DD5"/>
    <w:rsid w:val="002F49F3"/>
    <w:rsid w:val="002F6784"/>
    <w:rsid w:val="002F78EB"/>
    <w:rsid w:val="00301A0A"/>
    <w:rsid w:val="003033FC"/>
    <w:rsid w:val="0031224D"/>
    <w:rsid w:val="003133CA"/>
    <w:rsid w:val="00313B53"/>
    <w:rsid w:val="0031588E"/>
    <w:rsid w:val="003175F3"/>
    <w:rsid w:val="0032030C"/>
    <w:rsid w:val="003208B0"/>
    <w:rsid w:val="00320C00"/>
    <w:rsid w:val="00322DED"/>
    <w:rsid w:val="003250CF"/>
    <w:rsid w:val="00325872"/>
    <w:rsid w:val="003259E9"/>
    <w:rsid w:val="00326156"/>
    <w:rsid w:val="003266FD"/>
    <w:rsid w:val="0032691D"/>
    <w:rsid w:val="00327586"/>
    <w:rsid w:val="003327B7"/>
    <w:rsid w:val="003328F3"/>
    <w:rsid w:val="00332A68"/>
    <w:rsid w:val="003347EA"/>
    <w:rsid w:val="00337433"/>
    <w:rsid w:val="00340FD5"/>
    <w:rsid w:val="0034125E"/>
    <w:rsid w:val="0034175B"/>
    <w:rsid w:val="0034417D"/>
    <w:rsid w:val="00345EBE"/>
    <w:rsid w:val="00346BDD"/>
    <w:rsid w:val="003515AF"/>
    <w:rsid w:val="00352472"/>
    <w:rsid w:val="00352A5A"/>
    <w:rsid w:val="003555DE"/>
    <w:rsid w:val="0035610C"/>
    <w:rsid w:val="003571B3"/>
    <w:rsid w:val="0036101C"/>
    <w:rsid w:val="0036244F"/>
    <w:rsid w:val="0036377F"/>
    <w:rsid w:val="00363862"/>
    <w:rsid w:val="00364CBA"/>
    <w:rsid w:val="00365F66"/>
    <w:rsid w:val="00366729"/>
    <w:rsid w:val="00366BFA"/>
    <w:rsid w:val="00371855"/>
    <w:rsid w:val="003724E9"/>
    <w:rsid w:val="00372820"/>
    <w:rsid w:val="00375C57"/>
    <w:rsid w:val="003769F7"/>
    <w:rsid w:val="00376B82"/>
    <w:rsid w:val="00377E0A"/>
    <w:rsid w:val="003842A6"/>
    <w:rsid w:val="003857D1"/>
    <w:rsid w:val="00385B06"/>
    <w:rsid w:val="003A1278"/>
    <w:rsid w:val="003A3832"/>
    <w:rsid w:val="003A3A36"/>
    <w:rsid w:val="003A3C05"/>
    <w:rsid w:val="003A440B"/>
    <w:rsid w:val="003A6E80"/>
    <w:rsid w:val="003B1A83"/>
    <w:rsid w:val="003B1E1C"/>
    <w:rsid w:val="003B2887"/>
    <w:rsid w:val="003B4D6F"/>
    <w:rsid w:val="003B5016"/>
    <w:rsid w:val="003B68A5"/>
    <w:rsid w:val="003B691C"/>
    <w:rsid w:val="003B6B1A"/>
    <w:rsid w:val="003C07C2"/>
    <w:rsid w:val="003C090A"/>
    <w:rsid w:val="003C51B8"/>
    <w:rsid w:val="003C5349"/>
    <w:rsid w:val="003C608F"/>
    <w:rsid w:val="003D006B"/>
    <w:rsid w:val="003D1D3E"/>
    <w:rsid w:val="003D1ECB"/>
    <w:rsid w:val="003D404E"/>
    <w:rsid w:val="003D4D9A"/>
    <w:rsid w:val="003D5F23"/>
    <w:rsid w:val="003D6FC1"/>
    <w:rsid w:val="003E1458"/>
    <w:rsid w:val="003E35CB"/>
    <w:rsid w:val="003E3F46"/>
    <w:rsid w:val="003E49E9"/>
    <w:rsid w:val="003F30C4"/>
    <w:rsid w:val="00400338"/>
    <w:rsid w:val="004007A0"/>
    <w:rsid w:val="00400F9D"/>
    <w:rsid w:val="00405C3B"/>
    <w:rsid w:val="0040742D"/>
    <w:rsid w:val="004079E0"/>
    <w:rsid w:val="004111F7"/>
    <w:rsid w:val="00411369"/>
    <w:rsid w:val="00411C84"/>
    <w:rsid w:val="00413C52"/>
    <w:rsid w:val="00423664"/>
    <w:rsid w:val="00425557"/>
    <w:rsid w:val="004278B0"/>
    <w:rsid w:val="00427974"/>
    <w:rsid w:val="00430E05"/>
    <w:rsid w:val="004348F1"/>
    <w:rsid w:val="004359F4"/>
    <w:rsid w:val="00435B3A"/>
    <w:rsid w:val="00435F79"/>
    <w:rsid w:val="0043747C"/>
    <w:rsid w:val="004439E0"/>
    <w:rsid w:val="00445AE5"/>
    <w:rsid w:val="004471C7"/>
    <w:rsid w:val="00447EE1"/>
    <w:rsid w:val="00451ED8"/>
    <w:rsid w:val="00452141"/>
    <w:rsid w:val="004523B6"/>
    <w:rsid w:val="00454282"/>
    <w:rsid w:val="00455074"/>
    <w:rsid w:val="004577A3"/>
    <w:rsid w:val="00462B49"/>
    <w:rsid w:val="004630BA"/>
    <w:rsid w:val="00464462"/>
    <w:rsid w:val="004645DF"/>
    <w:rsid w:val="0046512A"/>
    <w:rsid w:val="00465370"/>
    <w:rsid w:val="00467774"/>
    <w:rsid w:val="0047104C"/>
    <w:rsid w:val="00471D8E"/>
    <w:rsid w:val="00472C46"/>
    <w:rsid w:val="00472DDA"/>
    <w:rsid w:val="00473933"/>
    <w:rsid w:val="00473BD3"/>
    <w:rsid w:val="004802BB"/>
    <w:rsid w:val="00491AF4"/>
    <w:rsid w:val="00492F69"/>
    <w:rsid w:val="00493469"/>
    <w:rsid w:val="00497396"/>
    <w:rsid w:val="004975A3"/>
    <w:rsid w:val="004A04EB"/>
    <w:rsid w:val="004A0E83"/>
    <w:rsid w:val="004A57A2"/>
    <w:rsid w:val="004A5890"/>
    <w:rsid w:val="004A5CF6"/>
    <w:rsid w:val="004A5F1A"/>
    <w:rsid w:val="004B003F"/>
    <w:rsid w:val="004B147F"/>
    <w:rsid w:val="004B5458"/>
    <w:rsid w:val="004B5968"/>
    <w:rsid w:val="004B635B"/>
    <w:rsid w:val="004B7EB9"/>
    <w:rsid w:val="004C14E8"/>
    <w:rsid w:val="004C36A9"/>
    <w:rsid w:val="004C375A"/>
    <w:rsid w:val="004C5C2F"/>
    <w:rsid w:val="004C7040"/>
    <w:rsid w:val="004C7DD4"/>
    <w:rsid w:val="004D459D"/>
    <w:rsid w:val="004D4D65"/>
    <w:rsid w:val="004D4D9B"/>
    <w:rsid w:val="004D6CDE"/>
    <w:rsid w:val="004D70C9"/>
    <w:rsid w:val="004E058F"/>
    <w:rsid w:val="004E1B80"/>
    <w:rsid w:val="004E2016"/>
    <w:rsid w:val="004E2686"/>
    <w:rsid w:val="004E32F0"/>
    <w:rsid w:val="004E4277"/>
    <w:rsid w:val="004E4E28"/>
    <w:rsid w:val="004E57C2"/>
    <w:rsid w:val="004E6081"/>
    <w:rsid w:val="004E7423"/>
    <w:rsid w:val="004F0526"/>
    <w:rsid w:val="004F0DF5"/>
    <w:rsid w:val="004F1DE1"/>
    <w:rsid w:val="004F573E"/>
    <w:rsid w:val="004F66B1"/>
    <w:rsid w:val="00501022"/>
    <w:rsid w:val="005012AC"/>
    <w:rsid w:val="0050147E"/>
    <w:rsid w:val="00501AD9"/>
    <w:rsid w:val="00503483"/>
    <w:rsid w:val="00503D5C"/>
    <w:rsid w:val="005045A5"/>
    <w:rsid w:val="0050470D"/>
    <w:rsid w:val="0050499B"/>
    <w:rsid w:val="0050651E"/>
    <w:rsid w:val="005067CE"/>
    <w:rsid w:val="0050780C"/>
    <w:rsid w:val="00507FD2"/>
    <w:rsid w:val="005133CA"/>
    <w:rsid w:val="00514B5E"/>
    <w:rsid w:val="00520D9C"/>
    <w:rsid w:val="0052106F"/>
    <w:rsid w:val="00521155"/>
    <w:rsid w:val="00521FB9"/>
    <w:rsid w:val="00522159"/>
    <w:rsid w:val="005235B5"/>
    <w:rsid w:val="00523A2B"/>
    <w:rsid w:val="00526D1F"/>
    <w:rsid w:val="00527149"/>
    <w:rsid w:val="005356C5"/>
    <w:rsid w:val="00535769"/>
    <w:rsid w:val="00536FC1"/>
    <w:rsid w:val="0053711E"/>
    <w:rsid w:val="00537243"/>
    <w:rsid w:val="00537266"/>
    <w:rsid w:val="005374E4"/>
    <w:rsid w:val="0053777D"/>
    <w:rsid w:val="0054067B"/>
    <w:rsid w:val="00542EA2"/>
    <w:rsid w:val="00543782"/>
    <w:rsid w:val="00544229"/>
    <w:rsid w:val="0054532A"/>
    <w:rsid w:val="00546288"/>
    <w:rsid w:val="00547EF3"/>
    <w:rsid w:val="00555E31"/>
    <w:rsid w:val="00560A47"/>
    <w:rsid w:val="00562F22"/>
    <w:rsid w:val="00563604"/>
    <w:rsid w:val="00565FED"/>
    <w:rsid w:val="00566B9C"/>
    <w:rsid w:val="0056772A"/>
    <w:rsid w:val="00571573"/>
    <w:rsid w:val="00571639"/>
    <w:rsid w:val="0057229F"/>
    <w:rsid w:val="00572430"/>
    <w:rsid w:val="005727DE"/>
    <w:rsid w:val="00576553"/>
    <w:rsid w:val="005771D4"/>
    <w:rsid w:val="00581D82"/>
    <w:rsid w:val="00581F55"/>
    <w:rsid w:val="005821EC"/>
    <w:rsid w:val="00583B30"/>
    <w:rsid w:val="00585482"/>
    <w:rsid w:val="00586FD1"/>
    <w:rsid w:val="005920F3"/>
    <w:rsid w:val="00592DAE"/>
    <w:rsid w:val="00593959"/>
    <w:rsid w:val="00593CD8"/>
    <w:rsid w:val="00594ED0"/>
    <w:rsid w:val="00595651"/>
    <w:rsid w:val="005A0E93"/>
    <w:rsid w:val="005A5200"/>
    <w:rsid w:val="005A59A8"/>
    <w:rsid w:val="005A6B90"/>
    <w:rsid w:val="005B0AFE"/>
    <w:rsid w:val="005B3B69"/>
    <w:rsid w:val="005B70E1"/>
    <w:rsid w:val="005C38D7"/>
    <w:rsid w:val="005C3D1C"/>
    <w:rsid w:val="005D0009"/>
    <w:rsid w:val="005D1051"/>
    <w:rsid w:val="005D391A"/>
    <w:rsid w:val="005D70BC"/>
    <w:rsid w:val="005E01AE"/>
    <w:rsid w:val="005E0670"/>
    <w:rsid w:val="005E0730"/>
    <w:rsid w:val="005E11E7"/>
    <w:rsid w:val="005E18DB"/>
    <w:rsid w:val="005E6458"/>
    <w:rsid w:val="005E704B"/>
    <w:rsid w:val="005F130A"/>
    <w:rsid w:val="005F38C7"/>
    <w:rsid w:val="005F682A"/>
    <w:rsid w:val="005F6C93"/>
    <w:rsid w:val="005F744A"/>
    <w:rsid w:val="00600D75"/>
    <w:rsid w:val="0060179F"/>
    <w:rsid w:val="00602647"/>
    <w:rsid w:val="00603812"/>
    <w:rsid w:val="006125E9"/>
    <w:rsid w:val="00612EBC"/>
    <w:rsid w:val="006159E6"/>
    <w:rsid w:val="00616032"/>
    <w:rsid w:val="006166B4"/>
    <w:rsid w:val="0062324D"/>
    <w:rsid w:val="00623931"/>
    <w:rsid w:val="006241EF"/>
    <w:rsid w:val="006279CD"/>
    <w:rsid w:val="006302C0"/>
    <w:rsid w:val="00630D1F"/>
    <w:rsid w:val="00631051"/>
    <w:rsid w:val="00634794"/>
    <w:rsid w:val="00636736"/>
    <w:rsid w:val="006420D9"/>
    <w:rsid w:val="0064324B"/>
    <w:rsid w:val="00643588"/>
    <w:rsid w:val="006457C7"/>
    <w:rsid w:val="00652963"/>
    <w:rsid w:val="0065305E"/>
    <w:rsid w:val="00654BC6"/>
    <w:rsid w:val="00654E6C"/>
    <w:rsid w:val="00657742"/>
    <w:rsid w:val="00657C8E"/>
    <w:rsid w:val="006602D8"/>
    <w:rsid w:val="00662289"/>
    <w:rsid w:val="0066242C"/>
    <w:rsid w:val="00663F51"/>
    <w:rsid w:val="00666D2A"/>
    <w:rsid w:val="00666DDF"/>
    <w:rsid w:val="00667329"/>
    <w:rsid w:val="00667DD5"/>
    <w:rsid w:val="00670095"/>
    <w:rsid w:val="0067031A"/>
    <w:rsid w:val="006713CF"/>
    <w:rsid w:val="00672D7B"/>
    <w:rsid w:val="00676D1B"/>
    <w:rsid w:val="006777B8"/>
    <w:rsid w:val="00682B58"/>
    <w:rsid w:val="00682F18"/>
    <w:rsid w:val="00686A0B"/>
    <w:rsid w:val="00686F9B"/>
    <w:rsid w:val="006871CE"/>
    <w:rsid w:val="00687A35"/>
    <w:rsid w:val="0069273C"/>
    <w:rsid w:val="00695586"/>
    <w:rsid w:val="00695C54"/>
    <w:rsid w:val="00697616"/>
    <w:rsid w:val="00697862"/>
    <w:rsid w:val="006A0551"/>
    <w:rsid w:val="006A25A9"/>
    <w:rsid w:val="006A2748"/>
    <w:rsid w:val="006A3256"/>
    <w:rsid w:val="006A34E4"/>
    <w:rsid w:val="006A4069"/>
    <w:rsid w:val="006A46B7"/>
    <w:rsid w:val="006A6892"/>
    <w:rsid w:val="006B21BC"/>
    <w:rsid w:val="006B2CB2"/>
    <w:rsid w:val="006B328B"/>
    <w:rsid w:val="006B3858"/>
    <w:rsid w:val="006B40DE"/>
    <w:rsid w:val="006B4DE5"/>
    <w:rsid w:val="006B56BE"/>
    <w:rsid w:val="006B6244"/>
    <w:rsid w:val="006B7793"/>
    <w:rsid w:val="006C4758"/>
    <w:rsid w:val="006D06B4"/>
    <w:rsid w:val="006D1247"/>
    <w:rsid w:val="006D129E"/>
    <w:rsid w:val="006D17A5"/>
    <w:rsid w:val="006D1C1A"/>
    <w:rsid w:val="006D259C"/>
    <w:rsid w:val="006D5588"/>
    <w:rsid w:val="006D705E"/>
    <w:rsid w:val="006E0DD9"/>
    <w:rsid w:val="006E1935"/>
    <w:rsid w:val="006E6620"/>
    <w:rsid w:val="006E6D18"/>
    <w:rsid w:val="006F05C1"/>
    <w:rsid w:val="006F461B"/>
    <w:rsid w:val="006F4E6C"/>
    <w:rsid w:val="006F656A"/>
    <w:rsid w:val="006F6E5D"/>
    <w:rsid w:val="006F7D00"/>
    <w:rsid w:val="00700423"/>
    <w:rsid w:val="00700B10"/>
    <w:rsid w:val="0070141C"/>
    <w:rsid w:val="00701701"/>
    <w:rsid w:val="00705C46"/>
    <w:rsid w:val="007068EB"/>
    <w:rsid w:val="00707892"/>
    <w:rsid w:val="007108FF"/>
    <w:rsid w:val="007111EA"/>
    <w:rsid w:val="007112A8"/>
    <w:rsid w:val="0071152F"/>
    <w:rsid w:val="007129CE"/>
    <w:rsid w:val="00715AAD"/>
    <w:rsid w:val="00716194"/>
    <w:rsid w:val="00720B03"/>
    <w:rsid w:val="00721B2B"/>
    <w:rsid w:val="00722BEE"/>
    <w:rsid w:val="00723EE9"/>
    <w:rsid w:val="00724DBD"/>
    <w:rsid w:val="00726C6F"/>
    <w:rsid w:val="00727546"/>
    <w:rsid w:val="00731A26"/>
    <w:rsid w:val="00732867"/>
    <w:rsid w:val="007342F1"/>
    <w:rsid w:val="00734B9E"/>
    <w:rsid w:val="00736B08"/>
    <w:rsid w:val="00740193"/>
    <w:rsid w:val="007413C3"/>
    <w:rsid w:val="00742100"/>
    <w:rsid w:val="00742109"/>
    <w:rsid w:val="0074224F"/>
    <w:rsid w:val="00742B2C"/>
    <w:rsid w:val="00744287"/>
    <w:rsid w:val="007445F6"/>
    <w:rsid w:val="00745D19"/>
    <w:rsid w:val="00747983"/>
    <w:rsid w:val="00750E2F"/>
    <w:rsid w:val="007518D0"/>
    <w:rsid w:val="0075286F"/>
    <w:rsid w:val="0075401E"/>
    <w:rsid w:val="00754551"/>
    <w:rsid w:val="00754667"/>
    <w:rsid w:val="00756BA6"/>
    <w:rsid w:val="00766EB7"/>
    <w:rsid w:val="00775346"/>
    <w:rsid w:val="00775510"/>
    <w:rsid w:val="00782D90"/>
    <w:rsid w:val="00783170"/>
    <w:rsid w:val="00783AA7"/>
    <w:rsid w:val="00784DB8"/>
    <w:rsid w:val="0079050C"/>
    <w:rsid w:val="00791040"/>
    <w:rsid w:val="007975AA"/>
    <w:rsid w:val="007A1B27"/>
    <w:rsid w:val="007A4B0B"/>
    <w:rsid w:val="007A5568"/>
    <w:rsid w:val="007B0869"/>
    <w:rsid w:val="007B3649"/>
    <w:rsid w:val="007B481B"/>
    <w:rsid w:val="007B574E"/>
    <w:rsid w:val="007B5F57"/>
    <w:rsid w:val="007B65FF"/>
    <w:rsid w:val="007C12E3"/>
    <w:rsid w:val="007C1C82"/>
    <w:rsid w:val="007C22DD"/>
    <w:rsid w:val="007C34BA"/>
    <w:rsid w:val="007C5148"/>
    <w:rsid w:val="007C53B1"/>
    <w:rsid w:val="007C5545"/>
    <w:rsid w:val="007C62BE"/>
    <w:rsid w:val="007D0E00"/>
    <w:rsid w:val="007D2273"/>
    <w:rsid w:val="007E0C63"/>
    <w:rsid w:val="007E174C"/>
    <w:rsid w:val="007E1DA9"/>
    <w:rsid w:val="007E1EC2"/>
    <w:rsid w:val="007E1EFF"/>
    <w:rsid w:val="007E2CD6"/>
    <w:rsid w:val="007E33CD"/>
    <w:rsid w:val="007E3894"/>
    <w:rsid w:val="007E457C"/>
    <w:rsid w:val="007F1E01"/>
    <w:rsid w:val="007F3E7B"/>
    <w:rsid w:val="007F44D9"/>
    <w:rsid w:val="007F6AD7"/>
    <w:rsid w:val="00800A35"/>
    <w:rsid w:val="00803CC9"/>
    <w:rsid w:val="00804057"/>
    <w:rsid w:val="00804487"/>
    <w:rsid w:val="00804A0C"/>
    <w:rsid w:val="00805156"/>
    <w:rsid w:val="008063E9"/>
    <w:rsid w:val="008079BB"/>
    <w:rsid w:val="008101A1"/>
    <w:rsid w:val="00812AC4"/>
    <w:rsid w:val="00813512"/>
    <w:rsid w:val="008141BC"/>
    <w:rsid w:val="00816C5B"/>
    <w:rsid w:val="00821EBF"/>
    <w:rsid w:val="008234FF"/>
    <w:rsid w:val="008257E2"/>
    <w:rsid w:val="00826C29"/>
    <w:rsid w:val="00826F50"/>
    <w:rsid w:val="008330DD"/>
    <w:rsid w:val="008336D2"/>
    <w:rsid w:val="008347F6"/>
    <w:rsid w:val="00835B9C"/>
    <w:rsid w:val="008361FB"/>
    <w:rsid w:val="00836B47"/>
    <w:rsid w:val="0084453E"/>
    <w:rsid w:val="008450F6"/>
    <w:rsid w:val="00852FA9"/>
    <w:rsid w:val="00854C7F"/>
    <w:rsid w:val="00857241"/>
    <w:rsid w:val="00860C22"/>
    <w:rsid w:val="008632A6"/>
    <w:rsid w:val="008668CB"/>
    <w:rsid w:val="00867199"/>
    <w:rsid w:val="0088059A"/>
    <w:rsid w:val="00880EC4"/>
    <w:rsid w:val="00883C38"/>
    <w:rsid w:val="00883DFE"/>
    <w:rsid w:val="00884206"/>
    <w:rsid w:val="00884325"/>
    <w:rsid w:val="00884A7D"/>
    <w:rsid w:val="00890B12"/>
    <w:rsid w:val="0089246A"/>
    <w:rsid w:val="00895535"/>
    <w:rsid w:val="00897351"/>
    <w:rsid w:val="00897365"/>
    <w:rsid w:val="008975C6"/>
    <w:rsid w:val="008A058B"/>
    <w:rsid w:val="008A1045"/>
    <w:rsid w:val="008A1CBB"/>
    <w:rsid w:val="008A1D47"/>
    <w:rsid w:val="008A4082"/>
    <w:rsid w:val="008A54DB"/>
    <w:rsid w:val="008A5B44"/>
    <w:rsid w:val="008A7CF4"/>
    <w:rsid w:val="008B263F"/>
    <w:rsid w:val="008B2797"/>
    <w:rsid w:val="008B4B34"/>
    <w:rsid w:val="008B627B"/>
    <w:rsid w:val="008B7E03"/>
    <w:rsid w:val="008C01D0"/>
    <w:rsid w:val="008C1E49"/>
    <w:rsid w:val="008C3042"/>
    <w:rsid w:val="008C54E9"/>
    <w:rsid w:val="008C7C4C"/>
    <w:rsid w:val="008D12E1"/>
    <w:rsid w:val="008D2161"/>
    <w:rsid w:val="008D2D35"/>
    <w:rsid w:val="008D3052"/>
    <w:rsid w:val="008D30F0"/>
    <w:rsid w:val="008D3C6E"/>
    <w:rsid w:val="008D3CE1"/>
    <w:rsid w:val="008D3D5A"/>
    <w:rsid w:val="008D79FD"/>
    <w:rsid w:val="008D7A0B"/>
    <w:rsid w:val="008E46D9"/>
    <w:rsid w:val="008E4B6E"/>
    <w:rsid w:val="008E5A0E"/>
    <w:rsid w:val="008F2A25"/>
    <w:rsid w:val="008F4B3D"/>
    <w:rsid w:val="008F6404"/>
    <w:rsid w:val="00900EE0"/>
    <w:rsid w:val="00900F75"/>
    <w:rsid w:val="009011FF"/>
    <w:rsid w:val="009015CC"/>
    <w:rsid w:val="00903ACE"/>
    <w:rsid w:val="0090494E"/>
    <w:rsid w:val="00906C8B"/>
    <w:rsid w:val="00911B1B"/>
    <w:rsid w:val="00914F9F"/>
    <w:rsid w:val="00920841"/>
    <w:rsid w:val="00921BC6"/>
    <w:rsid w:val="00921DAF"/>
    <w:rsid w:val="0092250F"/>
    <w:rsid w:val="00922B4F"/>
    <w:rsid w:val="009231FD"/>
    <w:rsid w:val="0092506F"/>
    <w:rsid w:val="00926A74"/>
    <w:rsid w:val="00926E21"/>
    <w:rsid w:val="00927980"/>
    <w:rsid w:val="0093153C"/>
    <w:rsid w:val="00931E06"/>
    <w:rsid w:val="009343F2"/>
    <w:rsid w:val="009346A9"/>
    <w:rsid w:val="0093569A"/>
    <w:rsid w:val="009408F4"/>
    <w:rsid w:val="00942F3B"/>
    <w:rsid w:val="00947AFE"/>
    <w:rsid w:val="00952150"/>
    <w:rsid w:val="00953F0B"/>
    <w:rsid w:val="00956099"/>
    <w:rsid w:val="009578BC"/>
    <w:rsid w:val="00961A5B"/>
    <w:rsid w:val="009713E7"/>
    <w:rsid w:val="00971FFF"/>
    <w:rsid w:val="009742B1"/>
    <w:rsid w:val="0097543B"/>
    <w:rsid w:val="00975450"/>
    <w:rsid w:val="00975C26"/>
    <w:rsid w:val="009761BC"/>
    <w:rsid w:val="00983F64"/>
    <w:rsid w:val="00986875"/>
    <w:rsid w:val="00986909"/>
    <w:rsid w:val="00986FD7"/>
    <w:rsid w:val="0098785B"/>
    <w:rsid w:val="009925BF"/>
    <w:rsid w:val="00993AAF"/>
    <w:rsid w:val="00994B6F"/>
    <w:rsid w:val="00995A24"/>
    <w:rsid w:val="00995CF6"/>
    <w:rsid w:val="00995D5E"/>
    <w:rsid w:val="009A0C09"/>
    <w:rsid w:val="009A1226"/>
    <w:rsid w:val="009A220E"/>
    <w:rsid w:val="009B19E3"/>
    <w:rsid w:val="009B1BEE"/>
    <w:rsid w:val="009B2687"/>
    <w:rsid w:val="009B2CA0"/>
    <w:rsid w:val="009B3037"/>
    <w:rsid w:val="009B4440"/>
    <w:rsid w:val="009B6A1B"/>
    <w:rsid w:val="009B6B6C"/>
    <w:rsid w:val="009C2C2F"/>
    <w:rsid w:val="009C38CA"/>
    <w:rsid w:val="009C3ADF"/>
    <w:rsid w:val="009D36FD"/>
    <w:rsid w:val="009D37C6"/>
    <w:rsid w:val="009D42E0"/>
    <w:rsid w:val="009D6FCC"/>
    <w:rsid w:val="009D7305"/>
    <w:rsid w:val="009E18DD"/>
    <w:rsid w:val="009E71EF"/>
    <w:rsid w:val="009F0174"/>
    <w:rsid w:val="009F1EF1"/>
    <w:rsid w:val="009F6C90"/>
    <w:rsid w:val="009F7AD4"/>
    <w:rsid w:val="00A00A81"/>
    <w:rsid w:val="00A024EC"/>
    <w:rsid w:val="00A0276A"/>
    <w:rsid w:val="00A02B44"/>
    <w:rsid w:val="00A03079"/>
    <w:rsid w:val="00A03B3E"/>
    <w:rsid w:val="00A045AF"/>
    <w:rsid w:val="00A15208"/>
    <w:rsid w:val="00A15381"/>
    <w:rsid w:val="00A16858"/>
    <w:rsid w:val="00A175EC"/>
    <w:rsid w:val="00A21336"/>
    <w:rsid w:val="00A216A2"/>
    <w:rsid w:val="00A22B54"/>
    <w:rsid w:val="00A26531"/>
    <w:rsid w:val="00A270E7"/>
    <w:rsid w:val="00A27B7B"/>
    <w:rsid w:val="00A30FD1"/>
    <w:rsid w:val="00A33EA9"/>
    <w:rsid w:val="00A340F7"/>
    <w:rsid w:val="00A34E9B"/>
    <w:rsid w:val="00A37AB2"/>
    <w:rsid w:val="00A40570"/>
    <w:rsid w:val="00A41030"/>
    <w:rsid w:val="00A41817"/>
    <w:rsid w:val="00A426FB"/>
    <w:rsid w:val="00A43180"/>
    <w:rsid w:val="00A43AFF"/>
    <w:rsid w:val="00A45033"/>
    <w:rsid w:val="00A460E7"/>
    <w:rsid w:val="00A478C7"/>
    <w:rsid w:val="00A518E4"/>
    <w:rsid w:val="00A525EA"/>
    <w:rsid w:val="00A538B0"/>
    <w:rsid w:val="00A54B31"/>
    <w:rsid w:val="00A56A89"/>
    <w:rsid w:val="00A608FA"/>
    <w:rsid w:val="00A609EB"/>
    <w:rsid w:val="00A628F5"/>
    <w:rsid w:val="00A64A40"/>
    <w:rsid w:val="00A65705"/>
    <w:rsid w:val="00A66E97"/>
    <w:rsid w:val="00A70996"/>
    <w:rsid w:val="00A719A3"/>
    <w:rsid w:val="00A732CC"/>
    <w:rsid w:val="00A7551B"/>
    <w:rsid w:val="00A757CD"/>
    <w:rsid w:val="00A77324"/>
    <w:rsid w:val="00A773A5"/>
    <w:rsid w:val="00A80423"/>
    <w:rsid w:val="00A8125A"/>
    <w:rsid w:val="00A8181D"/>
    <w:rsid w:val="00A82492"/>
    <w:rsid w:val="00A83004"/>
    <w:rsid w:val="00A84BC2"/>
    <w:rsid w:val="00A84C34"/>
    <w:rsid w:val="00A85332"/>
    <w:rsid w:val="00A85DC1"/>
    <w:rsid w:val="00A8669C"/>
    <w:rsid w:val="00A86DE4"/>
    <w:rsid w:val="00A9307D"/>
    <w:rsid w:val="00A94502"/>
    <w:rsid w:val="00A94D82"/>
    <w:rsid w:val="00A95182"/>
    <w:rsid w:val="00A97111"/>
    <w:rsid w:val="00AA07FD"/>
    <w:rsid w:val="00AA2436"/>
    <w:rsid w:val="00AA2802"/>
    <w:rsid w:val="00AA37B9"/>
    <w:rsid w:val="00AA3D1F"/>
    <w:rsid w:val="00AB1C00"/>
    <w:rsid w:val="00AB525D"/>
    <w:rsid w:val="00AB577B"/>
    <w:rsid w:val="00AC1390"/>
    <w:rsid w:val="00AC225A"/>
    <w:rsid w:val="00AD109A"/>
    <w:rsid w:val="00AD16EC"/>
    <w:rsid w:val="00AD1BB7"/>
    <w:rsid w:val="00AD205F"/>
    <w:rsid w:val="00AD31AC"/>
    <w:rsid w:val="00AD47FB"/>
    <w:rsid w:val="00AD4E9B"/>
    <w:rsid w:val="00AD551F"/>
    <w:rsid w:val="00AD7F33"/>
    <w:rsid w:val="00AE0222"/>
    <w:rsid w:val="00AE02E4"/>
    <w:rsid w:val="00AE11C7"/>
    <w:rsid w:val="00AE14B0"/>
    <w:rsid w:val="00AE25A2"/>
    <w:rsid w:val="00AE32E2"/>
    <w:rsid w:val="00AE38BE"/>
    <w:rsid w:val="00AE3D57"/>
    <w:rsid w:val="00AE5B96"/>
    <w:rsid w:val="00AE769B"/>
    <w:rsid w:val="00AF02E1"/>
    <w:rsid w:val="00AF3FA1"/>
    <w:rsid w:val="00AF467D"/>
    <w:rsid w:val="00AF4DD7"/>
    <w:rsid w:val="00AF55DE"/>
    <w:rsid w:val="00AF70BF"/>
    <w:rsid w:val="00B0153D"/>
    <w:rsid w:val="00B0153E"/>
    <w:rsid w:val="00B01B2D"/>
    <w:rsid w:val="00B05365"/>
    <w:rsid w:val="00B116CD"/>
    <w:rsid w:val="00B14307"/>
    <w:rsid w:val="00B17893"/>
    <w:rsid w:val="00B205CB"/>
    <w:rsid w:val="00B206FE"/>
    <w:rsid w:val="00B20CAD"/>
    <w:rsid w:val="00B20E10"/>
    <w:rsid w:val="00B21039"/>
    <w:rsid w:val="00B21BC1"/>
    <w:rsid w:val="00B225CA"/>
    <w:rsid w:val="00B2685C"/>
    <w:rsid w:val="00B26D2B"/>
    <w:rsid w:val="00B30575"/>
    <w:rsid w:val="00B32293"/>
    <w:rsid w:val="00B32E81"/>
    <w:rsid w:val="00B35358"/>
    <w:rsid w:val="00B363D7"/>
    <w:rsid w:val="00B45CB3"/>
    <w:rsid w:val="00B47518"/>
    <w:rsid w:val="00B51956"/>
    <w:rsid w:val="00B5216E"/>
    <w:rsid w:val="00B53B19"/>
    <w:rsid w:val="00B54321"/>
    <w:rsid w:val="00B543FC"/>
    <w:rsid w:val="00B6208A"/>
    <w:rsid w:val="00B623D4"/>
    <w:rsid w:val="00B63376"/>
    <w:rsid w:val="00B63A31"/>
    <w:rsid w:val="00B63A32"/>
    <w:rsid w:val="00B64E73"/>
    <w:rsid w:val="00B6597D"/>
    <w:rsid w:val="00B70AD8"/>
    <w:rsid w:val="00B72270"/>
    <w:rsid w:val="00B725C1"/>
    <w:rsid w:val="00B726F3"/>
    <w:rsid w:val="00B73EE5"/>
    <w:rsid w:val="00B74407"/>
    <w:rsid w:val="00B87EBC"/>
    <w:rsid w:val="00B92D7F"/>
    <w:rsid w:val="00B93323"/>
    <w:rsid w:val="00B933E2"/>
    <w:rsid w:val="00B9530C"/>
    <w:rsid w:val="00B96820"/>
    <w:rsid w:val="00BA0E63"/>
    <w:rsid w:val="00BA0FD2"/>
    <w:rsid w:val="00BA1272"/>
    <w:rsid w:val="00BA1276"/>
    <w:rsid w:val="00BA163B"/>
    <w:rsid w:val="00BA50E1"/>
    <w:rsid w:val="00BB0A3A"/>
    <w:rsid w:val="00BB1508"/>
    <w:rsid w:val="00BB51C9"/>
    <w:rsid w:val="00BB63FA"/>
    <w:rsid w:val="00BC21EC"/>
    <w:rsid w:val="00BC3B2A"/>
    <w:rsid w:val="00BE014A"/>
    <w:rsid w:val="00BE0F52"/>
    <w:rsid w:val="00BE3347"/>
    <w:rsid w:val="00BE41E0"/>
    <w:rsid w:val="00BE5326"/>
    <w:rsid w:val="00BF3F06"/>
    <w:rsid w:val="00BF44B0"/>
    <w:rsid w:val="00C01617"/>
    <w:rsid w:val="00C03991"/>
    <w:rsid w:val="00C04583"/>
    <w:rsid w:val="00C04777"/>
    <w:rsid w:val="00C0516E"/>
    <w:rsid w:val="00C070E0"/>
    <w:rsid w:val="00C10FA9"/>
    <w:rsid w:val="00C1120B"/>
    <w:rsid w:val="00C1164C"/>
    <w:rsid w:val="00C12B1C"/>
    <w:rsid w:val="00C1518D"/>
    <w:rsid w:val="00C16317"/>
    <w:rsid w:val="00C16767"/>
    <w:rsid w:val="00C1737A"/>
    <w:rsid w:val="00C179D0"/>
    <w:rsid w:val="00C211A3"/>
    <w:rsid w:val="00C21296"/>
    <w:rsid w:val="00C24624"/>
    <w:rsid w:val="00C24838"/>
    <w:rsid w:val="00C25339"/>
    <w:rsid w:val="00C264CD"/>
    <w:rsid w:val="00C268E3"/>
    <w:rsid w:val="00C31FD6"/>
    <w:rsid w:val="00C32879"/>
    <w:rsid w:val="00C32A98"/>
    <w:rsid w:val="00C36F57"/>
    <w:rsid w:val="00C37CFF"/>
    <w:rsid w:val="00C40BA5"/>
    <w:rsid w:val="00C445A0"/>
    <w:rsid w:val="00C46319"/>
    <w:rsid w:val="00C55071"/>
    <w:rsid w:val="00C56D1F"/>
    <w:rsid w:val="00C64F04"/>
    <w:rsid w:val="00C64FB4"/>
    <w:rsid w:val="00C654C2"/>
    <w:rsid w:val="00C72372"/>
    <w:rsid w:val="00C72414"/>
    <w:rsid w:val="00C72685"/>
    <w:rsid w:val="00C75D99"/>
    <w:rsid w:val="00C775AB"/>
    <w:rsid w:val="00C804AC"/>
    <w:rsid w:val="00C808BC"/>
    <w:rsid w:val="00C82F42"/>
    <w:rsid w:val="00C83729"/>
    <w:rsid w:val="00C84235"/>
    <w:rsid w:val="00C84E5D"/>
    <w:rsid w:val="00C85056"/>
    <w:rsid w:val="00C85315"/>
    <w:rsid w:val="00C85F3E"/>
    <w:rsid w:val="00C8604F"/>
    <w:rsid w:val="00C8605F"/>
    <w:rsid w:val="00C8606A"/>
    <w:rsid w:val="00C91705"/>
    <w:rsid w:val="00C961C3"/>
    <w:rsid w:val="00C96DAB"/>
    <w:rsid w:val="00CA17DC"/>
    <w:rsid w:val="00CA1B4E"/>
    <w:rsid w:val="00CA22B2"/>
    <w:rsid w:val="00CA37FC"/>
    <w:rsid w:val="00CA3F21"/>
    <w:rsid w:val="00CA4474"/>
    <w:rsid w:val="00CA4732"/>
    <w:rsid w:val="00CA5008"/>
    <w:rsid w:val="00CA5253"/>
    <w:rsid w:val="00CA5664"/>
    <w:rsid w:val="00CA58E7"/>
    <w:rsid w:val="00CA7F0D"/>
    <w:rsid w:val="00CB2CDC"/>
    <w:rsid w:val="00CB64FE"/>
    <w:rsid w:val="00CB67BA"/>
    <w:rsid w:val="00CB7C44"/>
    <w:rsid w:val="00CC2CAE"/>
    <w:rsid w:val="00CC476D"/>
    <w:rsid w:val="00CC6402"/>
    <w:rsid w:val="00CC68E5"/>
    <w:rsid w:val="00CD2C54"/>
    <w:rsid w:val="00CD3E00"/>
    <w:rsid w:val="00CD5D56"/>
    <w:rsid w:val="00CE26C4"/>
    <w:rsid w:val="00CE492E"/>
    <w:rsid w:val="00CE6BDF"/>
    <w:rsid w:val="00CE70C5"/>
    <w:rsid w:val="00CF29A1"/>
    <w:rsid w:val="00CF2B67"/>
    <w:rsid w:val="00CF3269"/>
    <w:rsid w:val="00CF3DCB"/>
    <w:rsid w:val="00D005EC"/>
    <w:rsid w:val="00D04AAC"/>
    <w:rsid w:val="00D051E9"/>
    <w:rsid w:val="00D062ED"/>
    <w:rsid w:val="00D06416"/>
    <w:rsid w:val="00D07B24"/>
    <w:rsid w:val="00D102C3"/>
    <w:rsid w:val="00D11339"/>
    <w:rsid w:val="00D11D62"/>
    <w:rsid w:val="00D134E5"/>
    <w:rsid w:val="00D13872"/>
    <w:rsid w:val="00D14597"/>
    <w:rsid w:val="00D15699"/>
    <w:rsid w:val="00D16F17"/>
    <w:rsid w:val="00D24594"/>
    <w:rsid w:val="00D2488D"/>
    <w:rsid w:val="00D27E21"/>
    <w:rsid w:val="00D338A5"/>
    <w:rsid w:val="00D34834"/>
    <w:rsid w:val="00D3586C"/>
    <w:rsid w:val="00D35A19"/>
    <w:rsid w:val="00D375FD"/>
    <w:rsid w:val="00D40042"/>
    <w:rsid w:val="00D41354"/>
    <w:rsid w:val="00D43802"/>
    <w:rsid w:val="00D43889"/>
    <w:rsid w:val="00D44316"/>
    <w:rsid w:val="00D4439F"/>
    <w:rsid w:val="00D45343"/>
    <w:rsid w:val="00D51868"/>
    <w:rsid w:val="00D52353"/>
    <w:rsid w:val="00D52420"/>
    <w:rsid w:val="00D52482"/>
    <w:rsid w:val="00D547F3"/>
    <w:rsid w:val="00D54B52"/>
    <w:rsid w:val="00D56BCC"/>
    <w:rsid w:val="00D62D95"/>
    <w:rsid w:val="00D63F71"/>
    <w:rsid w:val="00D64BB7"/>
    <w:rsid w:val="00D64D40"/>
    <w:rsid w:val="00D70323"/>
    <w:rsid w:val="00D70641"/>
    <w:rsid w:val="00D7598B"/>
    <w:rsid w:val="00D76A2A"/>
    <w:rsid w:val="00D8053E"/>
    <w:rsid w:val="00D82EE0"/>
    <w:rsid w:val="00D846B8"/>
    <w:rsid w:val="00D84C7F"/>
    <w:rsid w:val="00D8504A"/>
    <w:rsid w:val="00D86761"/>
    <w:rsid w:val="00D91430"/>
    <w:rsid w:val="00D925ED"/>
    <w:rsid w:val="00D93B51"/>
    <w:rsid w:val="00D94155"/>
    <w:rsid w:val="00D96D4E"/>
    <w:rsid w:val="00D97249"/>
    <w:rsid w:val="00D9730A"/>
    <w:rsid w:val="00DA04B3"/>
    <w:rsid w:val="00DA12AF"/>
    <w:rsid w:val="00DA2F2E"/>
    <w:rsid w:val="00DA50A6"/>
    <w:rsid w:val="00DA65B9"/>
    <w:rsid w:val="00DB323E"/>
    <w:rsid w:val="00DB480D"/>
    <w:rsid w:val="00DB730D"/>
    <w:rsid w:val="00DB7EFB"/>
    <w:rsid w:val="00DC1397"/>
    <w:rsid w:val="00DC2CE2"/>
    <w:rsid w:val="00DC2D06"/>
    <w:rsid w:val="00DD1D9C"/>
    <w:rsid w:val="00DD4F8E"/>
    <w:rsid w:val="00DD54B6"/>
    <w:rsid w:val="00DD643C"/>
    <w:rsid w:val="00DD7599"/>
    <w:rsid w:val="00DE0FBE"/>
    <w:rsid w:val="00DE2F3B"/>
    <w:rsid w:val="00DE3CA1"/>
    <w:rsid w:val="00DE5D7A"/>
    <w:rsid w:val="00DE7D46"/>
    <w:rsid w:val="00DF058F"/>
    <w:rsid w:val="00DF2E27"/>
    <w:rsid w:val="00DF4C4F"/>
    <w:rsid w:val="00DF507F"/>
    <w:rsid w:val="00DF5545"/>
    <w:rsid w:val="00E017F4"/>
    <w:rsid w:val="00E0418F"/>
    <w:rsid w:val="00E05798"/>
    <w:rsid w:val="00E05859"/>
    <w:rsid w:val="00E106F9"/>
    <w:rsid w:val="00E10DBE"/>
    <w:rsid w:val="00E12627"/>
    <w:rsid w:val="00E155B8"/>
    <w:rsid w:val="00E1725D"/>
    <w:rsid w:val="00E172BC"/>
    <w:rsid w:val="00E174DE"/>
    <w:rsid w:val="00E17720"/>
    <w:rsid w:val="00E21CFB"/>
    <w:rsid w:val="00E221C0"/>
    <w:rsid w:val="00E22954"/>
    <w:rsid w:val="00E2485B"/>
    <w:rsid w:val="00E24F54"/>
    <w:rsid w:val="00E25389"/>
    <w:rsid w:val="00E25FB7"/>
    <w:rsid w:val="00E270CF"/>
    <w:rsid w:val="00E27239"/>
    <w:rsid w:val="00E2760D"/>
    <w:rsid w:val="00E27E4B"/>
    <w:rsid w:val="00E30747"/>
    <w:rsid w:val="00E3301F"/>
    <w:rsid w:val="00E33B26"/>
    <w:rsid w:val="00E3450B"/>
    <w:rsid w:val="00E34B43"/>
    <w:rsid w:val="00E370B6"/>
    <w:rsid w:val="00E42059"/>
    <w:rsid w:val="00E43452"/>
    <w:rsid w:val="00E4788B"/>
    <w:rsid w:val="00E54128"/>
    <w:rsid w:val="00E55A14"/>
    <w:rsid w:val="00E56B92"/>
    <w:rsid w:val="00E61AD5"/>
    <w:rsid w:val="00E63418"/>
    <w:rsid w:val="00E66A57"/>
    <w:rsid w:val="00E703F7"/>
    <w:rsid w:val="00E70679"/>
    <w:rsid w:val="00E70E99"/>
    <w:rsid w:val="00E718F9"/>
    <w:rsid w:val="00E71EC1"/>
    <w:rsid w:val="00E72ADC"/>
    <w:rsid w:val="00E73C41"/>
    <w:rsid w:val="00E74452"/>
    <w:rsid w:val="00E75D0F"/>
    <w:rsid w:val="00E77D04"/>
    <w:rsid w:val="00E82428"/>
    <w:rsid w:val="00E83278"/>
    <w:rsid w:val="00E86D2D"/>
    <w:rsid w:val="00E90575"/>
    <w:rsid w:val="00E90A21"/>
    <w:rsid w:val="00E92660"/>
    <w:rsid w:val="00E942EE"/>
    <w:rsid w:val="00E94B34"/>
    <w:rsid w:val="00E9512F"/>
    <w:rsid w:val="00E962B9"/>
    <w:rsid w:val="00E9675C"/>
    <w:rsid w:val="00EA2943"/>
    <w:rsid w:val="00EA2952"/>
    <w:rsid w:val="00EA365F"/>
    <w:rsid w:val="00EA39B0"/>
    <w:rsid w:val="00EA3A08"/>
    <w:rsid w:val="00EA58F5"/>
    <w:rsid w:val="00EA7A8A"/>
    <w:rsid w:val="00EA7B9C"/>
    <w:rsid w:val="00EB0A6C"/>
    <w:rsid w:val="00EB1A45"/>
    <w:rsid w:val="00EB1D4D"/>
    <w:rsid w:val="00EB20B5"/>
    <w:rsid w:val="00EB6294"/>
    <w:rsid w:val="00EC23B8"/>
    <w:rsid w:val="00EC23B9"/>
    <w:rsid w:val="00EC3281"/>
    <w:rsid w:val="00EC4531"/>
    <w:rsid w:val="00EC62B2"/>
    <w:rsid w:val="00EC7C48"/>
    <w:rsid w:val="00ED0EF5"/>
    <w:rsid w:val="00ED2D19"/>
    <w:rsid w:val="00ED304A"/>
    <w:rsid w:val="00ED3EA6"/>
    <w:rsid w:val="00ED549F"/>
    <w:rsid w:val="00EE1198"/>
    <w:rsid w:val="00EE19A1"/>
    <w:rsid w:val="00EE2716"/>
    <w:rsid w:val="00EE3BB3"/>
    <w:rsid w:val="00EE45B9"/>
    <w:rsid w:val="00EE51FE"/>
    <w:rsid w:val="00EE5AFA"/>
    <w:rsid w:val="00EE61CF"/>
    <w:rsid w:val="00EE746D"/>
    <w:rsid w:val="00EF0438"/>
    <w:rsid w:val="00EF0996"/>
    <w:rsid w:val="00EF1332"/>
    <w:rsid w:val="00EF31D1"/>
    <w:rsid w:val="00EF3334"/>
    <w:rsid w:val="00EF48FE"/>
    <w:rsid w:val="00EF6A01"/>
    <w:rsid w:val="00EF705E"/>
    <w:rsid w:val="00F00680"/>
    <w:rsid w:val="00F035C7"/>
    <w:rsid w:val="00F04219"/>
    <w:rsid w:val="00F07C77"/>
    <w:rsid w:val="00F101DA"/>
    <w:rsid w:val="00F10A3F"/>
    <w:rsid w:val="00F11126"/>
    <w:rsid w:val="00F118F1"/>
    <w:rsid w:val="00F15CB9"/>
    <w:rsid w:val="00F215BA"/>
    <w:rsid w:val="00F261BE"/>
    <w:rsid w:val="00F30310"/>
    <w:rsid w:val="00F3541C"/>
    <w:rsid w:val="00F35DCD"/>
    <w:rsid w:val="00F4045C"/>
    <w:rsid w:val="00F408DE"/>
    <w:rsid w:val="00F408E0"/>
    <w:rsid w:val="00F40B0D"/>
    <w:rsid w:val="00F43147"/>
    <w:rsid w:val="00F43AFD"/>
    <w:rsid w:val="00F44341"/>
    <w:rsid w:val="00F45647"/>
    <w:rsid w:val="00F47C2D"/>
    <w:rsid w:val="00F50677"/>
    <w:rsid w:val="00F5345F"/>
    <w:rsid w:val="00F53E4E"/>
    <w:rsid w:val="00F5442E"/>
    <w:rsid w:val="00F546F2"/>
    <w:rsid w:val="00F604AE"/>
    <w:rsid w:val="00F61AF2"/>
    <w:rsid w:val="00F63F23"/>
    <w:rsid w:val="00F64668"/>
    <w:rsid w:val="00F6589C"/>
    <w:rsid w:val="00F66FBA"/>
    <w:rsid w:val="00F70B1B"/>
    <w:rsid w:val="00F70B74"/>
    <w:rsid w:val="00F712C1"/>
    <w:rsid w:val="00F73420"/>
    <w:rsid w:val="00F734F1"/>
    <w:rsid w:val="00F748C6"/>
    <w:rsid w:val="00F77EDA"/>
    <w:rsid w:val="00F80A5B"/>
    <w:rsid w:val="00F81AA3"/>
    <w:rsid w:val="00F82597"/>
    <w:rsid w:val="00F85E5A"/>
    <w:rsid w:val="00F86DAC"/>
    <w:rsid w:val="00F87D81"/>
    <w:rsid w:val="00F91BDD"/>
    <w:rsid w:val="00F95F26"/>
    <w:rsid w:val="00F973DE"/>
    <w:rsid w:val="00F9795C"/>
    <w:rsid w:val="00FA0599"/>
    <w:rsid w:val="00FA1277"/>
    <w:rsid w:val="00FA4252"/>
    <w:rsid w:val="00FA6496"/>
    <w:rsid w:val="00FA6C79"/>
    <w:rsid w:val="00FB0D56"/>
    <w:rsid w:val="00FB1988"/>
    <w:rsid w:val="00FB2521"/>
    <w:rsid w:val="00FB2550"/>
    <w:rsid w:val="00FB550E"/>
    <w:rsid w:val="00FB5E24"/>
    <w:rsid w:val="00FB6648"/>
    <w:rsid w:val="00FC2FDF"/>
    <w:rsid w:val="00FC66B6"/>
    <w:rsid w:val="00FC683D"/>
    <w:rsid w:val="00FD04E6"/>
    <w:rsid w:val="00FD0EEC"/>
    <w:rsid w:val="00FD100D"/>
    <w:rsid w:val="00FD1BE7"/>
    <w:rsid w:val="00FD2856"/>
    <w:rsid w:val="00FD2893"/>
    <w:rsid w:val="00FD4295"/>
    <w:rsid w:val="00FD51CB"/>
    <w:rsid w:val="00FD5858"/>
    <w:rsid w:val="00FD6FB4"/>
    <w:rsid w:val="00FE111F"/>
    <w:rsid w:val="00FE70D9"/>
    <w:rsid w:val="00FF1A67"/>
    <w:rsid w:val="00FF3677"/>
    <w:rsid w:val="00FF38BB"/>
    <w:rsid w:val="00FF6750"/>
    <w:rsid w:val="00FF752C"/>
    <w:rsid w:val="00FF7E25"/>
    <w:rsid w:val="00FF7E51"/>
    <w:rsid w:val="0FB34514"/>
    <w:rsid w:val="22610E66"/>
    <w:rsid w:val="368AC7A9"/>
    <w:rsid w:val="3FAAEC74"/>
    <w:rsid w:val="53B4B392"/>
    <w:rsid w:val="53ECD060"/>
    <w:rsid w:val="645BC03E"/>
    <w:rsid w:val="67FAAF94"/>
    <w:rsid w:val="73512A6A"/>
    <w:rsid w:val="783F964D"/>
    <w:rsid w:val="7DC854A1"/>
    <w:rsid w:val="7E645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4EC4B"/>
  <w15:chartTrackingRefBased/>
  <w15:docId w15:val="{A47162C5-F259-4196-BF1D-AACF2931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ED5"/>
    <w:pPr>
      <w:widowControl w:val="0"/>
      <w:spacing w:before="100" w:after="100"/>
    </w:pPr>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2ED5"/>
    <w:rPr>
      <w:color w:val="0000FF"/>
      <w:u w:val="single"/>
    </w:rPr>
  </w:style>
  <w:style w:type="paragraph" w:styleId="BodyText">
    <w:name w:val="Body Text"/>
    <w:basedOn w:val="Normal"/>
    <w:link w:val="BodyTextChar"/>
    <w:rsid w:val="001A2ED5"/>
    <w:pPr>
      <w:spacing w:after="120"/>
    </w:pPr>
  </w:style>
  <w:style w:type="character" w:customStyle="1" w:styleId="BodyTextChar">
    <w:name w:val="Body Text Char"/>
    <w:link w:val="BodyText"/>
    <w:rsid w:val="001A2ED5"/>
    <w:rPr>
      <w:rFonts w:ascii="Times New Roman" w:eastAsia="Times New Roman" w:hAnsi="Times New Roman" w:cs="Times New Roman"/>
      <w:sz w:val="24"/>
      <w:szCs w:val="20"/>
    </w:rPr>
  </w:style>
  <w:style w:type="paragraph" w:styleId="CommentText">
    <w:name w:val="annotation text"/>
    <w:basedOn w:val="Normal"/>
    <w:link w:val="CommentTextChar"/>
    <w:rsid w:val="001A2ED5"/>
    <w:rPr>
      <w:sz w:val="20"/>
    </w:rPr>
  </w:style>
  <w:style w:type="character" w:customStyle="1" w:styleId="CommentTextChar">
    <w:name w:val="Comment Text Char"/>
    <w:link w:val="CommentText"/>
    <w:rsid w:val="001A2ED5"/>
    <w:rPr>
      <w:rFonts w:ascii="Times New Roman" w:eastAsia="Times New Roman" w:hAnsi="Times New Roman" w:cs="Times New Roman"/>
      <w:sz w:val="20"/>
      <w:szCs w:val="20"/>
    </w:rPr>
  </w:style>
  <w:style w:type="paragraph" w:styleId="Footer">
    <w:name w:val="footer"/>
    <w:basedOn w:val="Normal"/>
    <w:link w:val="FooterChar"/>
    <w:uiPriority w:val="99"/>
    <w:rsid w:val="001A2ED5"/>
    <w:pPr>
      <w:tabs>
        <w:tab w:val="center" w:pos="4320"/>
        <w:tab w:val="right" w:pos="8640"/>
      </w:tabs>
    </w:pPr>
  </w:style>
  <w:style w:type="character" w:customStyle="1" w:styleId="FooterChar">
    <w:name w:val="Footer Char"/>
    <w:link w:val="Footer"/>
    <w:uiPriority w:val="99"/>
    <w:rsid w:val="001A2ED5"/>
    <w:rPr>
      <w:rFonts w:ascii="Times New Roman" w:eastAsia="Times New Roman" w:hAnsi="Times New Roman" w:cs="Times New Roman"/>
      <w:sz w:val="24"/>
      <w:szCs w:val="20"/>
    </w:rPr>
  </w:style>
  <w:style w:type="character" w:styleId="CommentReference">
    <w:name w:val="annotation reference"/>
    <w:semiHidden/>
    <w:rsid w:val="001A2ED5"/>
    <w:rPr>
      <w:sz w:val="16"/>
      <w:szCs w:val="16"/>
    </w:rPr>
  </w:style>
  <w:style w:type="paragraph" w:styleId="BalloonText">
    <w:name w:val="Balloon Text"/>
    <w:basedOn w:val="Normal"/>
    <w:link w:val="BalloonTextChar"/>
    <w:uiPriority w:val="99"/>
    <w:semiHidden/>
    <w:unhideWhenUsed/>
    <w:rsid w:val="001A2ED5"/>
    <w:pPr>
      <w:spacing w:before="0" w:after="0"/>
    </w:pPr>
    <w:rPr>
      <w:rFonts w:ascii="Segoe UI" w:hAnsi="Segoe UI" w:cs="Segoe UI"/>
      <w:sz w:val="18"/>
      <w:szCs w:val="18"/>
    </w:rPr>
  </w:style>
  <w:style w:type="character" w:customStyle="1" w:styleId="BalloonTextChar">
    <w:name w:val="Balloon Text Char"/>
    <w:link w:val="BalloonText"/>
    <w:uiPriority w:val="99"/>
    <w:semiHidden/>
    <w:rsid w:val="001A2ED5"/>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77EDA"/>
    <w:rPr>
      <w:b/>
      <w:bCs/>
    </w:rPr>
  </w:style>
  <w:style w:type="character" w:customStyle="1" w:styleId="CommentSubjectChar">
    <w:name w:val="Comment Subject Char"/>
    <w:link w:val="CommentSubject"/>
    <w:uiPriority w:val="99"/>
    <w:semiHidden/>
    <w:rsid w:val="00F77EDA"/>
    <w:rPr>
      <w:rFonts w:ascii="Times New Roman" w:eastAsia="Times New Roman" w:hAnsi="Times New Roman" w:cs="Times New Roman"/>
      <w:b/>
      <w:bCs/>
      <w:sz w:val="20"/>
      <w:szCs w:val="20"/>
    </w:rPr>
  </w:style>
  <w:style w:type="character" w:styleId="FollowedHyperlink">
    <w:name w:val="FollowedHyperlink"/>
    <w:uiPriority w:val="99"/>
    <w:semiHidden/>
    <w:unhideWhenUsed/>
    <w:rsid w:val="00CB64FE"/>
    <w:rPr>
      <w:color w:val="954F72"/>
      <w:u w:val="single"/>
    </w:rPr>
  </w:style>
  <w:style w:type="paragraph" w:styleId="Header">
    <w:name w:val="header"/>
    <w:basedOn w:val="Normal"/>
    <w:link w:val="HeaderChar"/>
    <w:uiPriority w:val="99"/>
    <w:unhideWhenUsed/>
    <w:rsid w:val="00612EBC"/>
    <w:pPr>
      <w:tabs>
        <w:tab w:val="center" w:pos="4680"/>
        <w:tab w:val="right" w:pos="9360"/>
      </w:tabs>
      <w:spacing w:before="0" w:after="0"/>
    </w:pPr>
  </w:style>
  <w:style w:type="character" w:customStyle="1" w:styleId="HeaderChar">
    <w:name w:val="Header Char"/>
    <w:link w:val="Header"/>
    <w:uiPriority w:val="99"/>
    <w:rsid w:val="00612EBC"/>
    <w:rPr>
      <w:rFonts w:ascii="Times New Roman" w:eastAsia="Times New Roman" w:hAnsi="Times New Roman" w:cs="Times New Roman"/>
      <w:sz w:val="24"/>
      <w:szCs w:val="20"/>
    </w:rPr>
  </w:style>
  <w:style w:type="table" w:styleId="TableGrid">
    <w:name w:val="Table Grid"/>
    <w:basedOn w:val="TableNormal"/>
    <w:uiPriority w:val="39"/>
    <w:rsid w:val="00C32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D2856"/>
    <w:rPr>
      <w:color w:val="808080"/>
      <w:shd w:val="clear" w:color="auto" w:fill="E6E6E6"/>
    </w:rPr>
  </w:style>
  <w:style w:type="paragraph" w:styleId="ListParagraph">
    <w:name w:val="List Paragraph"/>
    <w:basedOn w:val="Normal"/>
    <w:uiPriority w:val="34"/>
    <w:qFormat/>
    <w:rsid w:val="005E0670"/>
    <w:pPr>
      <w:ind w:left="720"/>
      <w:contextualSpacing/>
    </w:pPr>
  </w:style>
  <w:style w:type="character" w:styleId="PlaceholderText">
    <w:name w:val="Placeholder Text"/>
    <w:uiPriority w:val="99"/>
    <w:semiHidden/>
    <w:rsid w:val="00A0276A"/>
    <w:rPr>
      <w:color w:val="808080"/>
    </w:rPr>
  </w:style>
  <w:style w:type="character" w:styleId="Mention">
    <w:name w:val="Mention"/>
    <w:uiPriority w:val="99"/>
    <w:unhideWhenUsed/>
    <w:rPr>
      <w:color w:val="2B579A"/>
      <w:shd w:val="clear" w:color="auto" w:fill="E6E6E6"/>
    </w:rPr>
  </w:style>
  <w:style w:type="paragraph" w:styleId="Revision">
    <w:name w:val="Revision"/>
    <w:hidden/>
    <w:uiPriority w:val="99"/>
    <w:semiHidden/>
    <w:rsid w:val="000758C0"/>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809527">
      <w:bodyDiv w:val="1"/>
      <w:marLeft w:val="0"/>
      <w:marRight w:val="0"/>
      <w:marTop w:val="0"/>
      <w:marBottom w:val="0"/>
      <w:divBdr>
        <w:top w:val="none" w:sz="0" w:space="0" w:color="auto"/>
        <w:left w:val="none" w:sz="0" w:space="0" w:color="auto"/>
        <w:bottom w:val="none" w:sz="0" w:space="0" w:color="auto"/>
        <w:right w:val="none" w:sz="0" w:space="0" w:color="auto"/>
      </w:divBdr>
    </w:div>
    <w:div w:id="114199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DF6E3-826E-4367-ACDF-917C8685C4F2}">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2.xml><?xml version="1.0" encoding="utf-8"?>
<ds:datastoreItem xmlns:ds="http://schemas.openxmlformats.org/officeDocument/2006/customXml" ds:itemID="{BAB912E6-BF86-4FA6-B04E-2D88C6FB1A16}">
  <ds:schemaRefs>
    <ds:schemaRef ds:uri="http://schemas.openxmlformats.org/officeDocument/2006/bibliography"/>
  </ds:schemaRefs>
</ds:datastoreItem>
</file>

<file path=customXml/itemProps3.xml><?xml version="1.0" encoding="utf-8"?>
<ds:datastoreItem xmlns:ds="http://schemas.openxmlformats.org/officeDocument/2006/customXml" ds:itemID="{83C1E4A7-19BF-47B6-9671-49BCD4FCF13F}"/>
</file>

<file path=customXml/itemProps4.xml><?xml version="1.0" encoding="utf-8"?>
<ds:datastoreItem xmlns:ds="http://schemas.openxmlformats.org/officeDocument/2006/customXml" ds:itemID="{A2A7C2AA-EE77-4F80-96E1-847B9CCDE5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1234</Words>
  <Characters>6776</Characters>
  <Application>Microsoft Office Word</Application>
  <DocSecurity>0</DocSecurity>
  <Lines>170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Smith</dc:creator>
  <cp:keywords/>
  <dc:description/>
  <cp:lastModifiedBy>Swanson, Beth</cp:lastModifiedBy>
  <cp:revision>34</cp:revision>
  <dcterms:created xsi:type="dcterms:W3CDTF">2024-03-25T19:03:00Z</dcterms:created>
  <dcterms:modified xsi:type="dcterms:W3CDTF">2026-01-22T13:46:00Z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