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C936" w14:textId="77777777" w:rsidR="00200D6B" w:rsidRPr="00984B8B" w:rsidRDefault="003A10FC">
      <w:pPr>
        <w:pStyle w:val="Title"/>
        <w:rPr>
          <w:rFonts w:ascii="Bookman Old Style" w:hAnsi="Bookman Old Style"/>
        </w:rPr>
      </w:pPr>
      <w:r w:rsidRPr="00984B8B">
        <w:rPr>
          <w:rFonts w:ascii="Bookman Old Style" w:hAnsi="Bookman Old Style"/>
        </w:rPr>
        <w:t>DE</w:t>
      </w:r>
      <w:r w:rsidR="00984B8B" w:rsidRPr="00984B8B">
        <w:rPr>
          <w:rFonts w:ascii="Bookman Old Style" w:hAnsi="Bookman Old Style"/>
        </w:rPr>
        <w:t>Q</w:t>
      </w:r>
      <w:r w:rsidRPr="00984B8B">
        <w:rPr>
          <w:rFonts w:ascii="Bookman Old Style" w:hAnsi="Bookman Old Style"/>
        </w:rPr>
        <w:t>/DW</w:t>
      </w:r>
      <w:r w:rsidR="00984B8B" w:rsidRPr="00984B8B">
        <w:rPr>
          <w:rFonts w:ascii="Bookman Old Style" w:hAnsi="Bookman Old Style"/>
        </w:rPr>
        <w:t>R</w:t>
      </w:r>
    </w:p>
    <w:p w14:paraId="73E1F375" w14:textId="77777777" w:rsidR="00200D6B" w:rsidRDefault="003A10FC">
      <w:pPr>
        <w:ind w:right="-25"/>
        <w:jc w:val="center"/>
        <w:rPr>
          <w:rFonts w:ascii="Bookman Old Style" w:hAnsi="Bookman Old Style"/>
          <w:b/>
        </w:rPr>
      </w:pPr>
      <w:r w:rsidRPr="00984B8B">
        <w:rPr>
          <w:rFonts w:ascii="Bookman Old Style" w:hAnsi="Bookman Old Style"/>
          <w:b/>
        </w:rPr>
        <w:t>FACT SHEET FOR NPDES PERMIT DEVELOPMENT</w:t>
      </w:r>
    </w:p>
    <w:p w14:paraId="3E45C8D0" w14:textId="77777777" w:rsidR="00BA60CC" w:rsidRPr="00984B8B" w:rsidRDefault="00FD633E">
      <w:pPr>
        <w:ind w:right="-25"/>
        <w:jc w:val="center"/>
        <w:rPr>
          <w:rFonts w:ascii="Bookman Old Style" w:hAnsi="Bookman Old Style"/>
        </w:rPr>
      </w:pPr>
      <w:r>
        <w:rPr>
          <w:rFonts w:ascii="Bookman Old Style" w:hAnsi="Bookman Old Style"/>
          <w:b/>
        </w:rPr>
        <w:t>MAJOR</w:t>
      </w:r>
      <w:r w:rsidR="00BA60CC">
        <w:rPr>
          <w:rFonts w:ascii="Bookman Old Style" w:hAnsi="Bookman Old Style"/>
          <w:b/>
        </w:rPr>
        <w:t xml:space="preserve"> MODIFICATION</w:t>
      </w:r>
    </w:p>
    <w:p w14:paraId="1635B067" w14:textId="77777777" w:rsidR="00200D6B" w:rsidRPr="00984B8B" w:rsidRDefault="003A10FC">
      <w:pPr>
        <w:ind w:right="-25"/>
        <w:jc w:val="center"/>
        <w:rPr>
          <w:rFonts w:ascii="Bookman Old Style" w:hAnsi="Bookman Old Style"/>
        </w:rPr>
      </w:pPr>
      <w:r w:rsidRPr="00984B8B">
        <w:rPr>
          <w:rFonts w:ascii="Bookman Old Style" w:hAnsi="Bookman Old Style"/>
        </w:rPr>
        <w:t xml:space="preserve">NPDES No. NC0038377, </w:t>
      </w:r>
      <w:r w:rsidR="004C0754" w:rsidRPr="00984B8B">
        <w:rPr>
          <w:rFonts w:ascii="Bookman Old Style" w:hAnsi="Bookman Old Style"/>
        </w:rPr>
        <w:t xml:space="preserve">Duke Energy </w:t>
      </w:r>
      <w:r w:rsidRPr="00984B8B">
        <w:rPr>
          <w:rFonts w:ascii="Bookman Old Style" w:hAnsi="Bookman Old Style"/>
        </w:rPr>
        <w:t xml:space="preserve">Progress, </w:t>
      </w:r>
      <w:r w:rsidR="00984B8B" w:rsidRPr="00984B8B">
        <w:rPr>
          <w:rFonts w:ascii="Bookman Old Style" w:hAnsi="Bookman Old Style"/>
        </w:rPr>
        <w:t>LLC</w:t>
      </w:r>
      <w:r w:rsidRPr="00984B8B">
        <w:rPr>
          <w:rFonts w:ascii="Bookman Old Style" w:hAnsi="Bookman Old Style"/>
        </w:rPr>
        <w:t xml:space="preserve"> </w:t>
      </w:r>
    </w:p>
    <w:p w14:paraId="24BD14EB" w14:textId="77777777" w:rsidR="00200D6B" w:rsidRDefault="003A10FC">
      <w:pPr>
        <w:ind w:right="-25"/>
        <w:jc w:val="center"/>
        <w:rPr>
          <w:rFonts w:ascii="Bookman Old Style" w:hAnsi="Bookman Old Style"/>
        </w:rPr>
      </w:pPr>
      <w:r w:rsidRPr="00984B8B">
        <w:rPr>
          <w:rFonts w:ascii="Bookman Old Style" w:hAnsi="Bookman Old Style"/>
        </w:rPr>
        <w:t>Mayo Steam Electric Generating Plant</w:t>
      </w:r>
    </w:p>
    <w:tbl>
      <w:tblPr>
        <w:tblW w:w="9720" w:type="dxa"/>
        <w:tblInd w:w="-72" w:type="dxa"/>
        <w:tblLayout w:type="fixed"/>
        <w:tblLook w:val="0000" w:firstRow="0" w:lastRow="0" w:firstColumn="0" w:lastColumn="0" w:noHBand="0" w:noVBand="0"/>
      </w:tblPr>
      <w:tblGrid>
        <w:gridCol w:w="2700"/>
        <w:gridCol w:w="252"/>
        <w:gridCol w:w="1818"/>
        <w:gridCol w:w="2160"/>
        <w:gridCol w:w="2790"/>
      </w:tblGrid>
      <w:tr w:rsidR="00200D6B" w:rsidRPr="00984B8B" w14:paraId="78839EB8" w14:textId="77777777" w:rsidTr="00FF392E">
        <w:trPr>
          <w:cantSplit/>
          <w:trHeight w:val="641"/>
        </w:trPr>
        <w:tc>
          <w:tcPr>
            <w:tcW w:w="9720" w:type="dxa"/>
            <w:gridSpan w:val="5"/>
            <w:tcBorders>
              <w:top w:val="single" w:sz="12" w:space="0" w:color="auto"/>
              <w:left w:val="single" w:sz="12" w:space="0" w:color="auto"/>
              <w:bottom w:val="double" w:sz="6" w:space="0" w:color="auto"/>
              <w:right w:val="single" w:sz="12" w:space="0" w:color="auto"/>
            </w:tcBorders>
            <w:shd w:val="pct5" w:color="auto" w:fill="FFFFFF"/>
          </w:tcPr>
          <w:p w14:paraId="04D84960" w14:textId="77777777" w:rsidR="00200D6B" w:rsidRPr="00FF392E" w:rsidRDefault="003A10FC" w:rsidP="00066C0C">
            <w:pPr>
              <w:pStyle w:val="Heading1"/>
              <w:rPr>
                <w:rFonts w:ascii="Bookman Old Style" w:hAnsi="Bookman Old Style"/>
                <w:b w:val="0"/>
                <w:sz w:val="24"/>
                <w:szCs w:val="24"/>
              </w:rPr>
            </w:pPr>
            <w:r w:rsidRPr="00FF392E">
              <w:rPr>
                <w:rFonts w:ascii="Bookman Old Style" w:hAnsi="Bookman Old Style"/>
                <w:b w:val="0"/>
                <w:sz w:val="24"/>
                <w:szCs w:val="24"/>
              </w:rPr>
              <w:t>Facility Information</w:t>
            </w:r>
          </w:p>
        </w:tc>
      </w:tr>
      <w:tr w:rsidR="00200D6B" w:rsidRPr="00984B8B" w14:paraId="18167E8B" w14:textId="77777777">
        <w:trPr>
          <w:cantSplit/>
        </w:trPr>
        <w:tc>
          <w:tcPr>
            <w:tcW w:w="2700" w:type="dxa"/>
            <w:tcBorders>
              <w:top w:val="double" w:sz="6" w:space="0" w:color="auto"/>
              <w:left w:val="single" w:sz="12" w:space="0" w:color="auto"/>
              <w:bottom w:val="single" w:sz="6" w:space="0" w:color="auto"/>
              <w:right w:val="single" w:sz="6" w:space="0" w:color="auto"/>
            </w:tcBorders>
            <w:shd w:val="pct5" w:color="auto" w:fill="FFFFFF"/>
          </w:tcPr>
          <w:p w14:paraId="6C6CF78C" w14:textId="77777777" w:rsidR="00200D6B" w:rsidRPr="00984B8B" w:rsidRDefault="003A10FC">
            <w:pPr>
              <w:rPr>
                <w:rFonts w:ascii="Bookman Old Style" w:hAnsi="Bookman Old Style"/>
                <w:sz w:val="20"/>
              </w:rPr>
            </w:pPr>
            <w:r w:rsidRPr="00984B8B">
              <w:rPr>
                <w:rFonts w:ascii="Bookman Old Style" w:hAnsi="Bookman Old Style"/>
                <w:sz w:val="20"/>
              </w:rPr>
              <w:t xml:space="preserve">Applicant/Facility Name:  </w:t>
            </w:r>
          </w:p>
        </w:tc>
        <w:tc>
          <w:tcPr>
            <w:tcW w:w="7020" w:type="dxa"/>
            <w:gridSpan w:val="4"/>
            <w:tcBorders>
              <w:top w:val="double" w:sz="6" w:space="0" w:color="auto"/>
              <w:left w:val="single" w:sz="6" w:space="0" w:color="auto"/>
              <w:bottom w:val="single" w:sz="6" w:space="0" w:color="auto"/>
              <w:right w:val="single" w:sz="12" w:space="0" w:color="auto"/>
            </w:tcBorders>
          </w:tcPr>
          <w:p w14:paraId="2B6195B2" w14:textId="77777777" w:rsidR="00200D6B" w:rsidRPr="00984B8B" w:rsidRDefault="004C0754">
            <w:pPr>
              <w:ind w:right="-25"/>
              <w:rPr>
                <w:rFonts w:ascii="Bookman Old Style" w:hAnsi="Bookman Old Style"/>
                <w:sz w:val="20"/>
              </w:rPr>
            </w:pPr>
            <w:r w:rsidRPr="00984B8B">
              <w:rPr>
                <w:rFonts w:ascii="Bookman Old Style" w:hAnsi="Bookman Old Style"/>
                <w:sz w:val="20"/>
              </w:rPr>
              <w:t xml:space="preserve">Duke </w:t>
            </w:r>
            <w:r w:rsidR="003A10FC" w:rsidRPr="00984B8B">
              <w:rPr>
                <w:rFonts w:ascii="Bookman Old Style" w:hAnsi="Bookman Old Style"/>
                <w:sz w:val="20"/>
              </w:rPr>
              <w:t xml:space="preserve">Energy </w:t>
            </w:r>
            <w:r w:rsidRPr="00984B8B">
              <w:rPr>
                <w:rFonts w:ascii="Bookman Old Style" w:hAnsi="Bookman Old Style"/>
                <w:sz w:val="20"/>
              </w:rPr>
              <w:t>Progress</w:t>
            </w:r>
            <w:r w:rsidR="003A10FC" w:rsidRPr="00984B8B">
              <w:rPr>
                <w:rFonts w:ascii="Bookman Old Style" w:hAnsi="Bookman Old Style"/>
                <w:sz w:val="20"/>
              </w:rPr>
              <w:t>/Mayo Steam Electric Generating Plant</w:t>
            </w:r>
          </w:p>
          <w:p w14:paraId="59B88D6D" w14:textId="77777777" w:rsidR="00200D6B" w:rsidRPr="00984B8B" w:rsidRDefault="00200D6B">
            <w:pPr>
              <w:rPr>
                <w:rFonts w:ascii="Bookman Old Style" w:hAnsi="Bookman Old Style"/>
                <w:sz w:val="20"/>
              </w:rPr>
            </w:pPr>
          </w:p>
        </w:tc>
      </w:tr>
      <w:tr w:rsidR="00200D6B" w:rsidRPr="00984B8B" w14:paraId="7175319A" w14:textId="77777777">
        <w:trPr>
          <w:cantSplit/>
        </w:trPr>
        <w:tc>
          <w:tcPr>
            <w:tcW w:w="2700" w:type="dxa"/>
            <w:tcBorders>
              <w:top w:val="single" w:sz="6" w:space="0" w:color="auto"/>
              <w:left w:val="single" w:sz="12" w:space="0" w:color="auto"/>
              <w:bottom w:val="single" w:sz="6" w:space="0" w:color="auto"/>
              <w:right w:val="single" w:sz="6" w:space="0" w:color="auto"/>
            </w:tcBorders>
            <w:shd w:val="pct5" w:color="auto" w:fill="FFFFFF"/>
          </w:tcPr>
          <w:p w14:paraId="32015C36" w14:textId="77777777" w:rsidR="00200D6B" w:rsidRPr="00984B8B" w:rsidRDefault="003A10FC">
            <w:pPr>
              <w:rPr>
                <w:rFonts w:ascii="Bookman Old Style" w:hAnsi="Bookman Old Style"/>
                <w:sz w:val="20"/>
              </w:rPr>
            </w:pPr>
            <w:r w:rsidRPr="00984B8B">
              <w:rPr>
                <w:rFonts w:ascii="Bookman Old Style" w:hAnsi="Bookman Old Style"/>
                <w:sz w:val="20"/>
              </w:rPr>
              <w:t>Applicant Address:</w:t>
            </w:r>
          </w:p>
        </w:tc>
        <w:tc>
          <w:tcPr>
            <w:tcW w:w="7020" w:type="dxa"/>
            <w:gridSpan w:val="4"/>
            <w:tcBorders>
              <w:top w:val="single" w:sz="6" w:space="0" w:color="auto"/>
              <w:left w:val="single" w:sz="6" w:space="0" w:color="auto"/>
              <w:bottom w:val="single" w:sz="6" w:space="0" w:color="auto"/>
              <w:right w:val="single" w:sz="12" w:space="0" w:color="auto"/>
            </w:tcBorders>
          </w:tcPr>
          <w:p w14:paraId="793B428E" w14:textId="77777777" w:rsidR="00200D6B" w:rsidRPr="00984B8B" w:rsidRDefault="003A10FC">
            <w:pPr>
              <w:ind w:right="-936"/>
              <w:rPr>
                <w:rFonts w:ascii="Bookman Old Style" w:hAnsi="Bookman Old Style"/>
                <w:sz w:val="20"/>
              </w:rPr>
            </w:pPr>
            <w:r w:rsidRPr="00984B8B">
              <w:rPr>
                <w:rFonts w:ascii="Bookman Old Style" w:hAnsi="Bookman Old Style"/>
                <w:sz w:val="20"/>
              </w:rPr>
              <w:t>10660 Boston Road, Roxboro, NC 27573</w:t>
            </w:r>
          </w:p>
        </w:tc>
      </w:tr>
      <w:tr w:rsidR="00200D6B" w:rsidRPr="00984B8B" w14:paraId="0040F283" w14:textId="77777777">
        <w:trPr>
          <w:cantSplit/>
        </w:trPr>
        <w:tc>
          <w:tcPr>
            <w:tcW w:w="2700" w:type="dxa"/>
            <w:tcBorders>
              <w:top w:val="single" w:sz="6" w:space="0" w:color="auto"/>
              <w:left w:val="single" w:sz="12" w:space="0" w:color="auto"/>
              <w:bottom w:val="single" w:sz="6" w:space="0" w:color="auto"/>
              <w:right w:val="single" w:sz="6" w:space="0" w:color="auto"/>
            </w:tcBorders>
            <w:shd w:val="pct5" w:color="auto" w:fill="FFFFFF"/>
          </w:tcPr>
          <w:p w14:paraId="37FCD011" w14:textId="77777777" w:rsidR="00200D6B" w:rsidRPr="00984B8B" w:rsidRDefault="003A10FC">
            <w:pPr>
              <w:rPr>
                <w:rFonts w:ascii="Bookman Old Style" w:hAnsi="Bookman Old Style"/>
                <w:sz w:val="20"/>
              </w:rPr>
            </w:pPr>
            <w:r w:rsidRPr="00984B8B">
              <w:rPr>
                <w:rFonts w:ascii="Bookman Old Style" w:hAnsi="Bookman Old Style"/>
                <w:sz w:val="20"/>
              </w:rPr>
              <w:t>Facility Address:</w:t>
            </w:r>
          </w:p>
        </w:tc>
        <w:tc>
          <w:tcPr>
            <w:tcW w:w="7020" w:type="dxa"/>
            <w:gridSpan w:val="4"/>
            <w:tcBorders>
              <w:top w:val="single" w:sz="6" w:space="0" w:color="auto"/>
              <w:left w:val="single" w:sz="6" w:space="0" w:color="auto"/>
              <w:bottom w:val="single" w:sz="6" w:space="0" w:color="auto"/>
              <w:right w:val="single" w:sz="12" w:space="0" w:color="auto"/>
            </w:tcBorders>
          </w:tcPr>
          <w:p w14:paraId="78C6DE09" w14:textId="77777777" w:rsidR="00200D6B" w:rsidRPr="00984B8B" w:rsidRDefault="003A10FC">
            <w:pPr>
              <w:rPr>
                <w:rFonts w:ascii="Bookman Old Style" w:hAnsi="Bookman Old Style"/>
                <w:sz w:val="20"/>
              </w:rPr>
            </w:pPr>
            <w:r w:rsidRPr="00984B8B">
              <w:rPr>
                <w:rFonts w:ascii="Bookman Old Style" w:hAnsi="Bookman Old Style"/>
                <w:sz w:val="20"/>
              </w:rPr>
              <w:t>(same)</w:t>
            </w:r>
          </w:p>
        </w:tc>
      </w:tr>
      <w:tr w:rsidR="00200D6B" w:rsidRPr="00984B8B" w14:paraId="0DDD8C4D" w14:textId="77777777">
        <w:trPr>
          <w:cantSplit/>
        </w:trPr>
        <w:tc>
          <w:tcPr>
            <w:tcW w:w="2700" w:type="dxa"/>
            <w:tcBorders>
              <w:top w:val="single" w:sz="6" w:space="0" w:color="auto"/>
              <w:left w:val="single" w:sz="12" w:space="0" w:color="auto"/>
              <w:bottom w:val="single" w:sz="6" w:space="0" w:color="auto"/>
              <w:right w:val="single" w:sz="6" w:space="0" w:color="auto"/>
            </w:tcBorders>
            <w:shd w:val="pct5" w:color="auto" w:fill="FFFFFF"/>
          </w:tcPr>
          <w:p w14:paraId="56A44D27" w14:textId="77777777" w:rsidR="00200D6B" w:rsidRPr="00984B8B" w:rsidRDefault="003A10FC">
            <w:pPr>
              <w:rPr>
                <w:rFonts w:ascii="Bookman Old Style" w:hAnsi="Bookman Old Style"/>
                <w:sz w:val="20"/>
              </w:rPr>
            </w:pPr>
            <w:r w:rsidRPr="00984B8B">
              <w:rPr>
                <w:rFonts w:ascii="Bookman Old Style" w:hAnsi="Bookman Old Style"/>
                <w:sz w:val="20"/>
              </w:rPr>
              <w:t>Permitted Flow</w:t>
            </w:r>
          </w:p>
        </w:tc>
        <w:tc>
          <w:tcPr>
            <w:tcW w:w="7020" w:type="dxa"/>
            <w:gridSpan w:val="4"/>
            <w:tcBorders>
              <w:top w:val="single" w:sz="6" w:space="0" w:color="auto"/>
              <w:left w:val="single" w:sz="6" w:space="0" w:color="auto"/>
              <w:bottom w:val="single" w:sz="6" w:space="0" w:color="auto"/>
              <w:right w:val="single" w:sz="12" w:space="0" w:color="auto"/>
            </w:tcBorders>
          </w:tcPr>
          <w:p w14:paraId="7830A888" w14:textId="77777777" w:rsidR="00200D6B" w:rsidRPr="00984B8B" w:rsidRDefault="003A10FC">
            <w:pPr>
              <w:rPr>
                <w:rFonts w:ascii="Bookman Old Style" w:hAnsi="Bookman Old Style"/>
                <w:sz w:val="20"/>
              </w:rPr>
            </w:pPr>
            <w:r w:rsidRPr="00984B8B">
              <w:rPr>
                <w:rFonts w:ascii="Bookman Old Style" w:hAnsi="Bookman Old Style"/>
                <w:sz w:val="20"/>
              </w:rPr>
              <w:t>Not limited</w:t>
            </w:r>
          </w:p>
          <w:p w14:paraId="7DBE700D" w14:textId="77777777" w:rsidR="00200D6B" w:rsidRPr="00984B8B" w:rsidRDefault="00200D6B">
            <w:pPr>
              <w:rPr>
                <w:rFonts w:ascii="Bookman Old Style" w:hAnsi="Bookman Old Style"/>
                <w:b/>
                <w:bCs/>
                <w:sz w:val="20"/>
              </w:rPr>
            </w:pPr>
          </w:p>
        </w:tc>
      </w:tr>
      <w:tr w:rsidR="00200D6B" w:rsidRPr="00984B8B" w14:paraId="32615EE3" w14:textId="77777777">
        <w:trPr>
          <w:cantSplit/>
        </w:trPr>
        <w:tc>
          <w:tcPr>
            <w:tcW w:w="2700" w:type="dxa"/>
            <w:tcBorders>
              <w:top w:val="single" w:sz="6" w:space="0" w:color="auto"/>
              <w:left w:val="single" w:sz="12" w:space="0" w:color="auto"/>
              <w:bottom w:val="single" w:sz="6" w:space="0" w:color="auto"/>
              <w:right w:val="single" w:sz="6" w:space="0" w:color="auto"/>
            </w:tcBorders>
            <w:shd w:val="pct5" w:color="auto" w:fill="FFFFFF"/>
          </w:tcPr>
          <w:p w14:paraId="075C16E8" w14:textId="77777777" w:rsidR="00200D6B" w:rsidRPr="00984B8B" w:rsidRDefault="003A10FC">
            <w:pPr>
              <w:rPr>
                <w:rFonts w:ascii="Bookman Old Style" w:hAnsi="Bookman Old Style"/>
                <w:sz w:val="20"/>
              </w:rPr>
            </w:pPr>
            <w:r w:rsidRPr="00984B8B">
              <w:rPr>
                <w:rFonts w:ascii="Bookman Old Style" w:hAnsi="Bookman Old Style"/>
                <w:sz w:val="20"/>
              </w:rPr>
              <w:t>Type of Waste:</w:t>
            </w:r>
          </w:p>
        </w:tc>
        <w:tc>
          <w:tcPr>
            <w:tcW w:w="7020" w:type="dxa"/>
            <w:gridSpan w:val="4"/>
            <w:tcBorders>
              <w:top w:val="single" w:sz="6" w:space="0" w:color="auto"/>
              <w:left w:val="single" w:sz="6" w:space="0" w:color="auto"/>
              <w:bottom w:val="single" w:sz="6" w:space="0" w:color="auto"/>
              <w:right w:val="single" w:sz="12" w:space="0" w:color="auto"/>
            </w:tcBorders>
          </w:tcPr>
          <w:p w14:paraId="72E766D8" w14:textId="77777777" w:rsidR="00200D6B" w:rsidRPr="00984B8B" w:rsidRDefault="003A10FC">
            <w:pPr>
              <w:rPr>
                <w:rFonts w:ascii="Bookman Old Style" w:hAnsi="Bookman Old Style"/>
                <w:sz w:val="20"/>
              </w:rPr>
            </w:pPr>
            <w:r w:rsidRPr="00984B8B">
              <w:rPr>
                <w:rFonts w:ascii="Bookman Old Style" w:hAnsi="Bookman Old Style"/>
                <w:sz w:val="20"/>
              </w:rPr>
              <w:t>99.8 % Industrial, 0.2% - domestic</w:t>
            </w:r>
          </w:p>
        </w:tc>
      </w:tr>
      <w:tr w:rsidR="00200D6B" w:rsidRPr="00984B8B" w14:paraId="202B7F8B" w14:textId="77777777">
        <w:trPr>
          <w:cantSplit/>
        </w:trPr>
        <w:tc>
          <w:tcPr>
            <w:tcW w:w="2700" w:type="dxa"/>
            <w:tcBorders>
              <w:top w:val="single" w:sz="6" w:space="0" w:color="auto"/>
              <w:left w:val="single" w:sz="12" w:space="0" w:color="auto"/>
              <w:bottom w:val="single" w:sz="6" w:space="0" w:color="auto"/>
              <w:right w:val="single" w:sz="6" w:space="0" w:color="auto"/>
            </w:tcBorders>
            <w:shd w:val="pct5" w:color="auto" w:fill="FFFFFF"/>
          </w:tcPr>
          <w:p w14:paraId="5C81EC07" w14:textId="77777777" w:rsidR="00200D6B" w:rsidRPr="00984B8B" w:rsidRDefault="003A10FC">
            <w:pPr>
              <w:rPr>
                <w:rFonts w:ascii="Bookman Old Style" w:hAnsi="Bookman Old Style"/>
                <w:sz w:val="20"/>
              </w:rPr>
            </w:pPr>
            <w:r w:rsidRPr="00984B8B">
              <w:rPr>
                <w:rFonts w:ascii="Bookman Old Style" w:hAnsi="Bookman Old Style"/>
                <w:sz w:val="20"/>
              </w:rPr>
              <w:t>Facility/Permit Status:</w:t>
            </w:r>
          </w:p>
        </w:tc>
        <w:tc>
          <w:tcPr>
            <w:tcW w:w="7020" w:type="dxa"/>
            <w:gridSpan w:val="4"/>
            <w:tcBorders>
              <w:top w:val="single" w:sz="6" w:space="0" w:color="auto"/>
              <w:left w:val="single" w:sz="6" w:space="0" w:color="auto"/>
              <w:right w:val="single" w:sz="12" w:space="0" w:color="auto"/>
            </w:tcBorders>
          </w:tcPr>
          <w:p w14:paraId="7F489FE8" w14:textId="77777777" w:rsidR="00200D6B" w:rsidRPr="00984B8B" w:rsidRDefault="003A10FC" w:rsidP="009276A1">
            <w:pPr>
              <w:rPr>
                <w:rFonts w:ascii="Bookman Old Style" w:hAnsi="Bookman Old Style"/>
                <w:sz w:val="20"/>
              </w:rPr>
            </w:pPr>
            <w:r w:rsidRPr="00984B8B">
              <w:rPr>
                <w:rFonts w:ascii="Bookman Old Style" w:hAnsi="Bookman Old Style"/>
                <w:sz w:val="20"/>
              </w:rPr>
              <w:t>Existing/</w:t>
            </w:r>
            <w:r w:rsidR="009276A1" w:rsidRPr="00984B8B">
              <w:rPr>
                <w:rFonts w:ascii="Bookman Old Style" w:hAnsi="Bookman Old Style"/>
                <w:sz w:val="20"/>
              </w:rPr>
              <w:t>Renewal</w:t>
            </w:r>
          </w:p>
        </w:tc>
      </w:tr>
      <w:tr w:rsidR="00200D6B" w:rsidRPr="00984B8B" w14:paraId="04C0F56C" w14:textId="77777777">
        <w:trPr>
          <w:cantSplit/>
        </w:trPr>
        <w:tc>
          <w:tcPr>
            <w:tcW w:w="2700" w:type="dxa"/>
            <w:tcBorders>
              <w:top w:val="single" w:sz="6" w:space="0" w:color="auto"/>
              <w:left w:val="single" w:sz="12" w:space="0" w:color="auto"/>
              <w:right w:val="single" w:sz="6" w:space="0" w:color="auto"/>
            </w:tcBorders>
            <w:shd w:val="pct5" w:color="auto" w:fill="FFFFFF"/>
          </w:tcPr>
          <w:p w14:paraId="3FC8BF81" w14:textId="77777777" w:rsidR="00200D6B" w:rsidRPr="00984B8B" w:rsidRDefault="003A10FC">
            <w:pPr>
              <w:rPr>
                <w:rFonts w:ascii="Bookman Old Style" w:hAnsi="Bookman Old Style"/>
                <w:sz w:val="20"/>
              </w:rPr>
            </w:pPr>
            <w:r w:rsidRPr="00984B8B">
              <w:rPr>
                <w:rFonts w:ascii="Bookman Old Style" w:hAnsi="Bookman Old Style"/>
                <w:sz w:val="20"/>
              </w:rPr>
              <w:t>County:</w:t>
            </w:r>
          </w:p>
        </w:tc>
        <w:tc>
          <w:tcPr>
            <w:tcW w:w="7020" w:type="dxa"/>
            <w:gridSpan w:val="4"/>
            <w:tcBorders>
              <w:top w:val="single" w:sz="6" w:space="0" w:color="auto"/>
              <w:left w:val="single" w:sz="6" w:space="0" w:color="auto"/>
              <w:right w:val="single" w:sz="12" w:space="0" w:color="auto"/>
            </w:tcBorders>
          </w:tcPr>
          <w:p w14:paraId="136780B2" w14:textId="77777777" w:rsidR="00200D6B" w:rsidRPr="00984B8B" w:rsidRDefault="003A10FC">
            <w:pPr>
              <w:rPr>
                <w:rFonts w:ascii="Bookman Old Style" w:hAnsi="Bookman Old Style"/>
                <w:sz w:val="20"/>
              </w:rPr>
            </w:pPr>
            <w:r w:rsidRPr="00984B8B">
              <w:rPr>
                <w:rFonts w:ascii="Bookman Old Style" w:hAnsi="Bookman Old Style"/>
                <w:sz w:val="20"/>
              </w:rPr>
              <w:t>Person</w:t>
            </w:r>
          </w:p>
        </w:tc>
      </w:tr>
      <w:tr w:rsidR="00200D6B" w:rsidRPr="00984B8B" w14:paraId="3BB89617" w14:textId="77777777">
        <w:trPr>
          <w:cantSplit/>
        </w:trPr>
        <w:tc>
          <w:tcPr>
            <w:tcW w:w="9720" w:type="dxa"/>
            <w:gridSpan w:val="5"/>
            <w:tcBorders>
              <w:top w:val="single" w:sz="12" w:space="0" w:color="auto"/>
              <w:left w:val="single" w:sz="12" w:space="0" w:color="auto"/>
              <w:bottom w:val="double" w:sz="6" w:space="0" w:color="auto"/>
              <w:right w:val="single" w:sz="12" w:space="0" w:color="auto"/>
            </w:tcBorders>
            <w:shd w:val="pct5" w:color="auto" w:fill="FFFFFF"/>
          </w:tcPr>
          <w:p w14:paraId="7993F205" w14:textId="77777777" w:rsidR="00200D6B" w:rsidRPr="00984B8B" w:rsidRDefault="003A10FC">
            <w:pPr>
              <w:pStyle w:val="Heading1"/>
              <w:rPr>
                <w:rFonts w:ascii="Bookman Old Style" w:hAnsi="Bookman Old Style"/>
              </w:rPr>
            </w:pPr>
            <w:r w:rsidRPr="00984B8B">
              <w:rPr>
                <w:rFonts w:ascii="Bookman Old Style" w:hAnsi="Bookman Old Style"/>
              </w:rPr>
              <w:t>Miscellaneous</w:t>
            </w:r>
          </w:p>
        </w:tc>
      </w:tr>
      <w:tr w:rsidR="00200D6B" w:rsidRPr="00984B8B" w14:paraId="64F539C2" w14:textId="77777777" w:rsidTr="005C3F91">
        <w:trPr>
          <w:cantSplit/>
        </w:trPr>
        <w:tc>
          <w:tcPr>
            <w:tcW w:w="2952" w:type="dxa"/>
            <w:gridSpan w:val="2"/>
            <w:tcBorders>
              <w:top w:val="double" w:sz="6" w:space="0" w:color="auto"/>
              <w:left w:val="single" w:sz="12" w:space="0" w:color="auto"/>
              <w:bottom w:val="single" w:sz="6" w:space="0" w:color="auto"/>
              <w:right w:val="single" w:sz="6" w:space="0" w:color="auto"/>
            </w:tcBorders>
            <w:shd w:val="pct5" w:color="auto" w:fill="FFFFFF"/>
          </w:tcPr>
          <w:p w14:paraId="3362B5F7" w14:textId="77777777" w:rsidR="00200D6B" w:rsidRPr="00984B8B" w:rsidRDefault="003A10FC">
            <w:pPr>
              <w:rPr>
                <w:rFonts w:ascii="Bookman Old Style" w:hAnsi="Bookman Old Style"/>
                <w:sz w:val="20"/>
              </w:rPr>
            </w:pPr>
            <w:r w:rsidRPr="00984B8B">
              <w:rPr>
                <w:rFonts w:ascii="Bookman Old Style" w:hAnsi="Bookman Old Style"/>
                <w:sz w:val="20"/>
              </w:rPr>
              <w:t>Receiving Stream:</w:t>
            </w:r>
          </w:p>
        </w:tc>
        <w:tc>
          <w:tcPr>
            <w:tcW w:w="1818" w:type="dxa"/>
            <w:tcBorders>
              <w:top w:val="double" w:sz="6" w:space="0" w:color="auto"/>
              <w:left w:val="single" w:sz="6" w:space="0" w:color="auto"/>
              <w:bottom w:val="single" w:sz="6" w:space="0" w:color="auto"/>
              <w:right w:val="single" w:sz="4" w:space="0" w:color="auto"/>
            </w:tcBorders>
          </w:tcPr>
          <w:p w14:paraId="6CEB94C0" w14:textId="77777777" w:rsidR="00200D6B" w:rsidRPr="00984B8B" w:rsidRDefault="003A10FC">
            <w:pPr>
              <w:rPr>
                <w:rFonts w:ascii="Bookman Old Style" w:hAnsi="Bookman Old Style"/>
                <w:sz w:val="20"/>
              </w:rPr>
            </w:pPr>
            <w:r w:rsidRPr="00984B8B">
              <w:rPr>
                <w:rFonts w:ascii="Bookman Old Style" w:hAnsi="Bookman Old Style"/>
                <w:sz w:val="20"/>
              </w:rPr>
              <w:t>Mayo Reservoir</w:t>
            </w:r>
            <w:r w:rsidR="009276A1" w:rsidRPr="00984B8B">
              <w:rPr>
                <w:rFonts w:ascii="Bookman Old Style" w:hAnsi="Bookman Old Style"/>
                <w:sz w:val="20"/>
              </w:rPr>
              <w:t xml:space="preserve"> and Crutchfield Branch</w:t>
            </w:r>
          </w:p>
        </w:tc>
        <w:tc>
          <w:tcPr>
            <w:tcW w:w="2160" w:type="dxa"/>
            <w:tcBorders>
              <w:top w:val="double" w:sz="6" w:space="0" w:color="auto"/>
              <w:left w:val="single" w:sz="4" w:space="0" w:color="auto"/>
              <w:bottom w:val="single" w:sz="6" w:space="0" w:color="auto"/>
              <w:right w:val="single" w:sz="6" w:space="0" w:color="auto"/>
            </w:tcBorders>
            <w:shd w:val="pct5" w:color="auto" w:fill="FFFFFF"/>
          </w:tcPr>
          <w:p w14:paraId="24B689A8" w14:textId="77777777" w:rsidR="00200D6B" w:rsidRPr="00984B8B" w:rsidRDefault="003A10FC">
            <w:pPr>
              <w:rPr>
                <w:rFonts w:ascii="Bookman Old Style" w:hAnsi="Bookman Old Style"/>
                <w:sz w:val="20"/>
              </w:rPr>
            </w:pPr>
            <w:r w:rsidRPr="00984B8B">
              <w:rPr>
                <w:rFonts w:ascii="Bookman Old Style" w:hAnsi="Bookman Old Style"/>
                <w:sz w:val="20"/>
              </w:rPr>
              <w:t>Regional Office:</w:t>
            </w:r>
          </w:p>
        </w:tc>
        <w:tc>
          <w:tcPr>
            <w:tcW w:w="2790" w:type="dxa"/>
            <w:tcBorders>
              <w:top w:val="double" w:sz="6" w:space="0" w:color="auto"/>
              <w:left w:val="single" w:sz="6" w:space="0" w:color="auto"/>
              <w:bottom w:val="single" w:sz="6" w:space="0" w:color="auto"/>
              <w:right w:val="single" w:sz="12" w:space="0" w:color="auto"/>
            </w:tcBorders>
          </w:tcPr>
          <w:p w14:paraId="09CBA7E9" w14:textId="77777777" w:rsidR="00200D6B" w:rsidRPr="00984B8B" w:rsidRDefault="003A10FC">
            <w:pPr>
              <w:rPr>
                <w:rFonts w:ascii="Bookman Old Style" w:hAnsi="Bookman Old Style"/>
                <w:sz w:val="20"/>
              </w:rPr>
            </w:pPr>
            <w:r w:rsidRPr="00984B8B">
              <w:rPr>
                <w:rFonts w:ascii="Bookman Old Style" w:hAnsi="Bookman Old Style"/>
                <w:sz w:val="20"/>
              </w:rPr>
              <w:t>RRO</w:t>
            </w:r>
          </w:p>
        </w:tc>
      </w:tr>
      <w:tr w:rsidR="00200D6B" w:rsidRPr="00984B8B" w14:paraId="74AD7C9B" w14:textId="77777777" w:rsidTr="005C3F91">
        <w:trPr>
          <w:cantSplit/>
        </w:trPr>
        <w:tc>
          <w:tcPr>
            <w:tcW w:w="2952" w:type="dxa"/>
            <w:gridSpan w:val="2"/>
            <w:tcBorders>
              <w:top w:val="single" w:sz="6" w:space="0" w:color="auto"/>
              <w:left w:val="single" w:sz="12" w:space="0" w:color="auto"/>
              <w:bottom w:val="single" w:sz="6" w:space="0" w:color="auto"/>
              <w:right w:val="single" w:sz="6" w:space="0" w:color="auto"/>
            </w:tcBorders>
            <w:shd w:val="pct5" w:color="auto" w:fill="FFFFFF"/>
          </w:tcPr>
          <w:p w14:paraId="2EB5B672" w14:textId="77777777" w:rsidR="00200D6B" w:rsidRPr="00984B8B" w:rsidRDefault="003A10FC">
            <w:pPr>
              <w:rPr>
                <w:rFonts w:ascii="Bookman Old Style" w:hAnsi="Bookman Old Style"/>
                <w:sz w:val="20"/>
              </w:rPr>
            </w:pPr>
            <w:r w:rsidRPr="00984B8B">
              <w:rPr>
                <w:rFonts w:ascii="Bookman Old Style" w:hAnsi="Bookman Old Style"/>
                <w:sz w:val="20"/>
              </w:rPr>
              <w:t>Stream Classification:</w:t>
            </w:r>
          </w:p>
        </w:tc>
        <w:tc>
          <w:tcPr>
            <w:tcW w:w="1818" w:type="dxa"/>
            <w:tcBorders>
              <w:top w:val="single" w:sz="6" w:space="0" w:color="auto"/>
              <w:left w:val="single" w:sz="6" w:space="0" w:color="auto"/>
              <w:bottom w:val="single" w:sz="6" w:space="0" w:color="auto"/>
              <w:right w:val="single" w:sz="4" w:space="0" w:color="auto"/>
            </w:tcBorders>
          </w:tcPr>
          <w:p w14:paraId="0C250DA2" w14:textId="77777777" w:rsidR="00200D6B" w:rsidRPr="00984B8B" w:rsidRDefault="003A10FC">
            <w:pPr>
              <w:rPr>
                <w:rFonts w:ascii="Bookman Old Style" w:hAnsi="Bookman Old Style"/>
                <w:sz w:val="20"/>
              </w:rPr>
            </w:pPr>
            <w:r w:rsidRPr="00984B8B">
              <w:rPr>
                <w:rFonts w:ascii="Bookman Old Style" w:hAnsi="Bookman Old Style"/>
                <w:sz w:val="20"/>
              </w:rPr>
              <w:t>WS-V</w:t>
            </w:r>
            <w:r w:rsidR="00EA7DCB">
              <w:rPr>
                <w:rFonts w:ascii="Bookman Old Style" w:hAnsi="Bookman Old Style"/>
                <w:sz w:val="20"/>
              </w:rPr>
              <w:t xml:space="preserve"> and C</w:t>
            </w:r>
          </w:p>
        </w:tc>
        <w:tc>
          <w:tcPr>
            <w:tcW w:w="2160" w:type="dxa"/>
            <w:tcBorders>
              <w:top w:val="single" w:sz="6" w:space="0" w:color="auto"/>
              <w:left w:val="single" w:sz="4" w:space="0" w:color="auto"/>
              <w:bottom w:val="single" w:sz="6" w:space="0" w:color="auto"/>
              <w:right w:val="single" w:sz="6" w:space="0" w:color="auto"/>
            </w:tcBorders>
            <w:shd w:val="pct5" w:color="auto" w:fill="FFFFFF"/>
          </w:tcPr>
          <w:p w14:paraId="0488A7A4" w14:textId="77777777" w:rsidR="00200D6B" w:rsidRPr="00984B8B" w:rsidRDefault="003A10FC">
            <w:pPr>
              <w:rPr>
                <w:rFonts w:ascii="Bookman Old Style" w:hAnsi="Bookman Old Style"/>
                <w:sz w:val="20"/>
              </w:rPr>
            </w:pPr>
            <w:r w:rsidRPr="00984B8B">
              <w:rPr>
                <w:rFonts w:ascii="Bookman Old Style" w:hAnsi="Bookman Old Style"/>
                <w:sz w:val="20"/>
              </w:rPr>
              <w:t>Quad</w:t>
            </w:r>
          </w:p>
        </w:tc>
        <w:tc>
          <w:tcPr>
            <w:tcW w:w="2790" w:type="dxa"/>
            <w:tcBorders>
              <w:top w:val="single" w:sz="6" w:space="0" w:color="auto"/>
              <w:left w:val="single" w:sz="6" w:space="0" w:color="auto"/>
              <w:bottom w:val="single" w:sz="6" w:space="0" w:color="auto"/>
              <w:right w:val="single" w:sz="12" w:space="0" w:color="auto"/>
            </w:tcBorders>
          </w:tcPr>
          <w:p w14:paraId="0994035E" w14:textId="77777777" w:rsidR="00200D6B" w:rsidRPr="00984B8B" w:rsidRDefault="003A10FC">
            <w:pPr>
              <w:rPr>
                <w:rFonts w:ascii="Bookman Old Style" w:hAnsi="Bookman Old Style"/>
                <w:sz w:val="20"/>
              </w:rPr>
            </w:pPr>
            <w:r w:rsidRPr="00984B8B">
              <w:rPr>
                <w:rFonts w:ascii="Bookman Old Style" w:hAnsi="Bookman Old Style"/>
                <w:sz w:val="20"/>
              </w:rPr>
              <w:t>A23SW</w:t>
            </w:r>
          </w:p>
          <w:p w14:paraId="0E51D6E3" w14:textId="77777777" w:rsidR="00200D6B" w:rsidRPr="00984B8B" w:rsidRDefault="00200D6B">
            <w:pPr>
              <w:rPr>
                <w:rFonts w:ascii="Bookman Old Style" w:hAnsi="Bookman Old Style"/>
                <w:sz w:val="20"/>
              </w:rPr>
            </w:pPr>
          </w:p>
        </w:tc>
      </w:tr>
      <w:tr w:rsidR="00200D6B" w:rsidRPr="00984B8B" w14:paraId="4E36B3FE" w14:textId="77777777" w:rsidTr="005C3F91">
        <w:trPr>
          <w:cantSplit/>
        </w:trPr>
        <w:tc>
          <w:tcPr>
            <w:tcW w:w="2952" w:type="dxa"/>
            <w:gridSpan w:val="2"/>
            <w:tcBorders>
              <w:top w:val="single" w:sz="6" w:space="0" w:color="auto"/>
              <w:left w:val="single" w:sz="12" w:space="0" w:color="auto"/>
              <w:bottom w:val="single" w:sz="6" w:space="0" w:color="auto"/>
              <w:right w:val="single" w:sz="6" w:space="0" w:color="auto"/>
            </w:tcBorders>
            <w:shd w:val="pct5" w:color="auto" w:fill="FFFFFF"/>
          </w:tcPr>
          <w:p w14:paraId="3E9244B7" w14:textId="77777777" w:rsidR="00200D6B" w:rsidRPr="00984B8B" w:rsidRDefault="003A10FC">
            <w:pPr>
              <w:rPr>
                <w:rFonts w:ascii="Bookman Old Style" w:hAnsi="Bookman Old Style"/>
                <w:sz w:val="20"/>
              </w:rPr>
            </w:pPr>
            <w:r w:rsidRPr="00984B8B">
              <w:rPr>
                <w:rFonts w:ascii="Bookman Old Style" w:hAnsi="Bookman Old Style"/>
                <w:sz w:val="20"/>
              </w:rPr>
              <w:t>303(d) Listed?:</w:t>
            </w:r>
          </w:p>
        </w:tc>
        <w:tc>
          <w:tcPr>
            <w:tcW w:w="1818" w:type="dxa"/>
            <w:tcBorders>
              <w:top w:val="single" w:sz="6" w:space="0" w:color="auto"/>
              <w:left w:val="single" w:sz="6" w:space="0" w:color="auto"/>
              <w:bottom w:val="single" w:sz="6" w:space="0" w:color="auto"/>
              <w:right w:val="single" w:sz="4" w:space="0" w:color="auto"/>
            </w:tcBorders>
          </w:tcPr>
          <w:p w14:paraId="0C62E472" w14:textId="77777777" w:rsidR="00200D6B" w:rsidRPr="00984B8B" w:rsidRDefault="003A10FC">
            <w:pPr>
              <w:rPr>
                <w:rFonts w:ascii="Bookman Old Style" w:hAnsi="Bookman Old Style"/>
                <w:sz w:val="20"/>
              </w:rPr>
            </w:pPr>
            <w:r w:rsidRPr="00984B8B">
              <w:rPr>
                <w:rFonts w:ascii="Bookman Old Style" w:hAnsi="Bookman Old Style"/>
                <w:sz w:val="20"/>
              </w:rPr>
              <w:t>No</w:t>
            </w:r>
          </w:p>
        </w:tc>
        <w:tc>
          <w:tcPr>
            <w:tcW w:w="2160" w:type="dxa"/>
            <w:tcBorders>
              <w:top w:val="single" w:sz="6" w:space="0" w:color="auto"/>
              <w:left w:val="single" w:sz="4" w:space="0" w:color="auto"/>
              <w:bottom w:val="single" w:sz="6" w:space="0" w:color="auto"/>
              <w:right w:val="single" w:sz="6" w:space="0" w:color="auto"/>
            </w:tcBorders>
            <w:shd w:val="pct5" w:color="auto" w:fill="FFFFFF"/>
          </w:tcPr>
          <w:p w14:paraId="48E29339" w14:textId="77777777" w:rsidR="00200D6B" w:rsidRPr="00984B8B" w:rsidRDefault="003A10FC">
            <w:pPr>
              <w:rPr>
                <w:rFonts w:ascii="Bookman Old Style" w:hAnsi="Bookman Old Style"/>
                <w:sz w:val="20"/>
              </w:rPr>
            </w:pPr>
            <w:r w:rsidRPr="00984B8B">
              <w:rPr>
                <w:rFonts w:ascii="Bookman Old Style" w:hAnsi="Bookman Old Style"/>
                <w:sz w:val="20"/>
              </w:rPr>
              <w:t>Permit Writer:</w:t>
            </w:r>
          </w:p>
        </w:tc>
        <w:tc>
          <w:tcPr>
            <w:tcW w:w="2790" w:type="dxa"/>
            <w:tcBorders>
              <w:top w:val="single" w:sz="6" w:space="0" w:color="auto"/>
              <w:left w:val="single" w:sz="6" w:space="0" w:color="auto"/>
              <w:right w:val="single" w:sz="12" w:space="0" w:color="auto"/>
            </w:tcBorders>
          </w:tcPr>
          <w:p w14:paraId="3736D92F" w14:textId="77777777" w:rsidR="00200D6B" w:rsidRPr="00984B8B" w:rsidRDefault="003A10FC">
            <w:pPr>
              <w:rPr>
                <w:rFonts w:ascii="Bookman Old Style" w:hAnsi="Bookman Old Style"/>
                <w:sz w:val="20"/>
              </w:rPr>
            </w:pPr>
            <w:r w:rsidRPr="00984B8B">
              <w:rPr>
                <w:rFonts w:ascii="Bookman Old Style" w:hAnsi="Bookman Old Style"/>
                <w:sz w:val="20"/>
              </w:rPr>
              <w:t>Sergei Chernikov</w:t>
            </w:r>
            <w:r w:rsidR="00FF392E">
              <w:rPr>
                <w:rFonts w:ascii="Bookman Old Style" w:hAnsi="Bookman Old Style"/>
                <w:sz w:val="20"/>
              </w:rPr>
              <w:t>, Ph.D.</w:t>
            </w:r>
          </w:p>
        </w:tc>
      </w:tr>
      <w:tr w:rsidR="00200D6B" w:rsidRPr="00984B8B" w14:paraId="660B4507" w14:textId="77777777" w:rsidTr="005C3F91">
        <w:trPr>
          <w:cantSplit/>
        </w:trPr>
        <w:tc>
          <w:tcPr>
            <w:tcW w:w="2952" w:type="dxa"/>
            <w:gridSpan w:val="2"/>
            <w:tcBorders>
              <w:top w:val="single" w:sz="6" w:space="0" w:color="auto"/>
              <w:left w:val="single" w:sz="12" w:space="0" w:color="auto"/>
              <w:bottom w:val="single" w:sz="6" w:space="0" w:color="auto"/>
              <w:right w:val="single" w:sz="6" w:space="0" w:color="auto"/>
            </w:tcBorders>
            <w:shd w:val="pct5" w:color="auto" w:fill="FFFFFF"/>
          </w:tcPr>
          <w:p w14:paraId="23A401E6" w14:textId="77777777" w:rsidR="00200D6B" w:rsidRPr="00984B8B" w:rsidRDefault="003A10FC">
            <w:pPr>
              <w:rPr>
                <w:rFonts w:ascii="Bookman Old Style" w:hAnsi="Bookman Old Style"/>
                <w:sz w:val="20"/>
              </w:rPr>
            </w:pPr>
            <w:r w:rsidRPr="00984B8B">
              <w:rPr>
                <w:rFonts w:ascii="Bookman Old Style" w:hAnsi="Bookman Old Style"/>
                <w:sz w:val="20"/>
              </w:rPr>
              <w:t>Subbasin:</w:t>
            </w:r>
          </w:p>
        </w:tc>
        <w:tc>
          <w:tcPr>
            <w:tcW w:w="1818" w:type="dxa"/>
            <w:tcBorders>
              <w:top w:val="single" w:sz="6" w:space="0" w:color="auto"/>
              <w:left w:val="single" w:sz="6" w:space="0" w:color="auto"/>
              <w:bottom w:val="single" w:sz="6" w:space="0" w:color="auto"/>
              <w:right w:val="single" w:sz="4" w:space="0" w:color="auto"/>
            </w:tcBorders>
          </w:tcPr>
          <w:p w14:paraId="65E99A3C" w14:textId="77777777" w:rsidR="00200D6B" w:rsidRPr="00984B8B" w:rsidRDefault="003A10FC">
            <w:pPr>
              <w:rPr>
                <w:rFonts w:ascii="Bookman Old Style" w:hAnsi="Bookman Old Style"/>
                <w:sz w:val="20"/>
              </w:rPr>
            </w:pPr>
            <w:r w:rsidRPr="00984B8B">
              <w:rPr>
                <w:rFonts w:ascii="Bookman Old Style" w:hAnsi="Bookman Old Style"/>
                <w:sz w:val="20"/>
              </w:rPr>
              <w:t>030205 (Roanoke)</w:t>
            </w:r>
          </w:p>
        </w:tc>
        <w:tc>
          <w:tcPr>
            <w:tcW w:w="2160" w:type="dxa"/>
            <w:tcBorders>
              <w:top w:val="single" w:sz="6" w:space="0" w:color="auto"/>
              <w:left w:val="single" w:sz="4" w:space="0" w:color="auto"/>
              <w:bottom w:val="single" w:sz="4" w:space="0" w:color="auto"/>
              <w:right w:val="single" w:sz="6" w:space="0" w:color="auto"/>
            </w:tcBorders>
            <w:shd w:val="pct5" w:color="auto" w:fill="FFFFFF"/>
          </w:tcPr>
          <w:p w14:paraId="4DCEED27" w14:textId="77777777" w:rsidR="00200D6B" w:rsidRPr="00984B8B" w:rsidRDefault="003A10FC">
            <w:pPr>
              <w:rPr>
                <w:rFonts w:ascii="Bookman Old Style" w:hAnsi="Bookman Old Style"/>
                <w:sz w:val="20"/>
              </w:rPr>
            </w:pPr>
            <w:r w:rsidRPr="00984B8B">
              <w:rPr>
                <w:rFonts w:ascii="Bookman Old Style" w:hAnsi="Bookman Old Style"/>
                <w:sz w:val="20"/>
              </w:rPr>
              <w:t>Date:</w:t>
            </w:r>
          </w:p>
        </w:tc>
        <w:tc>
          <w:tcPr>
            <w:tcW w:w="2790" w:type="dxa"/>
            <w:tcBorders>
              <w:top w:val="single" w:sz="6" w:space="0" w:color="auto"/>
              <w:left w:val="single" w:sz="6" w:space="0" w:color="auto"/>
              <w:bottom w:val="single" w:sz="4" w:space="0" w:color="auto"/>
              <w:right w:val="single" w:sz="12" w:space="0" w:color="auto"/>
            </w:tcBorders>
          </w:tcPr>
          <w:p w14:paraId="166CC697" w14:textId="77777777" w:rsidR="00200D6B" w:rsidRPr="00984B8B" w:rsidRDefault="00BA60CC" w:rsidP="00FD633E">
            <w:pPr>
              <w:rPr>
                <w:rFonts w:ascii="Bookman Old Style" w:hAnsi="Bookman Old Style"/>
                <w:sz w:val="20"/>
              </w:rPr>
            </w:pPr>
            <w:r>
              <w:rPr>
                <w:rFonts w:ascii="Bookman Old Style" w:hAnsi="Bookman Old Style"/>
                <w:sz w:val="20"/>
              </w:rPr>
              <w:t>July 1</w:t>
            </w:r>
            <w:r w:rsidR="00FD633E">
              <w:rPr>
                <w:rFonts w:ascii="Bookman Old Style" w:hAnsi="Bookman Old Style"/>
                <w:sz w:val="20"/>
              </w:rPr>
              <w:t>4</w:t>
            </w:r>
            <w:r>
              <w:rPr>
                <w:rFonts w:ascii="Bookman Old Style" w:hAnsi="Bookman Old Style"/>
                <w:sz w:val="20"/>
              </w:rPr>
              <w:t>, 20</w:t>
            </w:r>
            <w:r w:rsidR="00FD633E">
              <w:rPr>
                <w:rFonts w:ascii="Bookman Old Style" w:hAnsi="Bookman Old Style"/>
                <w:sz w:val="20"/>
              </w:rPr>
              <w:t>21</w:t>
            </w:r>
          </w:p>
        </w:tc>
      </w:tr>
      <w:tr w:rsidR="00200D6B" w:rsidRPr="00984B8B" w14:paraId="52F3F260" w14:textId="77777777" w:rsidTr="005C3F91">
        <w:trPr>
          <w:cantSplit/>
        </w:trPr>
        <w:tc>
          <w:tcPr>
            <w:tcW w:w="2952" w:type="dxa"/>
            <w:gridSpan w:val="2"/>
            <w:tcBorders>
              <w:top w:val="single" w:sz="6" w:space="0" w:color="auto"/>
              <w:left w:val="single" w:sz="12" w:space="0" w:color="auto"/>
              <w:bottom w:val="single" w:sz="6" w:space="0" w:color="auto"/>
              <w:right w:val="single" w:sz="6" w:space="0" w:color="auto"/>
            </w:tcBorders>
            <w:shd w:val="pct5" w:color="auto" w:fill="FFFFFF"/>
          </w:tcPr>
          <w:p w14:paraId="596403E5" w14:textId="77777777" w:rsidR="00200D6B" w:rsidRPr="00984B8B" w:rsidRDefault="003A10FC">
            <w:pPr>
              <w:rPr>
                <w:rFonts w:ascii="Bookman Old Style" w:hAnsi="Bookman Old Style"/>
                <w:sz w:val="20"/>
              </w:rPr>
            </w:pPr>
            <w:r w:rsidRPr="00984B8B">
              <w:rPr>
                <w:rFonts w:ascii="Bookman Old Style" w:hAnsi="Bookman Old Style"/>
                <w:sz w:val="20"/>
              </w:rPr>
              <w:t>Drainage Area (mi</w:t>
            </w:r>
            <w:r w:rsidRPr="00984B8B">
              <w:rPr>
                <w:rFonts w:ascii="Bookman Old Style" w:hAnsi="Bookman Old Style"/>
                <w:sz w:val="20"/>
                <w:vertAlign w:val="superscript"/>
              </w:rPr>
              <w:t>2</w:t>
            </w:r>
            <w:r w:rsidRPr="00984B8B">
              <w:rPr>
                <w:rFonts w:ascii="Bookman Old Style" w:hAnsi="Bookman Old Style"/>
                <w:sz w:val="20"/>
              </w:rPr>
              <w:t>):</w:t>
            </w:r>
          </w:p>
        </w:tc>
        <w:tc>
          <w:tcPr>
            <w:tcW w:w="1818" w:type="dxa"/>
            <w:tcBorders>
              <w:top w:val="single" w:sz="6" w:space="0" w:color="auto"/>
              <w:left w:val="single" w:sz="6" w:space="0" w:color="auto"/>
              <w:bottom w:val="single" w:sz="6" w:space="0" w:color="auto"/>
              <w:right w:val="single" w:sz="4" w:space="0" w:color="auto"/>
            </w:tcBorders>
          </w:tcPr>
          <w:p w14:paraId="6CF646AC" w14:textId="77777777" w:rsidR="00200D6B" w:rsidRPr="00984B8B" w:rsidRDefault="00FF392E">
            <w:pPr>
              <w:rPr>
                <w:rFonts w:ascii="Bookman Old Style" w:hAnsi="Bookman Old Style"/>
                <w:sz w:val="20"/>
              </w:rPr>
            </w:pPr>
            <w:r>
              <w:rPr>
                <w:rFonts w:ascii="Bookman Old Style" w:hAnsi="Bookman Old Style"/>
                <w:sz w:val="20"/>
              </w:rPr>
              <w:t xml:space="preserve"> N/A</w:t>
            </w:r>
          </w:p>
        </w:tc>
        <w:tc>
          <w:tcPr>
            <w:tcW w:w="4950" w:type="dxa"/>
            <w:gridSpan w:val="2"/>
            <w:vMerge w:val="restart"/>
            <w:tcBorders>
              <w:top w:val="single" w:sz="4" w:space="0" w:color="auto"/>
              <w:left w:val="single" w:sz="4" w:space="0" w:color="auto"/>
              <w:bottom w:val="nil"/>
              <w:right w:val="single" w:sz="12" w:space="0" w:color="auto"/>
            </w:tcBorders>
          </w:tcPr>
          <w:p w14:paraId="3F02368F" w14:textId="77777777" w:rsidR="00200D6B" w:rsidRPr="00984B8B" w:rsidRDefault="00F8683D">
            <w:pPr>
              <w:rPr>
                <w:rFonts w:ascii="Bookman Old Style" w:hAnsi="Bookman Old Style"/>
                <w:sz w:val="20"/>
              </w:rPr>
            </w:pPr>
            <w:r w:rsidRPr="00984B8B">
              <w:rPr>
                <w:rFonts w:ascii="Bookman Old Style" w:hAnsi="Bookman Old Style"/>
                <w:noProof/>
                <w:sz w:val="20"/>
              </w:rPr>
              <mc:AlternateContent>
                <mc:Choice Requires="wps">
                  <w:drawing>
                    <wp:anchor distT="0" distB="0" distL="114300" distR="114300" simplePos="0" relativeHeight="251658240" behindDoc="0" locked="0" layoutInCell="1" allowOverlap="1" wp14:anchorId="732D53D6" wp14:editId="2CF62B9C">
                      <wp:simplePos x="0" y="0"/>
                      <wp:positionH relativeFrom="column">
                        <wp:posOffset>1453515</wp:posOffset>
                      </wp:positionH>
                      <wp:positionV relativeFrom="paragraph">
                        <wp:posOffset>191135</wp:posOffset>
                      </wp:positionV>
                      <wp:extent cx="109855" cy="107315"/>
                      <wp:effectExtent l="7620" t="8255" r="6350" b="825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73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F6D771" id="Oval 3" o:spid="_x0000_s1026" style="position:absolute;margin-left:114.45pt;margin-top:15.05pt;width:8.6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" fillcolor="black"/>
                  </w:pict>
                </mc:Fallback>
              </mc:AlternateContent>
            </w:r>
          </w:p>
        </w:tc>
      </w:tr>
      <w:tr w:rsidR="00200D6B" w:rsidRPr="00984B8B" w14:paraId="62B76479" w14:textId="77777777" w:rsidTr="005C3F91">
        <w:trPr>
          <w:cantSplit/>
        </w:trPr>
        <w:tc>
          <w:tcPr>
            <w:tcW w:w="2952" w:type="dxa"/>
            <w:gridSpan w:val="2"/>
            <w:tcBorders>
              <w:top w:val="single" w:sz="6" w:space="0" w:color="auto"/>
              <w:left w:val="single" w:sz="12" w:space="0" w:color="auto"/>
              <w:bottom w:val="single" w:sz="6" w:space="0" w:color="auto"/>
              <w:right w:val="single" w:sz="6" w:space="0" w:color="auto"/>
            </w:tcBorders>
            <w:shd w:val="pct5" w:color="auto" w:fill="FFFFFF"/>
          </w:tcPr>
          <w:p w14:paraId="73A63253" w14:textId="77777777" w:rsidR="00200D6B" w:rsidRPr="00984B8B" w:rsidRDefault="00F158A3">
            <w:pPr>
              <w:rPr>
                <w:rFonts w:ascii="Bookman Old Style" w:hAnsi="Bookman Old Style"/>
                <w:sz w:val="20"/>
              </w:rPr>
            </w:pPr>
            <w:r>
              <w:rPr>
                <w:rFonts w:ascii="Bookman Old Style" w:hAnsi="Bookman Old Style"/>
                <w:noProof/>
                <w:sz w:val="20"/>
              </w:rPr>
              <w:object w:dxaOrig="1440" w:dyaOrig="1440" w14:anchorId="7AF3C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0.5pt;margin-top:-2.7pt;width:150.85pt;height:54.45pt;z-index:251657216;visibility:visible;mso-wrap-edited:f;mso-position-horizontal-relative:text;mso-position-vertical-relative:text" o:allowincell="f">
                  <v:imagedata r:id="rId8" o:title=""/>
                </v:shape>
                <o:OLEObject Type="Embed" ProgID="Word.Picture.8" ShapeID="_x0000_s1026" DrawAspect="Content" ObjectID="_1701074225" r:id="rId9"/>
              </w:object>
            </w:r>
            <w:r w:rsidR="003A10FC" w:rsidRPr="00984B8B">
              <w:rPr>
                <w:rFonts w:ascii="Bookman Old Style" w:hAnsi="Bookman Old Style"/>
                <w:sz w:val="20"/>
              </w:rPr>
              <w:t>Summer 7Q10 (</w:t>
            </w:r>
            <w:proofErr w:type="spellStart"/>
            <w:r w:rsidR="003A10FC" w:rsidRPr="00984B8B">
              <w:rPr>
                <w:rFonts w:ascii="Bookman Old Style" w:hAnsi="Bookman Old Style"/>
                <w:sz w:val="20"/>
              </w:rPr>
              <w:t>cfs</w:t>
            </w:r>
            <w:proofErr w:type="spellEnd"/>
            <w:r w:rsidR="003A10FC" w:rsidRPr="00984B8B">
              <w:rPr>
                <w:rFonts w:ascii="Bookman Old Style" w:hAnsi="Bookman Old Style"/>
                <w:sz w:val="20"/>
              </w:rPr>
              <w:t>)</w:t>
            </w:r>
          </w:p>
        </w:tc>
        <w:tc>
          <w:tcPr>
            <w:tcW w:w="1818" w:type="dxa"/>
            <w:tcBorders>
              <w:top w:val="single" w:sz="6" w:space="0" w:color="auto"/>
              <w:left w:val="single" w:sz="6" w:space="0" w:color="auto"/>
              <w:bottom w:val="single" w:sz="6" w:space="0" w:color="auto"/>
              <w:right w:val="single" w:sz="4" w:space="0" w:color="auto"/>
            </w:tcBorders>
          </w:tcPr>
          <w:p w14:paraId="49E5981B" w14:textId="77777777" w:rsidR="00200D6B" w:rsidRPr="00984B8B" w:rsidRDefault="003A10FC">
            <w:pPr>
              <w:rPr>
                <w:rFonts w:ascii="Bookman Old Style" w:hAnsi="Bookman Old Style"/>
                <w:sz w:val="20"/>
              </w:rPr>
            </w:pPr>
            <w:r w:rsidRPr="00984B8B">
              <w:rPr>
                <w:rFonts w:ascii="Bookman Old Style" w:hAnsi="Bookman Old Style"/>
                <w:sz w:val="20"/>
              </w:rPr>
              <w:t xml:space="preserve"> </w:t>
            </w:r>
            <w:r w:rsidR="001833A0" w:rsidRPr="00984B8B">
              <w:rPr>
                <w:rFonts w:ascii="Bookman Old Style" w:hAnsi="Bookman Old Style"/>
                <w:sz w:val="20"/>
              </w:rPr>
              <w:t>0</w:t>
            </w:r>
          </w:p>
        </w:tc>
        <w:tc>
          <w:tcPr>
            <w:tcW w:w="4950" w:type="dxa"/>
            <w:gridSpan w:val="2"/>
            <w:vMerge/>
            <w:tcBorders>
              <w:top w:val="nil"/>
              <w:left w:val="single" w:sz="4" w:space="0" w:color="auto"/>
              <w:bottom w:val="nil"/>
              <w:right w:val="single" w:sz="12" w:space="0" w:color="auto"/>
            </w:tcBorders>
          </w:tcPr>
          <w:p w14:paraId="08092AB0" w14:textId="77777777" w:rsidR="00200D6B" w:rsidRPr="00984B8B" w:rsidRDefault="00200D6B">
            <w:pPr>
              <w:rPr>
                <w:rFonts w:ascii="Bookman Old Style" w:hAnsi="Bookman Old Style"/>
                <w:sz w:val="20"/>
              </w:rPr>
            </w:pPr>
          </w:p>
        </w:tc>
      </w:tr>
      <w:tr w:rsidR="00200D6B" w:rsidRPr="00984B8B" w14:paraId="01E7C969" w14:textId="77777777" w:rsidTr="005C3F91">
        <w:trPr>
          <w:cantSplit/>
          <w:trHeight w:val="255"/>
        </w:trPr>
        <w:tc>
          <w:tcPr>
            <w:tcW w:w="2952" w:type="dxa"/>
            <w:gridSpan w:val="2"/>
            <w:tcBorders>
              <w:top w:val="single" w:sz="6" w:space="0" w:color="auto"/>
              <w:left w:val="single" w:sz="12" w:space="0" w:color="auto"/>
              <w:bottom w:val="single" w:sz="6" w:space="0" w:color="auto"/>
              <w:right w:val="single" w:sz="6" w:space="0" w:color="auto"/>
            </w:tcBorders>
            <w:shd w:val="pct5" w:color="auto" w:fill="FFFFFF"/>
          </w:tcPr>
          <w:p w14:paraId="30965B30" w14:textId="77777777" w:rsidR="00200D6B" w:rsidRPr="00984B8B" w:rsidRDefault="003A10FC">
            <w:pPr>
              <w:rPr>
                <w:rFonts w:ascii="Bookman Old Style" w:hAnsi="Bookman Old Style"/>
                <w:sz w:val="20"/>
              </w:rPr>
            </w:pPr>
            <w:r w:rsidRPr="00984B8B">
              <w:rPr>
                <w:rFonts w:ascii="Bookman Old Style" w:hAnsi="Bookman Old Style"/>
                <w:sz w:val="20"/>
              </w:rPr>
              <w:t>30Q2 (</w:t>
            </w:r>
            <w:proofErr w:type="spellStart"/>
            <w:r w:rsidRPr="00984B8B">
              <w:rPr>
                <w:rFonts w:ascii="Bookman Old Style" w:hAnsi="Bookman Old Style"/>
                <w:sz w:val="20"/>
              </w:rPr>
              <w:t>cfs</w:t>
            </w:r>
            <w:proofErr w:type="spellEnd"/>
            <w:r w:rsidRPr="00984B8B">
              <w:rPr>
                <w:rFonts w:ascii="Bookman Old Style" w:hAnsi="Bookman Old Style"/>
                <w:sz w:val="20"/>
              </w:rPr>
              <w:t>):</w:t>
            </w:r>
          </w:p>
        </w:tc>
        <w:tc>
          <w:tcPr>
            <w:tcW w:w="1818" w:type="dxa"/>
            <w:tcBorders>
              <w:top w:val="single" w:sz="6" w:space="0" w:color="auto"/>
              <w:left w:val="single" w:sz="6" w:space="0" w:color="auto"/>
              <w:bottom w:val="single" w:sz="6" w:space="0" w:color="auto"/>
              <w:right w:val="single" w:sz="4" w:space="0" w:color="auto"/>
            </w:tcBorders>
          </w:tcPr>
          <w:p w14:paraId="13350320" w14:textId="77777777" w:rsidR="00200D6B" w:rsidRPr="00984B8B" w:rsidRDefault="003A10FC">
            <w:pPr>
              <w:rPr>
                <w:rFonts w:ascii="Bookman Old Style" w:hAnsi="Bookman Old Style"/>
                <w:sz w:val="20"/>
              </w:rPr>
            </w:pPr>
            <w:r w:rsidRPr="00984B8B">
              <w:rPr>
                <w:rFonts w:ascii="Bookman Old Style" w:hAnsi="Bookman Old Style"/>
                <w:sz w:val="20"/>
              </w:rPr>
              <w:t xml:space="preserve"> </w:t>
            </w:r>
            <w:r w:rsidR="001833A0" w:rsidRPr="00984B8B">
              <w:rPr>
                <w:rFonts w:ascii="Bookman Old Style" w:hAnsi="Bookman Old Style"/>
                <w:sz w:val="20"/>
              </w:rPr>
              <w:t>0</w:t>
            </w:r>
          </w:p>
        </w:tc>
        <w:tc>
          <w:tcPr>
            <w:tcW w:w="4950" w:type="dxa"/>
            <w:gridSpan w:val="2"/>
            <w:vMerge/>
            <w:tcBorders>
              <w:top w:val="nil"/>
              <w:left w:val="single" w:sz="4" w:space="0" w:color="auto"/>
              <w:bottom w:val="nil"/>
              <w:right w:val="single" w:sz="12" w:space="0" w:color="auto"/>
            </w:tcBorders>
          </w:tcPr>
          <w:p w14:paraId="73C5AF6C" w14:textId="77777777" w:rsidR="00200D6B" w:rsidRPr="00984B8B" w:rsidRDefault="00200D6B">
            <w:pPr>
              <w:rPr>
                <w:rFonts w:ascii="Bookman Old Style" w:hAnsi="Bookman Old Style"/>
                <w:sz w:val="20"/>
              </w:rPr>
            </w:pPr>
          </w:p>
        </w:tc>
      </w:tr>
      <w:tr w:rsidR="00200D6B" w:rsidRPr="00984B8B" w14:paraId="5FA5D1BF" w14:textId="77777777" w:rsidTr="005C3F91">
        <w:trPr>
          <w:cantSplit/>
        </w:trPr>
        <w:tc>
          <w:tcPr>
            <w:tcW w:w="2952" w:type="dxa"/>
            <w:gridSpan w:val="2"/>
            <w:tcBorders>
              <w:top w:val="single" w:sz="6" w:space="0" w:color="auto"/>
              <w:left w:val="single" w:sz="12" w:space="0" w:color="auto"/>
              <w:bottom w:val="single" w:sz="6" w:space="0" w:color="auto"/>
              <w:right w:val="single" w:sz="6" w:space="0" w:color="auto"/>
            </w:tcBorders>
            <w:shd w:val="pct5" w:color="auto" w:fill="FFFFFF"/>
          </w:tcPr>
          <w:p w14:paraId="34266855" w14:textId="77777777" w:rsidR="00200D6B" w:rsidRPr="00984B8B" w:rsidRDefault="003A10FC">
            <w:pPr>
              <w:rPr>
                <w:rFonts w:ascii="Bookman Old Style" w:hAnsi="Bookman Old Style"/>
                <w:sz w:val="20"/>
              </w:rPr>
            </w:pPr>
            <w:r w:rsidRPr="00984B8B">
              <w:rPr>
                <w:rFonts w:ascii="Bookman Old Style" w:hAnsi="Bookman Old Style"/>
                <w:sz w:val="20"/>
              </w:rPr>
              <w:t>Average Flow (</w:t>
            </w:r>
            <w:proofErr w:type="spellStart"/>
            <w:r w:rsidRPr="00984B8B">
              <w:rPr>
                <w:rFonts w:ascii="Bookman Old Style" w:hAnsi="Bookman Old Style"/>
                <w:sz w:val="20"/>
              </w:rPr>
              <w:t>cfs</w:t>
            </w:r>
            <w:proofErr w:type="spellEnd"/>
            <w:r w:rsidRPr="00984B8B">
              <w:rPr>
                <w:rFonts w:ascii="Bookman Old Style" w:hAnsi="Bookman Old Style"/>
                <w:sz w:val="20"/>
              </w:rPr>
              <w:t>):</w:t>
            </w:r>
          </w:p>
        </w:tc>
        <w:tc>
          <w:tcPr>
            <w:tcW w:w="1818" w:type="dxa"/>
            <w:tcBorders>
              <w:top w:val="single" w:sz="6" w:space="0" w:color="auto"/>
              <w:left w:val="single" w:sz="6" w:space="0" w:color="auto"/>
              <w:bottom w:val="single" w:sz="6" w:space="0" w:color="auto"/>
              <w:right w:val="single" w:sz="4" w:space="0" w:color="auto"/>
            </w:tcBorders>
          </w:tcPr>
          <w:p w14:paraId="407D5EA5" w14:textId="77777777" w:rsidR="00200D6B" w:rsidRPr="00984B8B" w:rsidRDefault="00984B8B">
            <w:pPr>
              <w:rPr>
                <w:rFonts w:ascii="Bookman Old Style" w:hAnsi="Bookman Old Style"/>
                <w:sz w:val="20"/>
              </w:rPr>
            </w:pPr>
            <w:r w:rsidRPr="00984B8B">
              <w:rPr>
                <w:rFonts w:ascii="Bookman Old Style" w:hAnsi="Bookman Old Style"/>
                <w:sz w:val="20"/>
              </w:rPr>
              <w:t xml:space="preserve"> </w:t>
            </w:r>
            <w:r w:rsidR="001833A0" w:rsidRPr="00984B8B">
              <w:rPr>
                <w:rFonts w:ascii="Bookman Old Style" w:hAnsi="Bookman Old Style"/>
                <w:sz w:val="20"/>
              </w:rPr>
              <w:t>0</w:t>
            </w:r>
          </w:p>
        </w:tc>
        <w:tc>
          <w:tcPr>
            <w:tcW w:w="4950" w:type="dxa"/>
            <w:gridSpan w:val="2"/>
            <w:vMerge/>
            <w:tcBorders>
              <w:top w:val="nil"/>
              <w:left w:val="single" w:sz="4" w:space="0" w:color="auto"/>
              <w:bottom w:val="nil"/>
              <w:right w:val="single" w:sz="12" w:space="0" w:color="auto"/>
            </w:tcBorders>
          </w:tcPr>
          <w:p w14:paraId="24A4C1A6" w14:textId="77777777" w:rsidR="00200D6B" w:rsidRPr="00984B8B" w:rsidRDefault="00200D6B">
            <w:pPr>
              <w:rPr>
                <w:rFonts w:ascii="Bookman Old Style" w:hAnsi="Bookman Old Style"/>
                <w:sz w:val="20"/>
              </w:rPr>
            </w:pPr>
          </w:p>
        </w:tc>
      </w:tr>
      <w:tr w:rsidR="00200D6B" w:rsidRPr="00984B8B" w14:paraId="022F2436" w14:textId="77777777" w:rsidTr="005C3F91">
        <w:trPr>
          <w:cantSplit/>
        </w:trPr>
        <w:tc>
          <w:tcPr>
            <w:tcW w:w="2952" w:type="dxa"/>
            <w:gridSpan w:val="2"/>
            <w:tcBorders>
              <w:top w:val="single" w:sz="6" w:space="0" w:color="auto"/>
              <w:left w:val="single" w:sz="12" w:space="0" w:color="auto"/>
              <w:bottom w:val="single" w:sz="6" w:space="0" w:color="auto"/>
              <w:right w:val="single" w:sz="6" w:space="0" w:color="auto"/>
            </w:tcBorders>
            <w:shd w:val="pct5" w:color="auto" w:fill="FFFFFF"/>
          </w:tcPr>
          <w:p w14:paraId="776C816C" w14:textId="77777777" w:rsidR="00200D6B" w:rsidRPr="00984B8B" w:rsidRDefault="003A10FC">
            <w:pPr>
              <w:rPr>
                <w:rFonts w:ascii="Bookman Old Style" w:hAnsi="Bookman Old Style"/>
                <w:sz w:val="20"/>
              </w:rPr>
            </w:pPr>
            <w:r w:rsidRPr="00984B8B">
              <w:rPr>
                <w:rFonts w:ascii="Bookman Old Style" w:hAnsi="Bookman Old Style"/>
                <w:sz w:val="20"/>
              </w:rPr>
              <w:t>IWC (%):</w:t>
            </w:r>
          </w:p>
        </w:tc>
        <w:tc>
          <w:tcPr>
            <w:tcW w:w="1818" w:type="dxa"/>
            <w:tcBorders>
              <w:top w:val="single" w:sz="6" w:space="0" w:color="auto"/>
              <w:left w:val="single" w:sz="6" w:space="0" w:color="auto"/>
              <w:bottom w:val="single" w:sz="6" w:space="0" w:color="auto"/>
              <w:right w:val="single" w:sz="4" w:space="0" w:color="auto"/>
            </w:tcBorders>
          </w:tcPr>
          <w:p w14:paraId="18AE01CD" w14:textId="77777777" w:rsidR="00200D6B" w:rsidRPr="00984B8B" w:rsidRDefault="003A10FC">
            <w:pPr>
              <w:rPr>
                <w:rFonts w:ascii="Bookman Old Style" w:hAnsi="Bookman Old Style"/>
                <w:sz w:val="20"/>
              </w:rPr>
            </w:pPr>
            <w:r w:rsidRPr="00984B8B">
              <w:rPr>
                <w:rFonts w:ascii="Bookman Old Style" w:hAnsi="Bookman Old Style"/>
                <w:sz w:val="20"/>
              </w:rPr>
              <w:t xml:space="preserve"> 100% (assumed, no modeling info.)</w:t>
            </w:r>
          </w:p>
        </w:tc>
        <w:tc>
          <w:tcPr>
            <w:tcW w:w="4950" w:type="dxa"/>
            <w:gridSpan w:val="2"/>
            <w:vMerge/>
            <w:tcBorders>
              <w:top w:val="nil"/>
              <w:left w:val="single" w:sz="4" w:space="0" w:color="auto"/>
              <w:bottom w:val="nil"/>
              <w:right w:val="single" w:sz="12" w:space="0" w:color="auto"/>
            </w:tcBorders>
          </w:tcPr>
          <w:p w14:paraId="6687C8CC" w14:textId="77777777" w:rsidR="00200D6B" w:rsidRPr="00984B8B" w:rsidRDefault="00200D6B">
            <w:pPr>
              <w:rPr>
                <w:rFonts w:ascii="Bookman Old Style" w:hAnsi="Bookman Old Style"/>
                <w:sz w:val="20"/>
              </w:rPr>
            </w:pPr>
          </w:p>
        </w:tc>
      </w:tr>
      <w:tr w:rsidR="00200D6B" w:rsidRPr="00984B8B" w14:paraId="3B736474" w14:textId="77777777" w:rsidTr="005C3F91">
        <w:trPr>
          <w:cantSplit/>
        </w:trPr>
        <w:tc>
          <w:tcPr>
            <w:tcW w:w="2952" w:type="dxa"/>
            <w:gridSpan w:val="2"/>
            <w:tcBorders>
              <w:top w:val="single" w:sz="6" w:space="0" w:color="auto"/>
              <w:left w:val="single" w:sz="12" w:space="0" w:color="auto"/>
              <w:bottom w:val="single" w:sz="12" w:space="0" w:color="auto"/>
              <w:right w:val="single" w:sz="6" w:space="0" w:color="auto"/>
            </w:tcBorders>
            <w:shd w:val="pct5" w:color="auto" w:fill="FFFFFF"/>
          </w:tcPr>
          <w:p w14:paraId="658CE6E2" w14:textId="77777777" w:rsidR="00200D6B" w:rsidRPr="00984B8B" w:rsidRDefault="003A10FC">
            <w:pPr>
              <w:rPr>
                <w:rFonts w:ascii="Bookman Old Style" w:hAnsi="Bookman Old Style"/>
                <w:sz w:val="20"/>
              </w:rPr>
            </w:pPr>
            <w:r w:rsidRPr="00984B8B">
              <w:rPr>
                <w:rFonts w:ascii="Bookman Old Style" w:hAnsi="Bookman Old Style"/>
                <w:sz w:val="20"/>
              </w:rPr>
              <w:t>Primary SIC Code:</w:t>
            </w:r>
          </w:p>
        </w:tc>
        <w:tc>
          <w:tcPr>
            <w:tcW w:w="1818" w:type="dxa"/>
            <w:tcBorders>
              <w:top w:val="single" w:sz="6" w:space="0" w:color="auto"/>
              <w:left w:val="single" w:sz="6" w:space="0" w:color="auto"/>
              <w:bottom w:val="single" w:sz="12" w:space="0" w:color="auto"/>
              <w:right w:val="single" w:sz="4" w:space="0" w:color="auto"/>
            </w:tcBorders>
          </w:tcPr>
          <w:p w14:paraId="69825FF1" w14:textId="77777777" w:rsidR="00200D6B" w:rsidRPr="00984B8B" w:rsidRDefault="003A10FC">
            <w:pPr>
              <w:rPr>
                <w:rFonts w:ascii="Bookman Old Style" w:hAnsi="Bookman Old Style"/>
                <w:sz w:val="20"/>
              </w:rPr>
            </w:pPr>
            <w:r w:rsidRPr="00984B8B">
              <w:rPr>
                <w:rFonts w:ascii="Bookman Old Style" w:hAnsi="Bookman Old Style"/>
                <w:sz w:val="20"/>
              </w:rPr>
              <w:t xml:space="preserve"> </w:t>
            </w:r>
          </w:p>
        </w:tc>
        <w:tc>
          <w:tcPr>
            <w:tcW w:w="4950" w:type="dxa"/>
            <w:gridSpan w:val="2"/>
            <w:vMerge/>
            <w:tcBorders>
              <w:top w:val="nil"/>
              <w:left w:val="single" w:sz="4" w:space="0" w:color="auto"/>
              <w:bottom w:val="single" w:sz="12" w:space="0" w:color="auto"/>
              <w:right w:val="single" w:sz="12" w:space="0" w:color="auto"/>
            </w:tcBorders>
          </w:tcPr>
          <w:p w14:paraId="49A78A59" w14:textId="77777777" w:rsidR="00200D6B" w:rsidRPr="00984B8B" w:rsidRDefault="00200D6B">
            <w:pPr>
              <w:rPr>
                <w:rFonts w:ascii="Bookman Old Style" w:hAnsi="Bookman Old Style"/>
                <w:sz w:val="20"/>
              </w:rPr>
            </w:pPr>
          </w:p>
        </w:tc>
      </w:tr>
    </w:tbl>
    <w:p w14:paraId="54E1941A" w14:textId="77777777" w:rsidR="00B14C5B" w:rsidRDefault="00B14C5B">
      <w:pPr>
        <w:pStyle w:val="Heading5"/>
        <w:rPr>
          <w:rFonts w:ascii="Bookman Old Style" w:hAnsi="Bookman Old Style"/>
          <w:sz w:val="22"/>
          <w:szCs w:val="22"/>
        </w:rPr>
      </w:pPr>
    </w:p>
    <w:p w14:paraId="6CFB7ABD" w14:textId="77777777" w:rsidR="00200D6B" w:rsidRPr="00984B8B" w:rsidRDefault="003A10FC">
      <w:pPr>
        <w:pStyle w:val="Heading5"/>
        <w:rPr>
          <w:rFonts w:ascii="Bookman Old Style" w:hAnsi="Bookman Old Style"/>
          <w:sz w:val="22"/>
          <w:szCs w:val="22"/>
        </w:rPr>
      </w:pPr>
      <w:r w:rsidRPr="00984B8B">
        <w:rPr>
          <w:rFonts w:ascii="Bookman Old Style" w:hAnsi="Bookman Old Style"/>
          <w:sz w:val="22"/>
          <w:szCs w:val="22"/>
        </w:rPr>
        <w:t>Summary</w:t>
      </w:r>
    </w:p>
    <w:p w14:paraId="06A0A7F0" w14:textId="77777777" w:rsidR="002E0EB7" w:rsidRDefault="00EA7DCB">
      <w:pPr>
        <w:jc w:val="both"/>
        <w:rPr>
          <w:rFonts w:ascii="Bookman Old Style" w:hAnsi="Bookman Old Style"/>
          <w:b/>
          <w:sz w:val="22"/>
          <w:szCs w:val="22"/>
        </w:rPr>
      </w:pPr>
      <w:r>
        <w:rPr>
          <w:rFonts w:ascii="Bookman Old Style" w:hAnsi="Bookman Old Style"/>
          <w:sz w:val="22"/>
          <w:szCs w:val="22"/>
        </w:rPr>
        <w:t xml:space="preserve">This is a </w:t>
      </w:r>
      <w:r w:rsidR="00BA60CC">
        <w:rPr>
          <w:rFonts w:ascii="Bookman Old Style" w:hAnsi="Bookman Old Style"/>
          <w:sz w:val="22"/>
          <w:szCs w:val="22"/>
        </w:rPr>
        <w:t>Minor Modification</w:t>
      </w:r>
      <w:r>
        <w:rPr>
          <w:rFonts w:ascii="Bookman Old Style" w:hAnsi="Bookman Old Style"/>
          <w:sz w:val="22"/>
          <w:szCs w:val="22"/>
        </w:rPr>
        <w:t xml:space="preserve"> for the Mayo</w:t>
      </w:r>
      <w:r w:rsidR="003A10FC" w:rsidRPr="00984B8B">
        <w:rPr>
          <w:rFonts w:ascii="Bookman Old Style" w:hAnsi="Bookman Old Style"/>
          <w:sz w:val="22"/>
          <w:szCs w:val="22"/>
        </w:rPr>
        <w:t xml:space="preserve"> Electric Generating Plant</w:t>
      </w:r>
      <w:r>
        <w:rPr>
          <w:rFonts w:ascii="Bookman Old Style" w:hAnsi="Bookman Old Style"/>
          <w:sz w:val="22"/>
          <w:szCs w:val="22"/>
        </w:rPr>
        <w:t>. The facility</w:t>
      </w:r>
      <w:r w:rsidR="003A10FC" w:rsidRPr="00984B8B">
        <w:rPr>
          <w:rFonts w:ascii="Bookman Old Style" w:hAnsi="Bookman Old Style"/>
          <w:sz w:val="22"/>
          <w:szCs w:val="22"/>
        </w:rPr>
        <w:t xml:space="preserve"> is a coal-fired electric generating plant with one unit rated at a maximum dependable capacity of 745 mw. </w:t>
      </w:r>
      <w:r w:rsidR="00BA60CC" w:rsidRPr="00BA60CC">
        <w:rPr>
          <w:rFonts w:ascii="Bookman Old Style" w:hAnsi="Bookman Old Style"/>
          <w:b/>
          <w:sz w:val="22"/>
          <w:szCs w:val="22"/>
        </w:rPr>
        <w:t xml:space="preserve">The permit is being modified to </w:t>
      </w:r>
      <w:r w:rsidR="000C3DBC">
        <w:rPr>
          <w:rFonts w:ascii="Bookman Old Style" w:hAnsi="Bookman Old Style"/>
          <w:b/>
          <w:sz w:val="22"/>
          <w:szCs w:val="22"/>
        </w:rPr>
        <w:t xml:space="preserve">make </w:t>
      </w:r>
      <w:r w:rsidR="002E0EB7">
        <w:rPr>
          <w:rFonts w:ascii="Bookman Old Style" w:hAnsi="Bookman Old Style"/>
          <w:b/>
          <w:sz w:val="22"/>
          <w:szCs w:val="22"/>
        </w:rPr>
        <w:t>the following changes:</w:t>
      </w:r>
    </w:p>
    <w:p w14:paraId="5C575EA7" w14:textId="77777777" w:rsidR="002E0EB7" w:rsidRDefault="002E0EB7">
      <w:pPr>
        <w:jc w:val="both"/>
        <w:rPr>
          <w:rFonts w:ascii="Bookman Old Style" w:hAnsi="Bookman Old Style"/>
          <w:b/>
          <w:sz w:val="22"/>
          <w:szCs w:val="22"/>
        </w:rPr>
      </w:pPr>
    </w:p>
    <w:p w14:paraId="1ED71CEA" w14:textId="77777777" w:rsidR="00B41D66" w:rsidRPr="00B41D66" w:rsidRDefault="00943D53" w:rsidP="00B60431">
      <w:pPr>
        <w:pStyle w:val="ListParagraph"/>
        <w:numPr>
          <w:ilvl w:val="0"/>
          <w:numId w:val="41"/>
        </w:numPr>
        <w:spacing w:after="246"/>
        <w:ind w:right="14"/>
        <w:rPr>
          <w:rFonts w:ascii="Bookman Old Style" w:hAnsi="Bookman Old Style"/>
          <w:b/>
          <w:sz w:val="22"/>
          <w:szCs w:val="22"/>
        </w:rPr>
      </w:pPr>
      <w:r w:rsidRPr="00B41D66">
        <w:rPr>
          <w:rFonts w:ascii="Bookman Old Style" w:hAnsi="Bookman Old Style"/>
          <w:sz w:val="22"/>
          <w:szCs w:val="22"/>
        </w:rPr>
        <w:t xml:space="preserve">Include </w:t>
      </w:r>
      <w:r w:rsidR="00B26A1E" w:rsidRPr="00B41D66">
        <w:rPr>
          <w:rFonts w:ascii="Bookman Old Style" w:hAnsi="Bookman Old Style"/>
          <w:sz w:val="22"/>
          <w:szCs w:val="22"/>
        </w:rPr>
        <w:t xml:space="preserve">landfill leachate </w:t>
      </w:r>
      <w:r w:rsidRPr="00B41D66">
        <w:rPr>
          <w:rFonts w:ascii="Bookman Old Style" w:hAnsi="Bookman Old Style"/>
          <w:sz w:val="22"/>
          <w:szCs w:val="22"/>
        </w:rPr>
        <w:t xml:space="preserve">to the lined retention basin </w:t>
      </w:r>
      <w:r w:rsidR="00B26A1E" w:rsidRPr="00B41D66">
        <w:rPr>
          <w:rFonts w:ascii="Bookman Old Style" w:hAnsi="Bookman Old Style"/>
          <w:sz w:val="22"/>
          <w:szCs w:val="22"/>
        </w:rPr>
        <w:t>from the CCR landfill being constructed to comply with terms of the settlement agreement</w:t>
      </w:r>
      <w:r w:rsidRPr="00B41D66">
        <w:rPr>
          <w:rFonts w:ascii="Bookman Old Style" w:hAnsi="Bookman Old Style"/>
          <w:sz w:val="22"/>
          <w:szCs w:val="22"/>
        </w:rPr>
        <w:t xml:space="preserve">. </w:t>
      </w:r>
      <w:r w:rsidR="00B26A1E" w:rsidRPr="00B41D66">
        <w:rPr>
          <w:rFonts w:ascii="Bookman Old Style" w:hAnsi="Bookman Old Style"/>
          <w:sz w:val="22"/>
          <w:szCs w:val="22"/>
        </w:rPr>
        <w:t xml:space="preserve"> The leachate volume generated by the new landfill will vary over time but is expected to be approximately 50,000 gallons per day during the initial phases of development and reducing over time. Only water conditioned ash will be placed in the new CCR landfill.</w:t>
      </w:r>
      <w:r w:rsidR="00B41D66" w:rsidRPr="00B41D66">
        <w:rPr>
          <w:rFonts w:ascii="Bookman Old Style" w:hAnsi="Bookman Old Style"/>
          <w:sz w:val="22"/>
          <w:szCs w:val="22"/>
        </w:rPr>
        <w:t xml:space="preserve"> </w:t>
      </w:r>
    </w:p>
    <w:p w14:paraId="3D7CF43B" w14:textId="77777777" w:rsidR="002E0EB7" w:rsidRPr="00B41D66" w:rsidRDefault="00943D53" w:rsidP="00B60431">
      <w:pPr>
        <w:pStyle w:val="ListParagraph"/>
        <w:numPr>
          <w:ilvl w:val="0"/>
          <w:numId w:val="41"/>
        </w:numPr>
        <w:spacing w:after="246"/>
        <w:ind w:right="14"/>
        <w:rPr>
          <w:rFonts w:ascii="Bookman Old Style" w:hAnsi="Bookman Old Style"/>
          <w:b/>
          <w:sz w:val="22"/>
          <w:szCs w:val="22"/>
        </w:rPr>
      </w:pPr>
      <w:r w:rsidRPr="00B41D66">
        <w:rPr>
          <w:rFonts w:ascii="Bookman Old Style" w:hAnsi="Bookman Old Style"/>
          <w:sz w:val="22"/>
          <w:szCs w:val="22"/>
        </w:rPr>
        <w:t>In</w:t>
      </w:r>
      <w:r w:rsidR="00B26A1E" w:rsidRPr="00B41D66">
        <w:rPr>
          <w:rFonts w:ascii="Bookman Old Style" w:hAnsi="Bookman Old Style"/>
          <w:sz w:val="22"/>
          <w:szCs w:val="22"/>
        </w:rPr>
        <w:t xml:space="preserve">crease the flow limit from the dewatering system during dewatering activities </w:t>
      </w:r>
      <w:r w:rsidRPr="00B41D66">
        <w:rPr>
          <w:rFonts w:ascii="Bookman Old Style" w:hAnsi="Bookman Old Style"/>
          <w:sz w:val="22"/>
          <w:szCs w:val="22"/>
        </w:rPr>
        <w:t>from 2.0 MGD to 3.0 MGD</w:t>
      </w:r>
      <w:r w:rsidR="00B26A1E" w:rsidRPr="00B41D66">
        <w:rPr>
          <w:rFonts w:ascii="Bookman Old Style" w:hAnsi="Bookman Old Style"/>
          <w:sz w:val="22"/>
          <w:szCs w:val="22"/>
        </w:rPr>
        <w:t xml:space="preserve"> </w:t>
      </w:r>
      <w:r w:rsidRPr="00B41D66">
        <w:rPr>
          <w:rFonts w:ascii="Bookman Old Style" w:hAnsi="Bookman Old Style"/>
          <w:sz w:val="22"/>
          <w:szCs w:val="22"/>
        </w:rPr>
        <w:t>to accommodate flows from the storm events from the</w:t>
      </w:r>
      <w:r w:rsidR="00D07C10" w:rsidRPr="00B41D66">
        <w:rPr>
          <w:rFonts w:ascii="Bookman Old Style" w:hAnsi="Bookman Old Style"/>
          <w:sz w:val="22"/>
          <w:szCs w:val="22"/>
        </w:rPr>
        <w:t xml:space="preserve"> </w:t>
      </w:r>
      <w:r w:rsidRPr="00B41D66">
        <w:rPr>
          <w:rFonts w:ascii="Bookman Old Style" w:hAnsi="Bookman Old Style"/>
          <w:sz w:val="22"/>
          <w:szCs w:val="22"/>
        </w:rPr>
        <w:t xml:space="preserve"> </w:t>
      </w:r>
      <w:r w:rsidR="00B26A1E" w:rsidRPr="00B41D66">
        <w:rPr>
          <w:rFonts w:ascii="Bookman Old Style" w:hAnsi="Bookman Old Style"/>
          <w:sz w:val="22"/>
          <w:szCs w:val="22"/>
        </w:rPr>
        <w:t xml:space="preserve"> large drainage area during rain events. </w:t>
      </w:r>
      <w:r w:rsidRPr="00B41D66">
        <w:rPr>
          <w:rFonts w:ascii="Bookman Old Style" w:hAnsi="Bookman Old Style"/>
          <w:sz w:val="22"/>
          <w:szCs w:val="22"/>
        </w:rPr>
        <w:t>The limit will be changed from Daily Maximum to Monthly Average to be consistent with other Duke permits.</w:t>
      </w:r>
    </w:p>
    <w:p w14:paraId="7DB25040" w14:textId="77777777" w:rsidR="00B26A1E" w:rsidRPr="00D07C10" w:rsidRDefault="00943D53" w:rsidP="00D07C10">
      <w:pPr>
        <w:pStyle w:val="ListParagraph"/>
        <w:numPr>
          <w:ilvl w:val="0"/>
          <w:numId w:val="41"/>
        </w:numPr>
        <w:spacing w:after="246"/>
        <w:ind w:right="14"/>
        <w:rPr>
          <w:rFonts w:ascii="Bookman Old Style" w:hAnsi="Bookman Old Style"/>
          <w:b/>
          <w:sz w:val="22"/>
          <w:szCs w:val="22"/>
        </w:rPr>
      </w:pPr>
      <w:r>
        <w:rPr>
          <w:rFonts w:ascii="Bookman Old Style" w:hAnsi="Bookman Old Style"/>
          <w:sz w:val="22"/>
          <w:szCs w:val="22"/>
        </w:rPr>
        <w:lastRenderedPageBreak/>
        <w:t>I</w:t>
      </w:r>
      <w:r w:rsidR="00B26A1E" w:rsidRPr="00943D53">
        <w:rPr>
          <w:rFonts w:ascii="Bookman Old Style" w:hAnsi="Bookman Old Style"/>
          <w:sz w:val="22"/>
          <w:szCs w:val="22"/>
        </w:rPr>
        <w:t>nclude ammonia conversion maintenance drainage as a contributing flow to the lined retention basin. The Mayo Station has two Selective Catalytic Reactors (SCR) for NOX control. An ammonia stripping column will be added per SCR utilizing aqueous ammonia as the reagent. Periodic maintenance and or unit shutdown periods, will require the column contents to be drained. Each column could have a maximum of 740 gallons of water</w:t>
      </w:r>
      <w:r>
        <w:rPr>
          <w:rFonts w:ascii="Bookman Old Style" w:hAnsi="Bookman Old Style"/>
          <w:sz w:val="22"/>
          <w:szCs w:val="22"/>
        </w:rPr>
        <w:t xml:space="preserve"> (1,480 gallons for both columns)</w:t>
      </w:r>
      <w:r w:rsidR="00B26A1E" w:rsidRPr="00943D53">
        <w:rPr>
          <w:rFonts w:ascii="Bookman Old Style" w:hAnsi="Bookman Old Style"/>
          <w:sz w:val="22"/>
          <w:szCs w:val="22"/>
        </w:rPr>
        <w:t xml:space="preserve"> with ammonia concentration less than </w:t>
      </w:r>
      <w:r>
        <w:rPr>
          <w:rFonts w:ascii="Bookman Old Style" w:hAnsi="Bookman Old Style"/>
          <w:sz w:val="22"/>
          <w:szCs w:val="22"/>
        </w:rPr>
        <w:t xml:space="preserve">1.0 mg/L </w:t>
      </w:r>
      <w:r w:rsidR="00B26A1E" w:rsidRPr="00943D53">
        <w:rPr>
          <w:rFonts w:ascii="Bookman Old Style" w:hAnsi="Bookman Old Style"/>
          <w:sz w:val="22"/>
          <w:szCs w:val="22"/>
        </w:rPr>
        <w:t>with the pH being controlled in the system with caustic. The column contents would be drained to the lined retention basin for treatment discharging at internal Outfall 002A</w:t>
      </w:r>
      <w:r>
        <w:rPr>
          <w:rFonts w:ascii="Bookman Old Style" w:hAnsi="Bookman Old Style"/>
          <w:sz w:val="22"/>
          <w:szCs w:val="22"/>
        </w:rPr>
        <w:t>.</w:t>
      </w:r>
    </w:p>
    <w:p w14:paraId="3CBD98C4" w14:textId="77777777" w:rsidR="00D07C10" w:rsidRPr="00D07C10" w:rsidRDefault="00943D53" w:rsidP="00D07C10">
      <w:pPr>
        <w:pStyle w:val="ListParagraph"/>
        <w:numPr>
          <w:ilvl w:val="0"/>
          <w:numId w:val="41"/>
        </w:numPr>
        <w:spacing w:after="246"/>
        <w:ind w:right="14"/>
        <w:rPr>
          <w:rFonts w:ascii="Bookman Old Style" w:hAnsi="Bookman Old Style"/>
          <w:b/>
          <w:sz w:val="22"/>
          <w:szCs w:val="22"/>
        </w:rPr>
      </w:pPr>
      <w:r w:rsidRPr="00D07C10">
        <w:rPr>
          <w:rFonts w:ascii="Bookman Old Style" w:hAnsi="Bookman Old Style"/>
          <w:sz w:val="22"/>
          <w:szCs w:val="22"/>
        </w:rPr>
        <w:t>Reduce</w:t>
      </w:r>
      <w:r w:rsidR="00B26A1E" w:rsidRPr="00D07C10">
        <w:rPr>
          <w:rFonts w:ascii="Bookman Old Style" w:hAnsi="Bookman Old Style"/>
          <w:sz w:val="22"/>
          <w:szCs w:val="22"/>
        </w:rPr>
        <w:t xml:space="preserve"> the sampling frequency for the domestic package plant (internal Outfall 01</w:t>
      </w:r>
      <w:r w:rsidR="00D07C10">
        <w:rPr>
          <w:rFonts w:ascii="Bookman Old Style" w:hAnsi="Bookman Old Style"/>
          <w:sz w:val="22"/>
          <w:szCs w:val="22"/>
        </w:rPr>
        <w:t>1</w:t>
      </w:r>
      <w:r w:rsidR="00B26A1E" w:rsidRPr="00D07C10">
        <w:rPr>
          <w:rFonts w:ascii="Bookman Old Style" w:hAnsi="Bookman Old Style"/>
          <w:sz w:val="22"/>
          <w:szCs w:val="22"/>
        </w:rPr>
        <w:t xml:space="preserve">) </w:t>
      </w:r>
      <w:r w:rsidRPr="00D07C10">
        <w:rPr>
          <w:rFonts w:ascii="Bookman Old Style" w:hAnsi="Bookman Old Style"/>
          <w:sz w:val="22"/>
          <w:szCs w:val="22"/>
        </w:rPr>
        <w:t>from Weekly to Q</w:t>
      </w:r>
      <w:r w:rsidR="00B26A1E" w:rsidRPr="00D07C10">
        <w:rPr>
          <w:rFonts w:ascii="Bookman Old Style" w:hAnsi="Bookman Old Style"/>
          <w:sz w:val="22"/>
          <w:szCs w:val="22"/>
        </w:rPr>
        <w:t xml:space="preserve">uarterly to </w:t>
      </w:r>
      <w:r w:rsidR="00D07C10" w:rsidRPr="00D07C10">
        <w:rPr>
          <w:rFonts w:ascii="Bookman Old Style" w:hAnsi="Bookman Old Style"/>
          <w:sz w:val="22"/>
          <w:szCs w:val="22"/>
        </w:rPr>
        <w:t xml:space="preserve">be consistent with other Duke permits. </w:t>
      </w:r>
    </w:p>
    <w:p w14:paraId="509A783C" w14:textId="77777777" w:rsidR="00B26A1E" w:rsidRPr="00D07C10" w:rsidRDefault="00D07C10" w:rsidP="00D07C10">
      <w:pPr>
        <w:pStyle w:val="ListParagraph"/>
        <w:numPr>
          <w:ilvl w:val="0"/>
          <w:numId w:val="41"/>
        </w:numPr>
        <w:spacing w:after="246"/>
        <w:ind w:right="14"/>
        <w:rPr>
          <w:rFonts w:ascii="Bookman Old Style" w:hAnsi="Bookman Old Style"/>
          <w:b/>
          <w:sz w:val="22"/>
          <w:szCs w:val="22"/>
        </w:rPr>
      </w:pPr>
      <w:r>
        <w:rPr>
          <w:rFonts w:ascii="Bookman Old Style" w:hAnsi="Bookman Old Style"/>
          <w:sz w:val="22"/>
          <w:szCs w:val="22"/>
        </w:rPr>
        <w:t xml:space="preserve">Include </w:t>
      </w:r>
      <w:r w:rsidR="00B26A1E" w:rsidRPr="00D07C10">
        <w:rPr>
          <w:rFonts w:ascii="Bookman Old Style" w:hAnsi="Bookman Old Style"/>
          <w:sz w:val="22"/>
          <w:szCs w:val="22"/>
        </w:rPr>
        <w:t>industrial stormwater from the new CCR landfill to be added as a contributing flow to the lined retention basin before discharging to Mayo Reservoir via Outfall 002.</w:t>
      </w:r>
    </w:p>
    <w:p w14:paraId="51037840" w14:textId="77777777" w:rsidR="005C5F78" w:rsidRPr="00BA60CC" w:rsidRDefault="00BA60CC">
      <w:pPr>
        <w:jc w:val="both"/>
        <w:rPr>
          <w:rFonts w:ascii="Bookman Old Style" w:hAnsi="Bookman Old Style"/>
          <w:b/>
          <w:sz w:val="22"/>
          <w:szCs w:val="22"/>
        </w:rPr>
      </w:pPr>
      <w:r>
        <w:rPr>
          <w:rFonts w:ascii="Bookman Old Style" w:hAnsi="Bookman Old Style"/>
          <w:b/>
          <w:sz w:val="22"/>
          <w:szCs w:val="22"/>
        </w:rPr>
        <w:t>All the remaining terms and conditions of the permit remain unchanged.</w:t>
      </w:r>
    </w:p>
    <w:p w14:paraId="0D292305" w14:textId="77777777" w:rsidR="005C5F78" w:rsidRDefault="005C5F78">
      <w:pPr>
        <w:jc w:val="both"/>
        <w:rPr>
          <w:rFonts w:ascii="Bookman Old Style" w:hAnsi="Bookman Old Style"/>
          <w:sz w:val="22"/>
          <w:szCs w:val="22"/>
        </w:rPr>
      </w:pPr>
    </w:p>
    <w:p w14:paraId="7E311C47" w14:textId="77777777" w:rsidR="00200D6B" w:rsidRPr="00984B8B" w:rsidRDefault="003A10FC">
      <w:pPr>
        <w:jc w:val="both"/>
        <w:rPr>
          <w:rFonts w:ascii="Bookman Old Style" w:hAnsi="Bookman Old Style"/>
          <w:sz w:val="22"/>
          <w:szCs w:val="22"/>
        </w:rPr>
      </w:pPr>
      <w:r w:rsidRPr="00984B8B">
        <w:rPr>
          <w:rFonts w:ascii="Bookman Old Style" w:hAnsi="Bookman Old Style"/>
          <w:sz w:val="22"/>
          <w:szCs w:val="22"/>
        </w:rPr>
        <w:t xml:space="preserve">Water for plant uses is withdrawn from the Mayo Reservoir as required to make up evaporative losses from the cooling tower, boiler water and drinking water needs. This facility is subject to EPA effluent guideline limits per 40 CFR 423- Steam Electric Power Generating Point Source Category. The facility </w:t>
      </w:r>
      <w:r w:rsidR="001D751E">
        <w:rPr>
          <w:rFonts w:ascii="Bookman Old Style" w:hAnsi="Bookman Old Style"/>
          <w:sz w:val="22"/>
          <w:szCs w:val="22"/>
        </w:rPr>
        <w:t xml:space="preserve">has a </w:t>
      </w:r>
      <w:r w:rsidRPr="00984B8B">
        <w:rPr>
          <w:rFonts w:ascii="Bookman Old Style" w:hAnsi="Bookman Old Style"/>
          <w:sz w:val="22"/>
          <w:szCs w:val="22"/>
        </w:rPr>
        <w:t>closed cycle cooling system</w:t>
      </w:r>
      <w:r w:rsidR="00F62A5A">
        <w:rPr>
          <w:rFonts w:ascii="Bookman Old Style" w:hAnsi="Bookman Old Style"/>
          <w:sz w:val="22"/>
          <w:szCs w:val="22"/>
        </w:rPr>
        <w:t xml:space="preserve"> (cooling tower)</w:t>
      </w:r>
      <w:r w:rsidR="00343796">
        <w:rPr>
          <w:rFonts w:ascii="Bookman Old Style" w:hAnsi="Bookman Old Style"/>
          <w:sz w:val="22"/>
          <w:szCs w:val="22"/>
        </w:rPr>
        <w:t xml:space="preserve">, actual intake flow and design intake flow is less than 125 MGD. </w:t>
      </w:r>
      <w:r w:rsidR="002D55BF" w:rsidRPr="00984B8B">
        <w:rPr>
          <w:rFonts w:ascii="Bookman Old Style" w:hAnsi="Bookman Old Style"/>
          <w:sz w:val="22"/>
          <w:szCs w:val="22"/>
        </w:rPr>
        <w:t>The facility has a dry fly ash handling system</w:t>
      </w:r>
      <w:r w:rsidR="00343796">
        <w:rPr>
          <w:rFonts w:ascii="Bookman Old Style" w:hAnsi="Bookman Old Style"/>
          <w:sz w:val="22"/>
          <w:szCs w:val="22"/>
        </w:rPr>
        <w:t>,</w:t>
      </w:r>
      <w:r w:rsidR="002D55BF" w:rsidRPr="00984B8B">
        <w:rPr>
          <w:rFonts w:ascii="Bookman Old Style" w:hAnsi="Bookman Old Style"/>
          <w:sz w:val="22"/>
          <w:szCs w:val="22"/>
        </w:rPr>
        <w:t xml:space="preserve"> dry bottom ash handling system</w:t>
      </w:r>
      <w:r w:rsidR="00343796">
        <w:rPr>
          <w:rFonts w:ascii="Bookman Old Style" w:hAnsi="Bookman Old Style"/>
          <w:sz w:val="22"/>
          <w:szCs w:val="22"/>
        </w:rPr>
        <w:t>, and one ash pond</w:t>
      </w:r>
      <w:r w:rsidR="00F62A5A">
        <w:rPr>
          <w:rFonts w:ascii="Bookman Old Style" w:hAnsi="Bookman Old Style"/>
          <w:sz w:val="22"/>
          <w:szCs w:val="22"/>
        </w:rPr>
        <w:t>.</w:t>
      </w:r>
    </w:p>
    <w:p w14:paraId="3D16C91A" w14:textId="77777777" w:rsidR="005738E8" w:rsidRPr="00984B8B" w:rsidRDefault="005738E8">
      <w:pPr>
        <w:jc w:val="both"/>
        <w:rPr>
          <w:rFonts w:ascii="Bookman Old Style" w:hAnsi="Bookman Old Style"/>
          <w:sz w:val="22"/>
          <w:szCs w:val="22"/>
        </w:rPr>
      </w:pPr>
    </w:p>
    <w:p w14:paraId="2E2DC748" w14:textId="77777777" w:rsidR="005738E8" w:rsidRPr="008A7CCA" w:rsidRDefault="005738E8" w:rsidP="009F29E3">
      <w:pPr>
        <w:rPr>
          <w:rFonts w:ascii="Bookman Old Style" w:hAnsi="Bookman Old Style"/>
          <w:sz w:val="22"/>
          <w:szCs w:val="22"/>
        </w:rPr>
      </w:pPr>
      <w:r w:rsidRPr="008A7CCA">
        <w:rPr>
          <w:rFonts w:ascii="Bookman Old Style" w:hAnsi="Bookman Old Style"/>
          <w:sz w:val="22"/>
          <w:szCs w:val="22"/>
        </w:rPr>
        <w:t xml:space="preserve">The mixing zone for Chlorides was granted to the facility in December of 2007. The daily maximum limit for Chlorides </w:t>
      </w:r>
      <w:r w:rsidR="009F29E3" w:rsidRPr="008A7CCA">
        <w:rPr>
          <w:rFonts w:ascii="Bookman Old Style" w:hAnsi="Bookman Old Style"/>
          <w:sz w:val="22"/>
          <w:szCs w:val="22"/>
        </w:rPr>
        <w:t xml:space="preserve">in the permit </w:t>
      </w:r>
      <w:r w:rsidR="00723C77">
        <w:rPr>
          <w:rFonts w:ascii="Bookman Old Style" w:hAnsi="Bookman Old Style"/>
          <w:sz w:val="22"/>
          <w:szCs w:val="22"/>
        </w:rPr>
        <w:t>was</w:t>
      </w:r>
      <w:r w:rsidRPr="008A7CCA">
        <w:rPr>
          <w:rFonts w:ascii="Bookman Old Style" w:hAnsi="Bookman Old Style"/>
          <w:sz w:val="22"/>
          <w:szCs w:val="22"/>
        </w:rPr>
        <w:t xml:space="preserve"> an acute limit, monthly average </w:t>
      </w:r>
      <w:r w:rsidR="00723C77">
        <w:rPr>
          <w:rFonts w:ascii="Bookman Old Style" w:hAnsi="Bookman Old Style"/>
          <w:sz w:val="22"/>
          <w:szCs w:val="22"/>
        </w:rPr>
        <w:t>was</w:t>
      </w:r>
      <w:r w:rsidRPr="008A7CCA">
        <w:rPr>
          <w:rFonts w:ascii="Bookman Old Style" w:hAnsi="Bookman Old Style"/>
          <w:sz w:val="22"/>
          <w:szCs w:val="22"/>
        </w:rPr>
        <w:t xml:space="preserve"> allowed to exceed the state water quality standard in the mixing zone, it </w:t>
      </w:r>
      <w:r w:rsidR="00723C77">
        <w:rPr>
          <w:rFonts w:ascii="Bookman Old Style" w:hAnsi="Bookman Old Style"/>
          <w:sz w:val="22"/>
          <w:szCs w:val="22"/>
        </w:rPr>
        <w:t>was</w:t>
      </w:r>
      <w:r w:rsidRPr="008A7CCA">
        <w:rPr>
          <w:rFonts w:ascii="Bookman Old Style" w:hAnsi="Bookman Old Style"/>
          <w:sz w:val="22"/>
          <w:szCs w:val="22"/>
        </w:rPr>
        <w:t xml:space="preserve"> set at 672.0 mg/L and </w:t>
      </w:r>
      <w:r w:rsidR="00723C77">
        <w:rPr>
          <w:rFonts w:ascii="Bookman Old Style" w:hAnsi="Bookman Old Style"/>
          <w:sz w:val="22"/>
          <w:szCs w:val="22"/>
        </w:rPr>
        <w:t>was</w:t>
      </w:r>
      <w:r w:rsidRPr="008A7CCA">
        <w:rPr>
          <w:rFonts w:ascii="Bookman Old Style" w:hAnsi="Bookman Old Style"/>
          <w:sz w:val="22"/>
          <w:szCs w:val="22"/>
        </w:rPr>
        <w:t xml:space="preserve"> based on the modeling information. However, the Chloride </w:t>
      </w:r>
      <w:r w:rsidR="009F29E3" w:rsidRPr="008A7CCA">
        <w:rPr>
          <w:rFonts w:ascii="Bookman Old Style" w:hAnsi="Bookman Old Style"/>
          <w:sz w:val="22"/>
          <w:szCs w:val="22"/>
        </w:rPr>
        <w:t xml:space="preserve">chronic </w:t>
      </w:r>
      <w:r w:rsidR="00723C77">
        <w:rPr>
          <w:rFonts w:ascii="Bookman Old Style" w:hAnsi="Bookman Old Style"/>
          <w:sz w:val="22"/>
          <w:szCs w:val="22"/>
        </w:rPr>
        <w:t>standard was</w:t>
      </w:r>
      <w:r w:rsidRPr="008A7CCA">
        <w:rPr>
          <w:rFonts w:ascii="Bookman Old Style" w:hAnsi="Bookman Old Style"/>
          <w:sz w:val="22"/>
          <w:szCs w:val="22"/>
        </w:rPr>
        <w:t xml:space="preserve"> being met at the end of the mixing zone</w:t>
      </w:r>
      <w:r w:rsidR="009F29E3" w:rsidRPr="008A7CCA">
        <w:rPr>
          <w:rFonts w:ascii="Bookman Old Style" w:hAnsi="Bookman Old Style"/>
          <w:sz w:val="22"/>
          <w:szCs w:val="22"/>
        </w:rPr>
        <w:t>. T</w:t>
      </w:r>
      <w:r w:rsidRPr="008A7CCA">
        <w:rPr>
          <w:rFonts w:ascii="Bookman Old Style" w:hAnsi="Bookman Old Style"/>
          <w:sz w:val="22"/>
          <w:szCs w:val="22"/>
        </w:rPr>
        <w:t xml:space="preserve">he </w:t>
      </w:r>
      <w:r w:rsidR="009F29E3" w:rsidRPr="008A7CCA">
        <w:rPr>
          <w:rFonts w:ascii="Bookman Old Style" w:hAnsi="Bookman Old Style"/>
          <w:sz w:val="22"/>
          <w:szCs w:val="22"/>
        </w:rPr>
        <w:t xml:space="preserve">size of the </w:t>
      </w:r>
      <w:r w:rsidRPr="008A7CCA">
        <w:rPr>
          <w:rFonts w:ascii="Bookman Old Style" w:hAnsi="Bookman Old Style"/>
          <w:sz w:val="22"/>
          <w:szCs w:val="22"/>
        </w:rPr>
        <w:t xml:space="preserve">mixing zone </w:t>
      </w:r>
      <w:r w:rsidR="00723C77">
        <w:rPr>
          <w:rFonts w:ascii="Bookman Old Style" w:hAnsi="Bookman Old Style"/>
          <w:sz w:val="22"/>
          <w:szCs w:val="22"/>
        </w:rPr>
        <w:t>was</w:t>
      </w:r>
      <w:r w:rsidRPr="008A7CCA">
        <w:rPr>
          <w:rFonts w:ascii="Bookman Old Style" w:hAnsi="Bookman Old Style"/>
          <w:sz w:val="22"/>
          <w:szCs w:val="22"/>
        </w:rPr>
        <w:t xml:space="preserve"> established in accordance with the model.</w:t>
      </w:r>
      <w:r w:rsidR="000D69CF">
        <w:rPr>
          <w:rFonts w:ascii="Bookman Old Style" w:hAnsi="Bookman Old Style"/>
          <w:sz w:val="22"/>
          <w:szCs w:val="22"/>
        </w:rPr>
        <w:t xml:space="preserve"> The facility requested the removal of the mixing zone with this renewal due to the installation of the Vapor Compressor Evaporator for FGD wastewater. The request was granted. </w:t>
      </w:r>
      <w:r w:rsidRPr="008A7CCA">
        <w:rPr>
          <w:rFonts w:ascii="Bookman Old Style" w:hAnsi="Bookman Old Style"/>
          <w:sz w:val="22"/>
          <w:szCs w:val="22"/>
        </w:rPr>
        <w:br/>
      </w:r>
    </w:p>
    <w:p w14:paraId="2D42F105" w14:textId="77777777" w:rsidR="00200D6B" w:rsidRPr="008A7CCA" w:rsidRDefault="001323CB">
      <w:pPr>
        <w:pStyle w:val="BodyText"/>
        <w:rPr>
          <w:rFonts w:ascii="Bookman Old Style" w:hAnsi="Bookman Old Style"/>
          <w:i w:val="0"/>
          <w:color w:val="auto"/>
          <w:sz w:val="22"/>
          <w:szCs w:val="22"/>
        </w:rPr>
      </w:pPr>
      <w:r w:rsidRPr="008A7CCA">
        <w:rPr>
          <w:rFonts w:ascii="Bookman Old Style" w:hAnsi="Bookman Old Style"/>
          <w:i w:val="0"/>
          <w:color w:val="auto"/>
          <w:sz w:val="22"/>
          <w:szCs w:val="22"/>
        </w:rPr>
        <w:t xml:space="preserve">The facility </w:t>
      </w:r>
      <w:proofErr w:type="gramStart"/>
      <w:r w:rsidRPr="008A7CCA">
        <w:rPr>
          <w:rFonts w:ascii="Bookman Old Style" w:hAnsi="Bookman Old Style"/>
          <w:i w:val="0"/>
          <w:color w:val="auto"/>
          <w:sz w:val="22"/>
          <w:szCs w:val="22"/>
        </w:rPr>
        <w:t>is located in</w:t>
      </w:r>
      <w:proofErr w:type="gramEnd"/>
      <w:r w:rsidRPr="008A7CCA">
        <w:rPr>
          <w:rFonts w:ascii="Bookman Old Style" w:hAnsi="Bookman Old Style"/>
          <w:i w:val="0"/>
          <w:color w:val="auto"/>
          <w:sz w:val="22"/>
          <w:szCs w:val="22"/>
        </w:rPr>
        <w:t xml:space="preserve"> the Lower Piedmont area of the state, the applicable state water quality temperature standard is 32</w:t>
      </w:r>
      <w:r w:rsidRPr="008A7CCA">
        <w:rPr>
          <w:rFonts w:ascii="Bookman Old Style" w:hAnsi="Bookman Old Style"/>
          <w:i w:val="0"/>
          <w:color w:val="auto"/>
          <w:sz w:val="22"/>
          <w:szCs w:val="22"/>
          <w:vertAlign w:val="superscript"/>
        </w:rPr>
        <w:t>o</w:t>
      </w:r>
      <w:r w:rsidRPr="008A7CCA">
        <w:rPr>
          <w:rFonts w:ascii="Bookman Old Style" w:hAnsi="Bookman Old Style"/>
          <w:i w:val="0"/>
          <w:color w:val="auto"/>
          <w:sz w:val="22"/>
          <w:szCs w:val="22"/>
        </w:rPr>
        <w:t>C (89.6 F).</w:t>
      </w:r>
    </w:p>
    <w:p w14:paraId="7C251AD0" w14:textId="77777777" w:rsidR="001323CB" w:rsidRPr="00984B8B" w:rsidRDefault="001323CB">
      <w:pPr>
        <w:pStyle w:val="BodyText"/>
        <w:rPr>
          <w:rFonts w:ascii="Bookman Old Style" w:hAnsi="Bookman Old Style"/>
          <w:i w:val="0"/>
          <w:sz w:val="22"/>
          <w:szCs w:val="22"/>
        </w:rPr>
      </w:pPr>
    </w:p>
    <w:p w14:paraId="3682A123" w14:textId="77777777" w:rsidR="00200D6B" w:rsidRPr="00984B8B" w:rsidRDefault="00EF0A28">
      <w:pPr>
        <w:pStyle w:val="BodyText"/>
        <w:rPr>
          <w:rFonts w:ascii="Bookman Old Style" w:hAnsi="Bookman Old Style"/>
          <w:i w:val="0"/>
          <w:iCs/>
          <w:color w:val="auto"/>
          <w:sz w:val="22"/>
          <w:szCs w:val="22"/>
        </w:rPr>
      </w:pPr>
      <w:r w:rsidRPr="00984B8B">
        <w:rPr>
          <w:rFonts w:ascii="Bookman Old Style" w:hAnsi="Bookman Old Style"/>
          <w:i w:val="0"/>
          <w:iCs/>
          <w:color w:val="auto"/>
          <w:sz w:val="22"/>
          <w:szCs w:val="22"/>
        </w:rPr>
        <w:t>I</w:t>
      </w:r>
      <w:r w:rsidR="003A10FC" w:rsidRPr="00984B8B">
        <w:rPr>
          <w:rFonts w:ascii="Bookman Old Style" w:hAnsi="Bookman Old Style"/>
          <w:i w:val="0"/>
          <w:iCs/>
          <w:color w:val="auto"/>
          <w:sz w:val="22"/>
          <w:szCs w:val="22"/>
        </w:rPr>
        <w:t>n response to North Carolina’s Clean Air Initiative (Clean Smokestacks Bill</w:t>
      </w:r>
      <w:r w:rsidRPr="00984B8B">
        <w:rPr>
          <w:rFonts w:ascii="Bookman Old Style" w:hAnsi="Bookman Old Style"/>
          <w:i w:val="0"/>
          <w:iCs/>
          <w:color w:val="auto"/>
          <w:sz w:val="22"/>
          <w:szCs w:val="22"/>
        </w:rPr>
        <w:t xml:space="preserve"> of 2002</w:t>
      </w:r>
      <w:r w:rsidR="003A10FC" w:rsidRPr="00984B8B">
        <w:rPr>
          <w:rFonts w:ascii="Bookman Old Style" w:hAnsi="Bookman Old Style"/>
          <w:i w:val="0"/>
          <w:iCs/>
          <w:color w:val="auto"/>
          <w:sz w:val="22"/>
          <w:szCs w:val="22"/>
        </w:rPr>
        <w:t>), which requires the reduction of S0x and N0x from air emissions, the company install</w:t>
      </w:r>
      <w:r w:rsidRPr="00984B8B">
        <w:rPr>
          <w:rFonts w:ascii="Bookman Old Style" w:hAnsi="Bookman Old Style"/>
          <w:i w:val="0"/>
          <w:iCs/>
          <w:color w:val="auto"/>
          <w:sz w:val="22"/>
          <w:szCs w:val="22"/>
        </w:rPr>
        <w:t>ed</w:t>
      </w:r>
      <w:r w:rsidR="003A10FC" w:rsidRPr="00984B8B">
        <w:rPr>
          <w:rFonts w:ascii="Bookman Old Style" w:hAnsi="Bookman Old Style"/>
          <w:i w:val="0"/>
          <w:iCs/>
          <w:color w:val="auto"/>
          <w:sz w:val="22"/>
          <w:szCs w:val="22"/>
        </w:rPr>
        <w:t xml:space="preserve"> Flue Gas Desulfurization (FGD) system.  The FGD is essentially a scrubber system to remove S0x by mixing flue gas with a limestone slurry.  </w:t>
      </w:r>
    </w:p>
    <w:p w14:paraId="4C6C940E" w14:textId="77777777" w:rsidR="00200D6B" w:rsidRPr="00984B8B" w:rsidRDefault="00200D6B">
      <w:pPr>
        <w:pStyle w:val="BodyText"/>
        <w:rPr>
          <w:rFonts w:ascii="Bookman Old Style" w:hAnsi="Bookman Old Style"/>
          <w:i w:val="0"/>
          <w:iCs/>
          <w:color w:val="auto"/>
          <w:sz w:val="22"/>
          <w:szCs w:val="22"/>
        </w:rPr>
      </w:pPr>
    </w:p>
    <w:p w14:paraId="7C78BCD7" w14:textId="77777777" w:rsidR="00EE06C2" w:rsidRPr="00984B8B" w:rsidRDefault="003A10FC">
      <w:pPr>
        <w:pStyle w:val="BodyText"/>
        <w:rPr>
          <w:rFonts w:ascii="Bookman Old Style" w:hAnsi="Bookman Old Style"/>
          <w:i w:val="0"/>
          <w:color w:val="auto"/>
          <w:sz w:val="22"/>
          <w:szCs w:val="22"/>
        </w:rPr>
      </w:pPr>
      <w:r w:rsidRPr="00984B8B">
        <w:rPr>
          <w:rFonts w:ascii="Bookman Old Style" w:hAnsi="Bookman Old Style"/>
          <w:i w:val="0"/>
          <w:iCs/>
          <w:color w:val="auto"/>
          <w:sz w:val="22"/>
          <w:szCs w:val="22"/>
        </w:rPr>
        <w:t>The FGD blowdown generate</w:t>
      </w:r>
      <w:r w:rsidR="00EF0A28" w:rsidRPr="00984B8B">
        <w:rPr>
          <w:rFonts w:ascii="Bookman Old Style" w:hAnsi="Bookman Old Style"/>
          <w:i w:val="0"/>
          <w:iCs/>
          <w:color w:val="auto"/>
          <w:sz w:val="22"/>
          <w:szCs w:val="22"/>
        </w:rPr>
        <w:t>s</w:t>
      </w:r>
      <w:r w:rsidRPr="00984B8B">
        <w:rPr>
          <w:rFonts w:ascii="Bookman Old Style" w:hAnsi="Bookman Old Style"/>
          <w:i w:val="0"/>
          <w:iCs/>
          <w:color w:val="auto"/>
          <w:sz w:val="22"/>
          <w:szCs w:val="22"/>
        </w:rPr>
        <w:t xml:space="preserve"> a flow of </w:t>
      </w:r>
      <w:r w:rsidR="00EF0A28" w:rsidRPr="00984B8B">
        <w:rPr>
          <w:rFonts w:ascii="Bookman Old Style" w:hAnsi="Bookman Old Style"/>
          <w:i w:val="0"/>
          <w:iCs/>
          <w:color w:val="auto"/>
          <w:sz w:val="22"/>
          <w:szCs w:val="22"/>
        </w:rPr>
        <w:t xml:space="preserve">approximately </w:t>
      </w:r>
      <w:r w:rsidRPr="00984B8B">
        <w:rPr>
          <w:rFonts w:ascii="Bookman Old Style" w:hAnsi="Bookman Old Style"/>
          <w:i w:val="0"/>
          <w:iCs/>
          <w:color w:val="auto"/>
          <w:sz w:val="22"/>
          <w:szCs w:val="22"/>
        </w:rPr>
        <w:t>0.25</w:t>
      </w:r>
      <w:r w:rsidR="00EF0A28" w:rsidRPr="00984B8B">
        <w:rPr>
          <w:rFonts w:ascii="Bookman Old Style" w:hAnsi="Bookman Old Style"/>
          <w:i w:val="0"/>
          <w:iCs/>
          <w:color w:val="auto"/>
          <w:sz w:val="22"/>
          <w:szCs w:val="22"/>
        </w:rPr>
        <w:t>4</w:t>
      </w:r>
      <w:r w:rsidRPr="00984B8B">
        <w:rPr>
          <w:rFonts w:ascii="Bookman Old Style" w:hAnsi="Bookman Old Style"/>
          <w:i w:val="0"/>
          <w:iCs/>
          <w:color w:val="auto"/>
          <w:sz w:val="22"/>
          <w:szCs w:val="22"/>
        </w:rPr>
        <w:t xml:space="preserve"> MGD, with relatively elevated concentrations of metals and chloride.  </w:t>
      </w:r>
      <w:r w:rsidR="004C0754" w:rsidRPr="00984B8B">
        <w:rPr>
          <w:rFonts w:ascii="Bookman Old Style" w:hAnsi="Bookman Old Style"/>
          <w:i w:val="0"/>
          <w:iCs/>
          <w:color w:val="auto"/>
          <w:sz w:val="22"/>
          <w:szCs w:val="22"/>
        </w:rPr>
        <w:t xml:space="preserve">Duke Energy </w:t>
      </w:r>
      <w:r w:rsidRPr="00984B8B">
        <w:rPr>
          <w:rFonts w:ascii="Bookman Old Style" w:hAnsi="Bookman Old Style"/>
          <w:i w:val="0"/>
          <w:iCs/>
          <w:color w:val="auto"/>
          <w:sz w:val="22"/>
          <w:szCs w:val="22"/>
        </w:rPr>
        <w:t>Progress treat</w:t>
      </w:r>
      <w:r w:rsidR="00EF0A28" w:rsidRPr="00984B8B">
        <w:rPr>
          <w:rFonts w:ascii="Bookman Old Style" w:hAnsi="Bookman Old Style"/>
          <w:i w:val="0"/>
          <w:iCs/>
          <w:color w:val="auto"/>
          <w:sz w:val="22"/>
          <w:szCs w:val="22"/>
        </w:rPr>
        <w:t>s</w:t>
      </w:r>
      <w:r w:rsidRPr="00984B8B">
        <w:rPr>
          <w:rFonts w:ascii="Bookman Old Style" w:hAnsi="Bookman Old Style"/>
          <w:i w:val="0"/>
          <w:iCs/>
          <w:color w:val="auto"/>
          <w:sz w:val="22"/>
          <w:szCs w:val="22"/>
        </w:rPr>
        <w:t xml:space="preserve"> the FGD blowdown via </w:t>
      </w:r>
      <w:r w:rsidR="00EA7DCB">
        <w:rPr>
          <w:rFonts w:ascii="Bookman Old Style" w:hAnsi="Bookman Old Style"/>
          <w:i w:val="0"/>
          <w:iCs/>
          <w:color w:val="auto"/>
          <w:sz w:val="22"/>
          <w:szCs w:val="22"/>
        </w:rPr>
        <w:t xml:space="preserve">VCE (vapor compression evaporator) </w:t>
      </w:r>
      <w:r w:rsidR="00EE06C2" w:rsidRPr="00984B8B">
        <w:rPr>
          <w:rFonts w:ascii="Bookman Old Style" w:hAnsi="Bookman Old Style"/>
          <w:i w:val="0"/>
          <w:color w:val="auto"/>
          <w:sz w:val="22"/>
          <w:szCs w:val="22"/>
        </w:rPr>
        <w:t xml:space="preserve">whose purpose </w:t>
      </w:r>
      <w:r w:rsidR="00FF392E">
        <w:rPr>
          <w:rFonts w:ascii="Bookman Old Style" w:hAnsi="Bookman Old Style"/>
          <w:i w:val="0"/>
          <w:color w:val="auto"/>
          <w:sz w:val="22"/>
          <w:szCs w:val="22"/>
        </w:rPr>
        <w:t>is</w:t>
      </w:r>
      <w:r w:rsidR="00EE06C2" w:rsidRPr="00984B8B">
        <w:rPr>
          <w:rFonts w:ascii="Bookman Old Style" w:hAnsi="Bookman Old Style"/>
          <w:i w:val="0"/>
          <w:color w:val="auto"/>
          <w:sz w:val="22"/>
          <w:szCs w:val="22"/>
        </w:rPr>
        <w:t xml:space="preserve"> to evaporate the majority of the waste water produced from the FGD scrubber system. The </w:t>
      </w:r>
      <w:r w:rsidR="00FF392E">
        <w:rPr>
          <w:rFonts w:ascii="Bookman Old Style" w:hAnsi="Bookman Old Style"/>
          <w:i w:val="0"/>
          <w:color w:val="auto"/>
          <w:sz w:val="22"/>
          <w:szCs w:val="22"/>
        </w:rPr>
        <w:t>VCE became operational in February, 2015. It</w:t>
      </w:r>
      <w:r w:rsidR="00EE06C2" w:rsidRPr="00984B8B">
        <w:rPr>
          <w:rFonts w:ascii="Bookman Old Style" w:hAnsi="Bookman Old Style"/>
          <w:i w:val="0"/>
          <w:color w:val="auto"/>
          <w:sz w:val="22"/>
          <w:szCs w:val="22"/>
        </w:rPr>
        <w:t xml:space="preserve"> produce</w:t>
      </w:r>
      <w:r w:rsidR="00FF392E">
        <w:rPr>
          <w:rFonts w:ascii="Bookman Old Style" w:hAnsi="Bookman Old Style"/>
          <w:i w:val="0"/>
          <w:color w:val="auto"/>
          <w:sz w:val="22"/>
          <w:szCs w:val="22"/>
        </w:rPr>
        <w:t>s</w:t>
      </w:r>
      <w:r w:rsidR="00EE06C2" w:rsidRPr="00984B8B">
        <w:rPr>
          <w:rFonts w:ascii="Bookman Old Style" w:hAnsi="Bookman Old Style"/>
          <w:i w:val="0"/>
          <w:color w:val="auto"/>
          <w:sz w:val="22"/>
          <w:szCs w:val="22"/>
        </w:rPr>
        <w:t xml:space="preserve"> two waste </w:t>
      </w:r>
      <w:proofErr w:type="gramStart"/>
      <w:r w:rsidR="00EE06C2" w:rsidRPr="00984B8B">
        <w:rPr>
          <w:rFonts w:ascii="Bookman Old Style" w:hAnsi="Bookman Old Style"/>
          <w:i w:val="0"/>
          <w:color w:val="auto"/>
          <w:sz w:val="22"/>
          <w:szCs w:val="22"/>
        </w:rPr>
        <w:t>streams,</w:t>
      </w:r>
      <w:proofErr w:type="gramEnd"/>
      <w:r w:rsidR="00EE06C2" w:rsidRPr="00984B8B">
        <w:rPr>
          <w:rFonts w:ascii="Bookman Old Style" w:hAnsi="Bookman Old Style"/>
          <w:i w:val="0"/>
          <w:color w:val="auto"/>
          <w:sz w:val="22"/>
          <w:szCs w:val="22"/>
        </w:rPr>
        <w:t xml:space="preserve"> both </w:t>
      </w:r>
      <w:r w:rsidR="00FF392E">
        <w:rPr>
          <w:rFonts w:ascii="Bookman Old Style" w:hAnsi="Bookman Old Style"/>
          <w:i w:val="0"/>
          <w:color w:val="auto"/>
          <w:sz w:val="22"/>
          <w:szCs w:val="22"/>
        </w:rPr>
        <w:t>are</w:t>
      </w:r>
      <w:r w:rsidR="00EE06C2" w:rsidRPr="00984B8B">
        <w:rPr>
          <w:rFonts w:ascii="Bookman Old Style" w:hAnsi="Bookman Old Style"/>
          <w:i w:val="0"/>
          <w:color w:val="auto"/>
          <w:sz w:val="22"/>
          <w:szCs w:val="22"/>
        </w:rPr>
        <w:t xml:space="preserve"> utilized in the plant processes. The concentrated wastewater </w:t>
      </w:r>
      <w:r w:rsidR="00A41BD3">
        <w:rPr>
          <w:rFonts w:ascii="Bookman Old Style" w:hAnsi="Bookman Old Style"/>
          <w:i w:val="0"/>
          <w:color w:val="auto"/>
          <w:sz w:val="22"/>
          <w:szCs w:val="22"/>
        </w:rPr>
        <w:t>is</w:t>
      </w:r>
      <w:r w:rsidR="00EE06C2" w:rsidRPr="00984B8B">
        <w:rPr>
          <w:rFonts w:ascii="Bookman Old Style" w:hAnsi="Bookman Old Style"/>
          <w:i w:val="0"/>
          <w:color w:val="auto"/>
          <w:sz w:val="22"/>
          <w:szCs w:val="22"/>
        </w:rPr>
        <w:t xml:space="preserve"> used for moisture conditioning of fly ash prior to sen</w:t>
      </w:r>
      <w:r w:rsidR="00F32177" w:rsidRPr="00984B8B">
        <w:rPr>
          <w:rFonts w:ascii="Bookman Old Style" w:hAnsi="Bookman Old Style"/>
          <w:i w:val="0"/>
          <w:color w:val="auto"/>
          <w:sz w:val="22"/>
          <w:szCs w:val="22"/>
        </w:rPr>
        <w:t>d</w:t>
      </w:r>
      <w:r w:rsidR="00EE06C2" w:rsidRPr="00984B8B">
        <w:rPr>
          <w:rFonts w:ascii="Bookman Old Style" w:hAnsi="Bookman Old Style"/>
          <w:i w:val="0"/>
          <w:color w:val="auto"/>
          <w:sz w:val="22"/>
          <w:szCs w:val="22"/>
        </w:rPr>
        <w:t xml:space="preserve">ing to the landfill. The second stream is a clean distillate that </w:t>
      </w:r>
      <w:r w:rsidR="00A41BD3">
        <w:rPr>
          <w:rFonts w:ascii="Bookman Old Style" w:hAnsi="Bookman Old Style"/>
          <w:i w:val="0"/>
          <w:color w:val="auto"/>
          <w:sz w:val="22"/>
          <w:szCs w:val="22"/>
        </w:rPr>
        <w:t xml:space="preserve">is </w:t>
      </w:r>
      <w:r w:rsidR="00EE06C2" w:rsidRPr="00984B8B">
        <w:rPr>
          <w:rFonts w:ascii="Bookman Old Style" w:hAnsi="Bookman Old Style"/>
          <w:i w:val="0"/>
          <w:color w:val="auto"/>
          <w:sz w:val="22"/>
          <w:szCs w:val="22"/>
        </w:rPr>
        <w:t xml:space="preserve">utilized to partially replace water withdrawal from Mayo </w:t>
      </w:r>
      <w:r w:rsidR="007A40C8">
        <w:rPr>
          <w:rFonts w:ascii="Bookman Old Style" w:hAnsi="Bookman Old Style"/>
          <w:i w:val="0"/>
          <w:color w:val="auto"/>
          <w:sz w:val="22"/>
          <w:szCs w:val="22"/>
        </w:rPr>
        <w:t>Reservoir</w:t>
      </w:r>
      <w:r w:rsidR="00EE06C2" w:rsidRPr="00984B8B">
        <w:rPr>
          <w:rFonts w:ascii="Bookman Old Style" w:hAnsi="Bookman Old Style"/>
          <w:i w:val="0"/>
          <w:color w:val="auto"/>
          <w:sz w:val="22"/>
          <w:szCs w:val="22"/>
        </w:rPr>
        <w:t xml:space="preserve">. </w:t>
      </w:r>
      <w:r w:rsidR="00145950" w:rsidRPr="00984B8B">
        <w:rPr>
          <w:rFonts w:ascii="Bookman Old Style" w:hAnsi="Bookman Old Style"/>
          <w:i w:val="0"/>
          <w:color w:val="auto"/>
          <w:sz w:val="22"/>
          <w:szCs w:val="22"/>
        </w:rPr>
        <w:t xml:space="preserve">The </w:t>
      </w:r>
      <w:r w:rsidR="00A41BD3">
        <w:rPr>
          <w:rFonts w:ascii="Bookman Old Style" w:hAnsi="Bookman Old Style"/>
          <w:i w:val="0"/>
          <w:color w:val="auto"/>
          <w:sz w:val="22"/>
          <w:szCs w:val="22"/>
        </w:rPr>
        <w:t>VCE</w:t>
      </w:r>
      <w:r w:rsidR="00145950" w:rsidRPr="00984B8B">
        <w:rPr>
          <w:rFonts w:ascii="Bookman Old Style" w:hAnsi="Bookman Old Style"/>
          <w:i w:val="0"/>
          <w:color w:val="auto"/>
          <w:sz w:val="22"/>
          <w:szCs w:val="22"/>
        </w:rPr>
        <w:t xml:space="preserve"> system </w:t>
      </w:r>
      <w:r w:rsidR="00A41BD3">
        <w:rPr>
          <w:rFonts w:ascii="Bookman Old Style" w:hAnsi="Bookman Old Style"/>
          <w:i w:val="0"/>
          <w:color w:val="auto"/>
          <w:sz w:val="22"/>
          <w:szCs w:val="22"/>
        </w:rPr>
        <w:lastRenderedPageBreak/>
        <w:t xml:space="preserve">eliminates </w:t>
      </w:r>
      <w:r w:rsidR="00145950" w:rsidRPr="00984B8B">
        <w:rPr>
          <w:rFonts w:ascii="Bookman Old Style" w:hAnsi="Bookman Old Style"/>
          <w:i w:val="0"/>
          <w:color w:val="auto"/>
          <w:sz w:val="22"/>
          <w:szCs w:val="22"/>
        </w:rPr>
        <w:t>the FGD blowdown stream from Outfall 002</w:t>
      </w:r>
      <w:r w:rsidR="00A41BD3">
        <w:rPr>
          <w:rFonts w:ascii="Bookman Old Style" w:hAnsi="Bookman Old Style"/>
          <w:i w:val="0"/>
          <w:color w:val="auto"/>
          <w:sz w:val="22"/>
          <w:szCs w:val="22"/>
        </w:rPr>
        <w:t xml:space="preserve">, except </w:t>
      </w:r>
      <w:r w:rsidR="00565D99">
        <w:rPr>
          <w:rFonts w:ascii="Bookman Old Style" w:hAnsi="Bookman Old Style"/>
          <w:i w:val="0"/>
          <w:color w:val="auto"/>
          <w:sz w:val="22"/>
          <w:szCs w:val="22"/>
        </w:rPr>
        <w:t>during</w:t>
      </w:r>
      <w:r w:rsidR="00A41BD3">
        <w:rPr>
          <w:rFonts w:ascii="Bookman Old Style" w:hAnsi="Bookman Old Style"/>
          <w:i w:val="0"/>
          <w:color w:val="auto"/>
          <w:sz w:val="22"/>
          <w:szCs w:val="22"/>
        </w:rPr>
        <w:t xml:space="preserve"> severe rain events</w:t>
      </w:r>
      <w:r w:rsidR="00145950" w:rsidRPr="00984B8B">
        <w:rPr>
          <w:rFonts w:ascii="Bookman Old Style" w:hAnsi="Bookman Old Style"/>
          <w:i w:val="0"/>
          <w:color w:val="auto"/>
          <w:sz w:val="22"/>
          <w:szCs w:val="22"/>
        </w:rPr>
        <w:t>.</w:t>
      </w:r>
    </w:p>
    <w:p w14:paraId="3EF1898E" w14:textId="77777777" w:rsidR="00145950" w:rsidRPr="00984B8B" w:rsidRDefault="00145950">
      <w:pPr>
        <w:pStyle w:val="BodyText"/>
        <w:rPr>
          <w:rFonts w:ascii="Bookman Old Style" w:hAnsi="Bookman Old Style"/>
          <w:i w:val="0"/>
          <w:color w:val="auto"/>
          <w:sz w:val="22"/>
          <w:szCs w:val="22"/>
        </w:rPr>
      </w:pPr>
    </w:p>
    <w:p w14:paraId="5336D364" w14:textId="77777777" w:rsidR="00145950" w:rsidRDefault="00EF0A28">
      <w:pPr>
        <w:pStyle w:val="BodyText"/>
        <w:rPr>
          <w:rFonts w:ascii="Bookman Old Style" w:hAnsi="Bookman Old Style"/>
          <w:i w:val="0"/>
          <w:color w:val="auto"/>
          <w:sz w:val="22"/>
          <w:szCs w:val="22"/>
        </w:rPr>
      </w:pPr>
      <w:r w:rsidRPr="00984B8B">
        <w:rPr>
          <w:rFonts w:ascii="Bookman Old Style" w:hAnsi="Bookman Old Style"/>
          <w:i w:val="0"/>
          <w:color w:val="auto"/>
          <w:sz w:val="22"/>
          <w:szCs w:val="22"/>
        </w:rPr>
        <w:t>The ash pond dam has two toe drains that are designed for the stability of the dam.  The average discharge of both drains is ap</w:t>
      </w:r>
      <w:r w:rsidR="002F228F" w:rsidRPr="00984B8B">
        <w:rPr>
          <w:rFonts w:ascii="Bookman Old Style" w:hAnsi="Bookman Old Style"/>
          <w:i w:val="0"/>
          <w:color w:val="auto"/>
          <w:sz w:val="22"/>
          <w:szCs w:val="22"/>
        </w:rPr>
        <w:t>p</w:t>
      </w:r>
      <w:r w:rsidRPr="00984B8B">
        <w:rPr>
          <w:rFonts w:ascii="Bookman Old Style" w:hAnsi="Bookman Old Style"/>
          <w:i w:val="0"/>
          <w:color w:val="auto"/>
          <w:sz w:val="22"/>
          <w:szCs w:val="22"/>
        </w:rPr>
        <w:t xml:space="preserve">roximately 11,000 gpd, the discharge is routed to the Crutchfield branch. The Crutchfield Branch does not discharge to the Mayo </w:t>
      </w:r>
      <w:r w:rsidR="007A40C8">
        <w:rPr>
          <w:rFonts w:ascii="Bookman Old Style" w:hAnsi="Bookman Old Style"/>
          <w:i w:val="0"/>
          <w:color w:val="auto"/>
          <w:sz w:val="22"/>
          <w:szCs w:val="22"/>
        </w:rPr>
        <w:t>Reservoir</w:t>
      </w:r>
      <w:r w:rsidRPr="00984B8B">
        <w:rPr>
          <w:rFonts w:ascii="Bookman Old Style" w:hAnsi="Bookman Old Style"/>
          <w:i w:val="0"/>
          <w:color w:val="auto"/>
          <w:sz w:val="22"/>
          <w:szCs w:val="22"/>
        </w:rPr>
        <w:t xml:space="preserve">. </w:t>
      </w:r>
    </w:p>
    <w:p w14:paraId="7958961D" w14:textId="77777777" w:rsidR="00FF392E" w:rsidRDefault="00FF392E">
      <w:pPr>
        <w:pStyle w:val="BodyText"/>
        <w:rPr>
          <w:rFonts w:ascii="Bookman Old Style" w:hAnsi="Bookman Old Style"/>
          <w:i w:val="0"/>
          <w:color w:val="auto"/>
          <w:sz w:val="22"/>
          <w:szCs w:val="22"/>
        </w:rPr>
      </w:pPr>
    </w:p>
    <w:p w14:paraId="5683E13A" w14:textId="77777777" w:rsidR="00FF392E" w:rsidRDefault="00FF392E">
      <w:pPr>
        <w:pStyle w:val="BodyText"/>
        <w:rPr>
          <w:rFonts w:ascii="Bookman Old Style" w:hAnsi="Bookman Old Style"/>
          <w:i w:val="0"/>
          <w:color w:val="auto"/>
          <w:sz w:val="22"/>
          <w:szCs w:val="22"/>
        </w:rPr>
      </w:pPr>
      <w:r>
        <w:rPr>
          <w:rFonts w:ascii="Bookman Old Style" w:hAnsi="Bookman Old Style"/>
          <w:i w:val="0"/>
          <w:color w:val="auto"/>
          <w:sz w:val="22"/>
          <w:szCs w:val="22"/>
        </w:rPr>
        <w:t xml:space="preserve">The facility proposes to build a new Retention Basin to reroute all waste streams that are currently discharged to the ash basin.  This change is necessary to decommission the existing ash pond and meet the requirements of Coal Ash Management Act. The Retention Basin will have a cell where various vacuumed sediments and solids can be decanted prior to disposal.  </w:t>
      </w:r>
    </w:p>
    <w:p w14:paraId="1C64504E" w14:textId="77777777" w:rsidR="002F640D" w:rsidRDefault="002F640D">
      <w:pPr>
        <w:pStyle w:val="BodyText"/>
        <w:rPr>
          <w:rFonts w:ascii="Bookman Old Style" w:hAnsi="Bookman Old Style"/>
          <w:i w:val="0"/>
          <w:color w:val="auto"/>
          <w:sz w:val="22"/>
          <w:szCs w:val="22"/>
        </w:rPr>
      </w:pPr>
    </w:p>
    <w:p w14:paraId="4F6978D5" w14:textId="77777777" w:rsidR="00FF392E" w:rsidRPr="00984B8B" w:rsidRDefault="00FF392E">
      <w:pPr>
        <w:pStyle w:val="BodyText"/>
        <w:rPr>
          <w:rFonts w:ascii="Bookman Old Style" w:hAnsi="Bookman Old Style"/>
          <w:i w:val="0"/>
          <w:color w:val="auto"/>
          <w:sz w:val="22"/>
          <w:szCs w:val="22"/>
        </w:rPr>
      </w:pPr>
      <w:r>
        <w:rPr>
          <w:rFonts w:ascii="Bookman Old Style" w:hAnsi="Bookman Old Style"/>
          <w:i w:val="0"/>
          <w:color w:val="auto"/>
          <w:sz w:val="22"/>
          <w:szCs w:val="22"/>
        </w:rPr>
        <w:t>The facility is also constructing a new FGD settling basin, the waste from the basin will be tr</w:t>
      </w:r>
      <w:r w:rsidR="00A41BD3">
        <w:rPr>
          <w:rFonts w:ascii="Bookman Old Style" w:hAnsi="Bookman Old Style"/>
          <w:i w:val="0"/>
          <w:color w:val="auto"/>
          <w:sz w:val="22"/>
          <w:szCs w:val="22"/>
        </w:rPr>
        <w:t>e</w:t>
      </w:r>
      <w:r>
        <w:rPr>
          <w:rFonts w:ascii="Bookman Old Style" w:hAnsi="Bookman Old Style"/>
          <w:i w:val="0"/>
          <w:color w:val="auto"/>
          <w:sz w:val="22"/>
          <w:szCs w:val="22"/>
        </w:rPr>
        <w:t>ated by VCE</w:t>
      </w:r>
      <w:r w:rsidR="000D69CF">
        <w:rPr>
          <w:rFonts w:ascii="Bookman Old Style" w:hAnsi="Bookman Old Style"/>
          <w:i w:val="0"/>
          <w:color w:val="auto"/>
          <w:sz w:val="22"/>
          <w:szCs w:val="22"/>
        </w:rPr>
        <w:t>.</w:t>
      </w:r>
      <w:r>
        <w:rPr>
          <w:rFonts w:ascii="Bookman Old Style" w:hAnsi="Bookman Old Style"/>
          <w:i w:val="0"/>
          <w:color w:val="auto"/>
          <w:sz w:val="22"/>
          <w:szCs w:val="22"/>
        </w:rPr>
        <w:t xml:space="preserve"> </w:t>
      </w:r>
    </w:p>
    <w:p w14:paraId="1C4D5B92" w14:textId="77777777" w:rsidR="00EF0A28" w:rsidRPr="00984B8B" w:rsidRDefault="00EF0A28">
      <w:pPr>
        <w:ind w:right="5"/>
        <w:jc w:val="both"/>
        <w:rPr>
          <w:rFonts w:ascii="Bookman Old Style" w:hAnsi="Bookman Old Style"/>
          <w:smallCaps/>
          <w:sz w:val="22"/>
          <w:szCs w:val="22"/>
          <w:u w:val="single"/>
        </w:rPr>
      </w:pPr>
    </w:p>
    <w:p w14:paraId="5EBEC1DC" w14:textId="77777777" w:rsidR="00EA7DCB" w:rsidRDefault="00EA7DCB" w:rsidP="00EA7DCB">
      <w:pPr>
        <w:pStyle w:val="BodyText"/>
        <w:rPr>
          <w:rFonts w:ascii="Bookman Old Style" w:hAnsi="Bookman Old Style"/>
          <w:i w:val="0"/>
          <w:color w:val="auto"/>
          <w:sz w:val="22"/>
          <w:szCs w:val="22"/>
        </w:rPr>
      </w:pPr>
      <w:r w:rsidRPr="00984B8B">
        <w:rPr>
          <w:rFonts w:ascii="Bookman Old Style" w:hAnsi="Bookman Old Style"/>
          <w:i w:val="0"/>
          <w:color w:val="auto"/>
          <w:sz w:val="22"/>
          <w:szCs w:val="22"/>
        </w:rPr>
        <w:t>The facility operates the following outfalls:</w:t>
      </w:r>
    </w:p>
    <w:p w14:paraId="571FFC3F" w14:textId="77777777" w:rsidR="00A41BD3" w:rsidRPr="00984B8B" w:rsidRDefault="00A41BD3" w:rsidP="00EA7DCB">
      <w:pPr>
        <w:pStyle w:val="BodyText"/>
        <w:rPr>
          <w:rFonts w:ascii="Bookman Old Style" w:hAnsi="Bookman Old Style"/>
          <w:i w:val="0"/>
          <w:color w:val="auto"/>
          <w:sz w:val="22"/>
          <w:szCs w:val="22"/>
        </w:rPr>
      </w:pPr>
    </w:p>
    <w:p w14:paraId="011CE93D" w14:textId="77777777" w:rsidR="00A41BD3" w:rsidRPr="00A41BD3" w:rsidRDefault="00A41BD3" w:rsidP="00A41BD3">
      <w:pPr>
        <w:pStyle w:val="ListParagraph"/>
        <w:numPr>
          <w:ilvl w:val="0"/>
          <w:numId w:val="32"/>
        </w:numPr>
        <w:tabs>
          <w:tab w:val="left" w:pos="360"/>
          <w:tab w:val="left" w:pos="540"/>
        </w:tabs>
        <w:ind w:left="1080"/>
        <w:rPr>
          <w:rFonts w:ascii="Bookman Old Style" w:hAnsi="Bookman Old Style"/>
          <w:sz w:val="22"/>
          <w:szCs w:val="22"/>
        </w:rPr>
      </w:pPr>
      <w:r w:rsidRPr="00A41BD3">
        <w:rPr>
          <w:rFonts w:ascii="Bookman Old Style" w:hAnsi="Bookman Old Style"/>
          <w:sz w:val="22"/>
          <w:szCs w:val="22"/>
        </w:rPr>
        <w:t>Outfall 001. Cooling Tower System</w:t>
      </w:r>
      <w:r w:rsidR="00F01399">
        <w:rPr>
          <w:rFonts w:ascii="Bookman Old Style" w:hAnsi="Bookman Old Style"/>
          <w:sz w:val="22"/>
          <w:szCs w:val="22"/>
        </w:rPr>
        <w:t xml:space="preserve"> (lat. - 36</w:t>
      </w:r>
      <w:r w:rsidR="00F01399" w:rsidRPr="00F01399">
        <w:rPr>
          <w:rFonts w:ascii="Bookman Old Style" w:hAnsi="Bookman Old Style"/>
          <w:sz w:val="22"/>
          <w:szCs w:val="22"/>
          <w:vertAlign w:val="superscript"/>
        </w:rPr>
        <w:t>0</w:t>
      </w:r>
      <w:r w:rsidR="00F01399">
        <w:rPr>
          <w:rFonts w:ascii="Bookman Old Style" w:hAnsi="Bookman Old Style"/>
          <w:sz w:val="22"/>
          <w:szCs w:val="22"/>
          <w:vertAlign w:val="superscript"/>
        </w:rPr>
        <w:t xml:space="preserve"> </w:t>
      </w:r>
      <w:r w:rsidR="00F01399">
        <w:rPr>
          <w:rFonts w:ascii="Bookman Old Style" w:hAnsi="Bookman Old Style"/>
          <w:sz w:val="22"/>
          <w:szCs w:val="22"/>
        </w:rPr>
        <w:t>31’28” long. – 78</w:t>
      </w:r>
      <w:r w:rsidR="00F01399" w:rsidRPr="00F01399">
        <w:rPr>
          <w:rFonts w:ascii="Bookman Old Style" w:hAnsi="Bookman Old Style"/>
          <w:sz w:val="22"/>
          <w:szCs w:val="22"/>
          <w:vertAlign w:val="superscript"/>
        </w:rPr>
        <w:t>0</w:t>
      </w:r>
      <w:r w:rsidR="00F01399">
        <w:rPr>
          <w:rFonts w:ascii="Bookman Old Style" w:hAnsi="Bookman Old Style"/>
          <w:sz w:val="22"/>
          <w:szCs w:val="22"/>
          <w:vertAlign w:val="superscript"/>
        </w:rPr>
        <w:t xml:space="preserve"> </w:t>
      </w:r>
      <w:r w:rsidR="00F01399">
        <w:rPr>
          <w:rFonts w:ascii="Bookman Old Style" w:hAnsi="Bookman Old Style"/>
          <w:sz w:val="22"/>
          <w:szCs w:val="22"/>
        </w:rPr>
        <w:t>52’56”).</w:t>
      </w:r>
      <w:r w:rsidRPr="00A41BD3">
        <w:rPr>
          <w:rFonts w:ascii="Bookman Old Style" w:hAnsi="Bookman Old Style"/>
          <w:sz w:val="22"/>
          <w:szCs w:val="22"/>
        </w:rPr>
        <w:t xml:space="preserve"> Less than once per year the cooling towers and circulating water system are drained by gravity and discharged directly to Mayo Reservoir.</w:t>
      </w:r>
    </w:p>
    <w:p w14:paraId="4D2C6F4C" w14:textId="77777777" w:rsidR="00A41BD3" w:rsidRPr="00A41BD3" w:rsidRDefault="00A41BD3" w:rsidP="00A41BD3">
      <w:pPr>
        <w:tabs>
          <w:tab w:val="left" w:pos="360"/>
          <w:tab w:val="left" w:pos="540"/>
        </w:tabs>
        <w:ind w:left="1080" w:hanging="360"/>
        <w:rPr>
          <w:rFonts w:ascii="Bookman Old Style" w:hAnsi="Bookman Old Style"/>
          <w:sz w:val="22"/>
          <w:szCs w:val="22"/>
        </w:rPr>
      </w:pPr>
    </w:p>
    <w:p w14:paraId="3CB6A1E9" w14:textId="77777777" w:rsidR="00A41BD3" w:rsidRPr="00A41BD3" w:rsidRDefault="00A41BD3" w:rsidP="00A41BD3">
      <w:pPr>
        <w:tabs>
          <w:tab w:val="left" w:pos="360"/>
          <w:tab w:val="left" w:pos="540"/>
        </w:tabs>
        <w:ind w:left="1080" w:hanging="360"/>
        <w:rPr>
          <w:rFonts w:ascii="Bookman Old Style" w:hAnsi="Bookman Old Style"/>
          <w:sz w:val="22"/>
          <w:szCs w:val="22"/>
        </w:rPr>
      </w:pPr>
      <w:r w:rsidRPr="00A41BD3">
        <w:rPr>
          <w:rFonts w:ascii="Bookman Old Style" w:hAnsi="Bookman Old Style"/>
          <w:sz w:val="22"/>
          <w:szCs w:val="22"/>
        </w:rPr>
        <w:t>•</w:t>
      </w:r>
      <w:r w:rsidRPr="00A41BD3">
        <w:rPr>
          <w:rFonts w:ascii="Bookman Old Style" w:hAnsi="Bookman Old Style"/>
          <w:sz w:val="22"/>
          <w:szCs w:val="22"/>
        </w:rPr>
        <w:tab/>
        <w:t>Outfall 002. Ash Pond Treatment System</w:t>
      </w:r>
      <w:r w:rsidR="00F01399">
        <w:rPr>
          <w:rFonts w:ascii="Bookman Old Style" w:hAnsi="Bookman Old Style"/>
          <w:sz w:val="22"/>
          <w:szCs w:val="22"/>
        </w:rPr>
        <w:t xml:space="preserve"> (lat. - 36</w:t>
      </w:r>
      <w:r w:rsidR="00F01399" w:rsidRPr="00F01399">
        <w:rPr>
          <w:rFonts w:ascii="Bookman Old Style" w:hAnsi="Bookman Old Style"/>
          <w:sz w:val="22"/>
          <w:szCs w:val="22"/>
          <w:vertAlign w:val="superscript"/>
        </w:rPr>
        <w:t>0</w:t>
      </w:r>
      <w:r w:rsidR="00F01399">
        <w:rPr>
          <w:rFonts w:ascii="Bookman Old Style" w:hAnsi="Bookman Old Style"/>
          <w:sz w:val="22"/>
          <w:szCs w:val="22"/>
          <w:vertAlign w:val="superscript"/>
        </w:rPr>
        <w:t xml:space="preserve"> </w:t>
      </w:r>
      <w:r w:rsidR="00F01399">
        <w:rPr>
          <w:rFonts w:ascii="Bookman Old Style" w:hAnsi="Bookman Old Style"/>
          <w:sz w:val="22"/>
          <w:szCs w:val="22"/>
        </w:rPr>
        <w:t>32’03” long. – 78</w:t>
      </w:r>
      <w:r w:rsidR="00F01399" w:rsidRPr="00F01399">
        <w:rPr>
          <w:rFonts w:ascii="Bookman Old Style" w:hAnsi="Bookman Old Style"/>
          <w:sz w:val="22"/>
          <w:szCs w:val="22"/>
          <w:vertAlign w:val="superscript"/>
        </w:rPr>
        <w:t>0</w:t>
      </w:r>
      <w:r w:rsidR="00F01399">
        <w:rPr>
          <w:rFonts w:ascii="Bookman Old Style" w:hAnsi="Bookman Old Style"/>
          <w:sz w:val="22"/>
          <w:szCs w:val="22"/>
          <w:vertAlign w:val="superscript"/>
        </w:rPr>
        <w:t xml:space="preserve"> </w:t>
      </w:r>
      <w:r w:rsidR="00F01399">
        <w:rPr>
          <w:rFonts w:ascii="Bookman Old Style" w:hAnsi="Bookman Old Style"/>
          <w:sz w:val="22"/>
          <w:szCs w:val="22"/>
        </w:rPr>
        <w:t>53’27”)</w:t>
      </w:r>
      <w:r w:rsidRPr="00A41BD3">
        <w:rPr>
          <w:rFonts w:ascii="Bookman Old Style" w:hAnsi="Bookman Old Style"/>
          <w:sz w:val="22"/>
          <w:szCs w:val="22"/>
        </w:rPr>
        <w:t>.  Outfall 002 discharges directly to Mayo Reservoir.  The ash pond receives coal pile runoff, stormwater runoff, cooling tower blowdown, and various low volume wastes such as boiler blowdown, oily waste treatment, wastes/backwash from the water treatment processes including Reverse-Osmosis (RO) wastewater, plant area wash</w:t>
      </w:r>
      <w:r w:rsidR="00565D99">
        <w:rPr>
          <w:rFonts w:ascii="Bookman Old Style" w:hAnsi="Bookman Old Style"/>
          <w:sz w:val="22"/>
          <w:szCs w:val="22"/>
        </w:rPr>
        <w:t xml:space="preserve"> down water</w:t>
      </w:r>
      <w:r w:rsidRPr="00A41BD3">
        <w:rPr>
          <w:rFonts w:ascii="Bookman Old Style" w:hAnsi="Bookman Old Style"/>
          <w:sz w:val="22"/>
          <w:szCs w:val="22"/>
        </w:rPr>
        <w:t xml:space="preserve">, equipment heat exchanger water, groundwater, yard sump overflows, </w:t>
      </w:r>
      <w:r w:rsidR="007344ED" w:rsidRPr="007344ED">
        <w:rPr>
          <w:rFonts w:ascii="Bookman Old Style" w:hAnsi="Bookman Old Style"/>
          <w:sz w:val="22"/>
          <w:szCs w:val="22"/>
        </w:rPr>
        <w:t>occasional piping leakage from limestone slurry and FGD system</w:t>
      </w:r>
      <w:r w:rsidR="007344ED">
        <w:rPr>
          <w:rFonts w:ascii="Bookman Old Style" w:hAnsi="Bookman Old Style"/>
          <w:sz w:val="22"/>
          <w:szCs w:val="22"/>
        </w:rPr>
        <w:t xml:space="preserve">, </w:t>
      </w:r>
      <w:r w:rsidRPr="00A41BD3">
        <w:rPr>
          <w:rFonts w:ascii="Bookman Old Style" w:hAnsi="Bookman Old Style"/>
          <w:sz w:val="22"/>
          <w:szCs w:val="22"/>
        </w:rPr>
        <w:t>and treated domestic wastewater.</w:t>
      </w:r>
    </w:p>
    <w:p w14:paraId="456E2AC8" w14:textId="77777777" w:rsidR="00A41BD3" w:rsidRPr="00A41BD3" w:rsidRDefault="00A41BD3" w:rsidP="00A41BD3">
      <w:pPr>
        <w:tabs>
          <w:tab w:val="left" w:pos="360"/>
          <w:tab w:val="left" w:pos="540"/>
        </w:tabs>
        <w:ind w:left="1080" w:hanging="360"/>
        <w:rPr>
          <w:rFonts w:ascii="Bookman Old Style" w:hAnsi="Bookman Old Style"/>
          <w:sz w:val="22"/>
          <w:szCs w:val="22"/>
        </w:rPr>
      </w:pPr>
    </w:p>
    <w:p w14:paraId="2E6C0AE8" w14:textId="77777777" w:rsidR="00A41BD3" w:rsidRPr="00A41BD3" w:rsidRDefault="00A41BD3" w:rsidP="00A41BD3">
      <w:pPr>
        <w:tabs>
          <w:tab w:val="left" w:pos="360"/>
          <w:tab w:val="left" w:pos="540"/>
        </w:tabs>
        <w:ind w:left="1080" w:hanging="360"/>
        <w:rPr>
          <w:rFonts w:ascii="Bookman Old Style" w:hAnsi="Bookman Old Style"/>
          <w:sz w:val="22"/>
          <w:szCs w:val="22"/>
        </w:rPr>
      </w:pPr>
      <w:r w:rsidRPr="00A41BD3">
        <w:rPr>
          <w:rFonts w:ascii="Bookman Old Style" w:hAnsi="Bookman Old Style"/>
          <w:sz w:val="22"/>
          <w:szCs w:val="22"/>
        </w:rPr>
        <w:t>•</w:t>
      </w:r>
      <w:r w:rsidRPr="00A41BD3">
        <w:rPr>
          <w:rFonts w:ascii="Bookman Old Style" w:hAnsi="Bookman Old Style"/>
          <w:sz w:val="22"/>
          <w:szCs w:val="22"/>
        </w:rPr>
        <w:tab/>
      </w:r>
      <w:r w:rsidRPr="00A41BD3">
        <w:rPr>
          <w:rFonts w:ascii="Bookman Old Style" w:hAnsi="Bookman Old Style"/>
          <w:bCs/>
          <w:sz w:val="22"/>
          <w:szCs w:val="22"/>
        </w:rPr>
        <w:t>Internal Outfall 008.</w:t>
      </w:r>
      <w:r w:rsidRPr="00A41BD3">
        <w:rPr>
          <w:rFonts w:ascii="Bookman Old Style" w:hAnsi="Bookman Old Style"/>
          <w:b/>
          <w:bCs/>
          <w:sz w:val="22"/>
          <w:szCs w:val="22"/>
        </w:rPr>
        <w:t xml:space="preserve"> </w:t>
      </w:r>
      <w:r w:rsidRPr="00A41BD3">
        <w:rPr>
          <w:rFonts w:ascii="Bookman Old Style" w:hAnsi="Bookman Old Style"/>
          <w:sz w:val="22"/>
          <w:szCs w:val="22"/>
        </w:rPr>
        <w:t xml:space="preserve">  Cooling tower blowdown is directly discharged to the ash pond.  Cooling tower blowdown is indirectly discharged to Mayo Reservoir via the ash pond treatment system (Outfall 002).</w:t>
      </w:r>
    </w:p>
    <w:p w14:paraId="01EB2E5E" w14:textId="77777777" w:rsidR="00A41BD3" w:rsidRPr="00A41BD3" w:rsidRDefault="00A41BD3" w:rsidP="00A41BD3">
      <w:pPr>
        <w:tabs>
          <w:tab w:val="left" w:pos="360"/>
          <w:tab w:val="left" w:pos="540"/>
        </w:tabs>
        <w:ind w:left="1080" w:hanging="360"/>
        <w:rPr>
          <w:rFonts w:ascii="Bookman Old Style" w:hAnsi="Bookman Old Style"/>
          <w:sz w:val="22"/>
          <w:szCs w:val="22"/>
        </w:rPr>
      </w:pPr>
    </w:p>
    <w:p w14:paraId="365E7596" w14:textId="77777777" w:rsidR="00A41BD3" w:rsidRPr="00A41BD3" w:rsidRDefault="00A41BD3" w:rsidP="00A41BD3">
      <w:pPr>
        <w:tabs>
          <w:tab w:val="left" w:pos="360"/>
          <w:tab w:val="left" w:pos="540"/>
          <w:tab w:val="left" w:pos="1080"/>
        </w:tabs>
        <w:ind w:left="1080" w:hanging="360"/>
        <w:rPr>
          <w:rFonts w:ascii="Bookman Old Style" w:hAnsi="Bookman Old Style"/>
          <w:sz w:val="22"/>
          <w:szCs w:val="22"/>
        </w:rPr>
      </w:pPr>
      <w:r w:rsidRPr="00A41BD3">
        <w:rPr>
          <w:rFonts w:ascii="Bookman Old Style" w:hAnsi="Bookman Old Style"/>
          <w:sz w:val="22"/>
          <w:szCs w:val="22"/>
        </w:rPr>
        <w:t>•</w:t>
      </w:r>
      <w:r w:rsidRPr="00A41BD3">
        <w:rPr>
          <w:rFonts w:ascii="Bookman Old Style" w:hAnsi="Bookman Old Style"/>
          <w:sz w:val="22"/>
          <w:szCs w:val="22"/>
        </w:rPr>
        <w:tab/>
      </w:r>
      <w:r w:rsidRPr="00A41BD3">
        <w:rPr>
          <w:rFonts w:ascii="Bookman Old Style" w:hAnsi="Bookman Old Style"/>
          <w:bCs/>
          <w:sz w:val="22"/>
          <w:szCs w:val="22"/>
        </w:rPr>
        <w:t>Internal Outfall 009</w:t>
      </w:r>
      <w:r w:rsidRPr="00A41BD3">
        <w:rPr>
          <w:rFonts w:ascii="Bookman Old Style" w:hAnsi="Bookman Old Style"/>
          <w:b/>
          <w:bCs/>
          <w:sz w:val="22"/>
          <w:szCs w:val="22"/>
        </w:rPr>
        <w:t xml:space="preserve">. </w:t>
      </w:r>
      <w:r w:rsidRPr="00A41BD3">
        <w:rPr>
          <w:rFonts w:ascii="Bookman Old Style" w:hAnsi="Bookman Old Style"/>
          <w:sz w:val="22"/>
          <w:szCs w:val="22"/>
        </w:rPr>
        <w:t xml:space="preserve">  Discharge from the FGD blowdown treatment system.  FGD blowdown is indirectly discharged to Mayo Reservoir via the ash pond treatment system (Outfall 002).</w:t>
      </w:r>
    </w:p>
    <w:p w14:paraId="60D1C021" w14:textId="77777777" w:rsidR="00A41BD3" w:rsidRPr="00A41BD3" w:rsidRDefault="00A41BD3" w:rsidP="00A41BD3">
      <w:pPr>
        <w:tabs>
          <w:tab w:val="left" w:pos="360"/>
          <w:tab w:val="left" w:pos="540"/>
          <w:tab w:val="left" w:pos="1080"/>
        </w:tabs>
        <w:ind w:left="1080" w:hanging="360"/>
        <w:rPr>
          <w:rFonts w:ascii="Bookman Old Style" w:hAnsi="Bookman Old Style"/>
          <w:sz w:val="22"/>
          <w:szCs w:val="22"/>
        </w:rPr>
      </w:pPr>
    </w:p>
    <w:p w14:paraId="69C48B27" w14:textId="77777777" w:rsidR="00A41BD3" w:rsidRPr="00A41BD3" w:rsidRDefault="00ED3C35" w:rsidP="00A41BD3">
      <w:pPr>
        <w:pStyle w:val="ListParagraph"/>
        <w:numPr>
          <w:ilvl w:val="0"/>
          <w:numId w:val="31"/>
        </w:numPr>
        <w:tabs>
          <w:tab w:val="left" w:pos="360"/>
          <w:tab w:val="left" w:pos="540"/>
        </w:tabs>
        <w:ind w:left="1080"/>
        <w:rPr>
          <w:rFonts w:ascii="Bookman Old Style" w:hAnsi="Bookman Old Style"/>
          <w:sz w:val="22"/>
          <w:szCs w:val="22"/>
        </w:rPr>
      </w:pPr>
      <w:r>
        <w:rPr>
          <w:rFonts w:ascii="Bookman Old Style" w:hAnsi="Bookman Old Style"/>
          <w:sz w:val="22"/>
          <w:szCs w:val="22"/>
        </w:rPr>
        <w:t>O</w:t>
      </w:r>
      <w:r w:rsidR="00A41BD3" w:rsidRPr="00A41BD3">
        <w:rPr>
          <w:rFonts w:ascii="Bookman Old Style" w:hAnsi="Bookman Old Style"/>
          <w:sz w:val="22"/>
          <w:szCs w:val="22"/>
        </w:rPr>
        <w:t xml:space="preserve">utfall 002A. </w:t>
      </w:r>
      <w:r>
        <w:rPr>
          <w:rFonts w:ascii="Bookman Old Style" w:hAnsi="Bookman Old Style"/>
          <w:sz w:val="22"/>
          <w:szCs w:val="22"/>
        </w:rPr>
        <w:t>Upon completion of construction, d</w:t>
      </w:r>
      <w:r w:rsidR="00A41BD3" w:rsidRPr="00A41BD3">
        <w:rPr>
          <w:rFonts w:ascii="Bookman Old Style" w:hAnsi="Bookman Old Style"/>
          <w:sz w:val="22"/>
          <w:szCs w:val="22"/>
        </w:rPr>
        <w:t xml:space="preserve">ischarge from the new lined retention basin. </w:t>
      </w:r>
      <w:r w:rsidR="00A17CF7" w:rsidRPr="00A17CF7">
        <w:rPr>
          <w:rFonts w:ascii="Bookman Old Style" w:hAnsi="Bookman Old Style"/>
          <w:b/>
          <w:sz w:val="22"/>
          <w:szCs w:val="22"/>
        </w:rPr>
        <w:t>The flows from the ash basin will be re-directed to the retention basin when the construction of the retention basin is completed. At that point, the ash basin will no longer accept any wastewater.</w:t>
      </w:r>
      <w:r w:rsidR="00A17CF7">
        <w:rPr>
          <w:rFonts w:ascii="Bookman Old Style" w:hAnsi="Bookman Old Style"/>
          <w:sz w:val="22"/>
          <w:szCs w:val="22"/>
        </w:rPr>
        <w:t xml:space="preserve"> Retention basin</w:t>
      </w:r>
      <w:r w:rsidR="00A41BD3" w:rsidRPr="00A41BD3">
        <w:rPr>
          <w:rFonts w:ascii="Bookman Old Style" w:hAnsi="Bookman Old Style"/>
          <w:sz w:val="22"/>
          <w:szCs w:val="22"/>
        </w:rPr>
        <w:t xml:space="preserve"> will accept wastes from holding cell (vacuumed sediments and solids), </w:t>
      </w:r>
      <w:r>
        <w:rPr>
          <w:rFonts w:ascii="Bookman Old Style" w:hAnsi="Bookman Old Style"/>
          <w:sz w:val="22"/>
          <w:szCs w:val="22"/>
        </w:rPr>
        <w:t>c</w:t>
      </w:r>
      <w:r w:rsidR="00A41BD3" w:rsidRPr="00A41BD3">
        <w:rPr>
          <w:rFonts w:ascii="Bookman Old Style" w:hAnsi="Bookman Old Style"/>
          <w:sz w:val="22"/>
          <w:szCs w:val="22"/>
        </w:rPr>
        <w:t xml:space="preserve">oal pile runoff, stormwater </w:t>
      </w:r>
      <w:r w:rsidR="00565D99">
        <w:rPr>
          <w:rFonts w:ascii="Bookman Old Style" w:hAnsi="Bookman Old Style"/>
          <w:sz w:val="22"/>
          <w:szCs w:val="22"/>
        </w:rPr>
        <w:t xml:space="preserve">runoff, </w:t>
      </w:r>
      <w:r w:rsidR="00A3005F">
        <w:rPr>
          <w:rFonts w:ascii="Bookman Old Style" w:hAnsi="Bookman Old Style"/>
          <w:sz w:val="22"/>
          <w:szCs w:val="22"/>
        </w:rPr>
        <w:t xml:space="preserve">landfill leachate from CCR landfill, </w:t>
      </w:r>
      <w:r w:rsidR="00FD5CF2">
        <w:rPr>
          <w:rFonts w:ascii="Bookman Old Style" w:hAnsi="Bookman Old Style"/>
          <w:sz w:val="22"/>
          <w:szCs w:val="22"/>
        </w:rPr>
        <w:t xml:space="preserve">industrial stormwater from CCR landfill, </w:t>
      </w:r>
      <w:r w:rsidR="00E1554A" w:rsidRPr="00E1554A">
        <w:rPr>
          <w:rFonts w:ascii="Bookman Old Style" w:hAnsi="Bookman Old Style"/>
          <w:sz w:val="22"/>
          <w:szCs w:val="22"/>
        </w:rPr>
        <w:t>ammonia conversion maintenance drainage</w:t>
      </w:r>
      <w:r w:rsidR="00E1554A">
        <w:rPr>
          <w:rFonts w:ascii="Garamond" w:hAnsi="Garamond"/>
          <w:szCs w:val="24"/>
        </w:rPr>
        <w:t>,</w:t>
      </w:r>
      <w:r w:rsidR="00FD5CF2">
        <w:rPr>
          <w:rFonts w:ascii="Bookman Old Style" w:hAnsi="Bookman Old Style"/>
          <w:sz w:val="22"/>
          <w:szCs w:val="22"/>
        </w:rPr>
        <w:t xml:space="preserve"> </w:t>
      </w:r>
      <w:r w:rsidR="00565D99">
        <w:rPr>
          <w:rFonts w:ascii="Bookman Old Style" w:hAnsi="Bookman Old Style"/>
          <w:sz w:val="22"/>
          <w:szCs w:val="22"/>
        </w:rPr>
        <w:t>cooling tower blowdown</w:t>
      </w:r>
      <w:r w:rsidR="00A41BD3" w:rsidRPr="00A41BD3">
        <w:rPr>
          <w:rFonts w:ascii="Bookman Old Style" w:hAnsi="Bookman Old Style"/>
          <w:sz w:val="22"/>
          <w:szCs w:val="22"/>
        </w:rPr>
        <w:t xml:space="preserve">, and various low </w:t>
      </w:r>
      <w:r w:rsidR="00A41BD3" w:rsidRPr="00A41BD3">
        <w:rPr>
          <w:rFonts w:ascii="Bookman Old Style" w:hAnsi="Bookman Old Style"/>
          <w:sz w:val="22"/>
          <w:szCs w:val="22"/>
        </w:rPr>
        <w:lastRenderedPageBreak/>
        <w:t>volume wastes such as boiler blowdown, oily waste treatment, wastes/backwash from the water treatment processes</w:t>
      </w:r>
      <w:r w:rsidR="00565D99">
        <w:rPr>
          <w:rFonts w:ascii="Bookman Old Style" w:hAnsi="Bookman Old Style"/>
          <w:sz w:val="22"/>
          <w:szCs w:val="22"/>
        </w:rPr>
        <w:t>,</w:t>
      </w:r>
      <w:r w:rsidR="00A41BD3" w:rsidRPr="00A41BD3">
        <w:rPr>
          <w:rFonts w:ascii="Bookman Old Style" w:hAnsi="Bookman Old Style"/>
          <w:sz w:val="22"/>
          <w:szCs w:val="22"/>
        </w:rPr>
        <w:t xml:space="preserve"> including Reverse-Osmosis (RO) wastewater, plant area wash down water, equipment heat exchanger water, groundwater, </w:t>
      </w:r>
      <w:r w:rsidR="007344ED" w:rsidRPr="007344ED">
        <w:rPr>
          <w:rFonts w:ascii="Bookman Old Style" w:hAnsi="Bookman Old Style"/>
          <w:sz w:val="22"/>
          <w:szCs w:val="22"/>
        </w:rPr>
        <w:t>occasional piping leakage from limestone slurry and FGD system</w:t>
      </w:r>
      <w:r w:rsidR="007344ED">
        <w:rPr>
          <w:rFonts w:ascii="Bookman Old Style" w:hAnsi="Bookman Old Style"/>
          <w:sz w:val="22"/>
          <w:szCs w:val="22"/>
        </w:rPr>
        <w:t xml:space="preserve">, </w:t>
      </w:r>
      <w:r w:rsidR="00BB0F95" w:rsidRPr="00C47DA8">
        <w:rPr>
          <w:rFonts w:ascii="Bookman Old Style" w:hAnsi="Bookman Old Style"/>
          <w:sz w:val="22"/>
          <w:szCs w:val="22"/>
        </w:rPr>
        <w:t>chemical metal cleaning waste</w:t>
      </w:r>
      <w:r w:rsidR="00BB0F95">
        <w:rPr>
          <w:rFonts w:ascii="Bookman Old Style" w:hAnsi="Bookman Old Style"/>
          <w:sz w:val="22"/>
          <w:szCs w:val="22"/>
        </w:rPr>
        <w:t xml:space="preserve">, </w:t>
      </w:r>
      <w:r w:rsidR="00A41BD3" w:rsidRPr="00A41BD3">
        <w:rPr>
          <w:rFonts w:ascii="Bookman Old Style" w:hAnsi="Bookman Old Style"/>
          <w:sz w:val="22"/>
          <w:szCs w:val="22"/>
        </w:rPr>
        <w:t xml:space="preserve">and treated domestic wastewater. The wastewater from this outfall discharges to Mayo </w:t>
      </w:r>
      <w:r>
        <w:rPr>
          <w:rFonts w:ascii="Bookman Old Style" w:hAnsi="Bookman Old Style"/>
          <w:sz w:val="22"/>
          <w:szCs w:val="22"/>
        </w:rPr>
        <w:t>R</w:t>
      </w:r>
      <w:r w:rsidR="00A41BD3" w:rsidRPr="00A41BD3">
        <w:rPr>
          <w:rFonts w:ascii="Bookman Old Style" w:hAnsi="Bookman Old Style"/>
          <w:sz w:val="22"/>
          <w:szCs w:val="22"/>
        </w:rPr>
        <w:t>eservoir via Outfall 002.</w:t>
      </w:r>
    </w:p>
    <w:p w14:paraId="341B36DA" w14:textId="77777777" w:rsidR="00A41BD3" w:rsidRPr="00A41BD3" w:rsidRDefault="00A41BD3" w:rsidP="00A41BD3">
      <w:pPr>
        <w:pStyle w:val="ListParagraph"/>
        <w:tabs>
          <w:tab w:val="left" w:pos="540"/>
        </w:tabs>
        <w:ind w:left="1080"/>
        <w:rPr>
          <w:rFonts w:ascii="Bookman Old Style" w:hAnsi="Bookman Old Style"/>
          <w:sz w:val="22"/>
          <w:szCs w:val="22"/>
        </w:rPr>
      </w:pPr>
    </w:p>
    <w:p w14:paraId="13142150" w14:textId="77777777" w:rsidR="00A41BD3" w:rsidRPr="00A41BD3" w:rsidRDefault="00A41BD3" w:rsidP="00A41BD3">
      <w:pPr>
        <w:pStyle w:val="ListParagraph"/>
        <w:numPr>
          <w:ilvl w:val="0"/>
          <w:numId w:val="31"/>
        </w:numPr>
        <w:tabs>
          <w:tab w:val="left" w:pos="360"/>
          <w:tab w:val="left" w:pos="540"/>
        </w:tabs>
        <w:ind w:left="1080"/>
        <w:rPr>
          <w:rFonts w:ascii="Bookman Old Style" w:hAnsi="Bookman Old Style"/>
          <w:sz w:val="22"/>
          <w:szCs w:val="22"/>
        </w:rPr>
      </w:pPr>
      <w:r w:rsidRPr="00A41BD3">
        <w:rPr>
          <w:rFonts w:ascii="Bookman Old Style" w:hAnsi="Bookman Old Style"/>
          <w:sz w:val="22"/>
          <w:szCs w:val="22"/>
        </w:rPr>
        <w:t xml:space="preserve">Internal Outfall 002B. Yard sump overflows (contain all wastes routed to the new retention basin). The wastewater from this outfall discharges to Mayo </w:t>
      </w:r>
      <w:r w:rsidR="00ED3C35">
        <w:rPr>
          <w:rFonts w:ascii="Bookman Old Style" w:hAnsi="Bookman Old Style"/>
          <w:sz w:val="22"/>
          <w:szCs w:val="22"/>
        </w:rPr>
        <w:t>R</w:t>
      </w:r>
      <w:r w:rsidRPr="00A41BD3">
        <w:rPr>
          <w:rFonts w:ascii="Bookman Old Style" w:hAnsi="Bookman Old Style"/>
          <w:sz w:val="22"/>
          <w:szCs w:val="22"/>
        </w:rPr>
        <w:t>eservoir via Outfall 002.</w:t>
      </w:r>
    </w:p>
    <w:p w14:paraId="064EC4EB" w14:textId="77777777" w:rsidR="00A41BD3" w:rsidRPr="00A41BD3" w:rsidRDefault="00A41BD3" w:rsidP="00A41BD3">
      <w:pPr>
        <w:pStyle w:val="ListParagraph"/>
        <w:rPr>
          <w:rFonts w:ascii="Bookman Old Style" w:hAnsi="Bookman Old Style"/>
          <w:sz w:val="22"/>
          <w:szCs w:val="22"/>
        </w:rPr>
      </w:pPr>
    </w:p>
    <w:p w14:paraId="16E53075" w14:textId="77777777" w:rsidR="008D0857" w:rsidRPr="00A41BD3" w:rsidRDefault="008D0857" w:rsidP="008D0857">
      <w:pPr>
        <w:pStyle w:val="ListParagraph"/>
        <w:numPr>
          <w:ilvl w:val="0"/>
          <w:numId w:val="31"/>
        </w:numPr>
        <w:tabs>
          <w:tab w:val="left" w:pos="360"/>
          <w:tab w:val="left" w:pos="540"/>
        </w:tabs>
        <w:ind w:left="1080"/>
        <w:rPr>
          <w:rFonts w:ascii="Bookman Old Style" w:hAnsi="Bookman Old Style"/>
          <w:sz w:val="22"/>
          <w:szCs w:val="22"/>
        </w:rPr>
      </w:pPr>
      <w:r>
        <w:rPr>
          <w:rFonts w:ascii="Bookman Old Style" w:hAnsi="Bookman Old Style" w:cs="Arial"/>
          <w:sz w:val="22"/>
          <w:szCs w:val="22"/>
        </w:rPr>
        <w:t xml:space="preserve">Internal outfall 011. </w:t>
      </w:r>
      <w:r w:rsidR="0049314E">
        <w:rPr>
          <w:rFonts w:ascii="Bookman Old Style" w:hAnsi="Bookman Old Style" w:cs="Arial"/>
          <w:sz w:val="22"/>
          <w:szCs w:val="22"/>
        </w:rPr>
        <w:t>Domestic wastewater plant</w:t>
      </w:r>
      <w:r>
        <w:rPr>
          <w:rFonts w:ascii="Bookman Old Style" w:hAnsi="Bookman Old Style" w:cs="Arial"/>
          <w:sz w:val="22"/>
          <w:szCs w:val="22"/>
        </w:rPr>
        <w:t xml:space="preserve">. </w:t>
      </w:r>
      <w:r w:rsidRPr="00A41BD3">
        <w:rPr>
          <w:rFonts w:ascii="Bookman Old Style" w:hAnsi="Bookman Old Style"/>
          <w:sz w:val="22"/>
          <w:szCs w:val="22"/>
        </w:rPr>
        <w:t xml:space="preserve">The wastewater from this outfall discharges to Mayo </w:t>
      </w:r>
      <w:r>
        <w:rPr>
          <w:rFonts w:ascii="Bookman Old Style" w:hAnsi="Bookman Old Style"/>
          <w:sz w:val="22"/>
          <w:szCs w:val="22"/>
        </w:rPr>
        <w:t>R</w:t>
      </w:r>
      <w:r w:rsidRPr="00A41BD3">
        <w:rPr>
          <w:rFonts w:ascii="Bookman Old Style" w:hAnsi="Bookman Old Style"/>
          <w:sz w:val="22"/>
          <w:szCs w:val="22"/>
        </w:rPr>
        <w:t>eservoir via Outfall 002</w:t>
      </w:r>
      <w:r>
        <w:rPr>
          <w:rFonts w:ascii="Bookman Old Style" w:hAnsi="Bookman Old Style"/>
          <w:sz w:val="22"/>
          <w:szCs w:val="22"/>
        </w:rPr>
        <w:t>A</w:t>
      </w:r>
      <w:r w:rsidRPr="00A41BD3">
        <w:rPr>
          <w:rFonts w:ascii="Bookman Old Style" w:hAnsi="Bookman Old Style"/>
          <w:sz w:val="22"/>
          <w:szCs w:val="22"/>
        </w:rPr>
        <w:t>.</w:t>
      </w:r>
    </w:p>
    <w:p w14:paraId="7180BE1C" w14:textId="77777777" w:rsidR="00FD01D1" w:rsidRPr="00FD01D1" w:rsidRDefault="00FD01D1" w:rsidP="00FD01D1">
      <w:pPr>
        <w:pStyle w:val="ListParagraph"/>
        <w:ind w:left="1080"/>
        <w:jc w:val="both"/>
        <w:rPr>
          <w:rFonts w:ascii="Bookman Old Style" w:hAnsi="Bookman Old Style" w:cs="Arial"/>
          <w:sz w:val="22"/>
          <w:szCs w:val="22"/>
        </w:rPr>
      </w:pPr>
    </w:p>
    <w:p w14:paraId="730A2E8E" w14:textId="77777777" w:rsidR="009276A1" w:rsidRPr="00984B8B" w:rsidRDefault="009276A1" w:rsidP="009276A1">
      <w:pPr>
        <w:ind w:right="5"/>
        <w:jc w:val="both"/>
        <w:rPr>
          <w:rFonts w:ascii="Bookman Old Style" w:hAnsi="Bookman Old Style"/>
          <w:sz w:val="22"/>
          <w:szCs w:val="22"/>
          <w:u w:val="single"/>
        </w:rPr>
      </w:pPr>
      <w:r w:rsidRPr="00984B8B">
        <w:rPr>
          <w:rFonts w:ascii="Bookman Old Style" w:hAnsi="Bookman Old Style"/>
          <w:sz w:val="22"/>
          <w:szCs w:val="22"/>
          <w:u w:val="single"/>
        </w:rPr>
        <w:t>ASH POND DAMS</w:t>
      </w:r>
    </w:p>
    <w:p w14:paraId="68A8FD7D" w14:textId="77777777" w:rsidR="009276A1" w:rsidRPr="00984B8B" w:rsidRDefault="009276A1" w:rsidP="009276A1">
      <w:pPr>
        <w:rPr>
          <w:rFonts w:ascii="Bookman Old Style" w:hAnsi="Bookman Old Style"/>
          <w:sz w:val="22"/>
          <w:szCs w:val="22"/>
        </w:rPr>
      </w:pPr>
      <w:r w:rsidRPr="00984B8B">
        <w:rPr>
          <w:rFonts w:ascii="Bookman Old Style" w:hAnsi="Bookman Old Style"/>
          <w:sz w:val="22"/>
          <w:szCs w:val="22"/>
        </w:rPr>
        <w:t>Seepage through earthen dams is common and is an expected consequence of impounding water with an earthen embankment.  Even the tightest, best-compacted clays cannot prevent some water from seeping through them. Seepage is not necessarily an indication that a dam has structural problems, but should be kept in check through various engineering controls and regularly monitored for changes in quantity or quality which, over time, may result in dam failure.</w:t>
      </w:r>
    </w:p>
    <w:p w14:paraId="361180A6" w14:textId="77777777" w:rsidR="009276A1" w:rsidRPr="00984B8B" w:rsidRDefault="009276A1" w:rsidP="009276A1">
      <w:pPr>
        <w:rPr>
          <w:rFonts w:ascii="Bookman Old Style" w:hAnsi="Bookman Old Style"/>
          <w:sz w:val="22"/>
          <w:szCs w:val="22"/>
        </w:rPr>
      </w:pPr>
    </w:p>
    <w:p w14:paraId="58812AC8" w14:textId="77777777" w:rsidR="009276A1" w:rsidRPr="00984B8B" w:rsidRDefault="009276A1" w:rsidP="009276A1">
      <w:pPr>
        <w:rPr>
          <w:rFonts w:ascii="Bookman Old Style" w:hAnsi="Bookman Old Style"/>
          <w:sz w:val="22"/>
          <w:szCs w:val="22"/>
        </w:rPr>
      </w:pPr>
      <w:r w:rsidRPr="00984B8B">
        <w:rPr>
          <w:rFonts w:ascii="Bookman Old Style" w:hAnsi="Bookman Old Style"/>
          <w:smallCaps/>
          <w:sz w:val="22"/>
          <w:szCs w:val="22"/>
          <w:u w:val="single"/>
        </w:rPr>
        <w:t>REASONABLE POTENTIAL ANALYSIS</w:t>
      </w:r>
      <w:r w:rsidR="005F4D65">
        <w:rPr>
          <w:rFonts w:ascii="Bookman Old Style" w:hAnsi="Bookman Old Style"/>
          <w:smallCaps/>
          <w:sz w:val="22"/>
          <w:szCs w:val="22"/>
          <w:u w:val="single"/>
        </w:rPr>
        <w:t xml:space="preserve"> </w:t>
      </w:r>
      <w:r w:rsidRPr="00984B8B">
        <w:rPr>
          <w:rFonts w:ascii="Bookman Old Style" w:hAnsi="Bookman Old Style"/>
          <w:smallCaps/>
          <w:sz w:val="22"/>
          <w:szCs w:val="22"/>
          <w:u w:val="single"/>
        </w:rPr>
        <w:t>(RPA)</w:t>
      </w:r>
      <w:r w:rsidRPr="00984B8B">
        <w:rPr>
          <w:rFonts w:ascii="Bookman Old Style" w:hAnsi="Bookman Old Style"/>
          <w:smallCaps/>
          <w:sz w:val="22"/>
          <w:szCs w:val="22"/>
          <w:u w:val="single"/>
        </w:rPr>
        <w:cr/>
      </w:r>
      <w:r w:rsidRPr="00984B8B">
        <w:rPr>
          <w:rFonts w:ascii="Bookman Old Style" w:hAnsi="Bookman Old Style"/>
          <w:sz w:val="22"/>
          <w:szCs w:val="22"/>
        </w:rPr>
        <w:t>The Division conducted EPA-recommended analyses to determine the reasonable potential for toxicants to be discharged at levels exceeding water quality standards/EPA criteria by this facility. For the purposes of the RPA, the background concentrations for all parameters were assumed to be below detections level. The RPA uses 95% probability level and 95% confidence basis in accordance with the EPA Guidance entitled “Technical Support Document for Water Quality-based Toxics Control.” The RPA included evaluation of dissolved metals’ standards, utilizing a default hardness value of 25 mg/L CaCO</w:t>
      </w:r>
      <w:r w:rsidRPr="00984B8B">
        <w:rPr>
          <w:rFonts w:ascii="Bookman Old Style" w:hAnsi="Bookman Old Style"/>
          <w:sz w:val="22"/>
          <w:szCs w:val="22"/>
          <w:vertAlign w:val="subscript"/>
        </w:rPr>
        <w:t>3</w:t>
      </w:r>
      <w:r w:rsidRPr="00984B8B">
        <w:rPr>
          <w:rFonts w:ascii="Bookman Old Style" w:hAnsi="Bookman Old Style"/>
          <w:sz w:val="22"/>
          <w:szCs w:val="22"/>
        </w:rPr>
        <w:t xml:space="preserve"> for hardness-dependent metals. The RPA spreadsheets are attached to this Fact Sheet.</w:t>
      </w:r>
    </w:p>
    <w:p w14:paraId="6E53299F" w14:textId="77777777" w:rsidR="009276A1" w:rsidRPr="00984B8B" w:rsidRDefault="009276A1" w:rsidP="009276A1">
      <w:pPr>
        <w:jc w:val="both"/>
        <w:rPr>
          <w:rFonts w:ascii="Bookman Old Style" w:hAnsi="Bookman Old Style"/>
          <w:sz w:val="22"/>
          <w:szCs w:val="22"/>
        </w:rPr>
      </w:pPr>
    </w:p>
    <w:p w14:paraId="0770B958" w14:textId="77777777" w:rsidR="009276A1" w:rsidRPr="00984B8B" w:rsidRDefault="009276A1" w:rsidP="009276A1">
      <w:pPr>
        <w:pStyle w:val="ListParagraph"/>
        <w:numPr>
          <w:ilvl w:val="0"/>
          <w:numId w:val="29"/>
        </w:numPr>
        <w:jc w:val="both"/>
        <w:rPr>
          <w:rFonts w:ascii="Bookman Old Style" w:hAnsi="Bookman Old Style"/>
          <w:sz w:val="22"/>
          <w:szCs w:val="22"/>
        </w:rPr>
      </w:pPr>
      <w:r w:rsidRPr="00984B8B">
        <w:rPr>
          <w:rFonts w:ascii="Bookman Old Style" w:hAnsi="Bookman Old Style"/>
          <w:sz w:val="22"/>
          <w:szCs w:val="22"/>
        </w:rPr>
        <w:t xml:space="preserve">RPA for </w:t>
      </w:r>
      <w:r w:rsidR="00B41D66">
        <w:rPr>
          <w:rFonts w:ascii="Bookman Old Style" w:hAnsi="Bookman Old Style"/>
          <w:sz w:val="22"/>
          <w:szCs w:val="22"/>
        </w:rPr>
        <w:t>Lined Retention Basin</w:t>
      </w:r>
      <w:r w:rsidR="008A3511">
        <w:rPr>
          <w:rFonts w:ascii="Bookman Old Style" w:hAnsi="Bookman Old Style"/>
          <w:sz w:val="22"/>
          <w:szCs w:val="22"/>
        </w:rPr>
        <w:t xml:space="preserve"> (LRB)</w:t>
      </w:r>
      <w:r w:rsidRPr="00984B8B">
        <w:rPr>
          <w:rFonts w:ascii="Bookman Old Style" w:hAnsi="Bookman Old Style"/>
          <w:sz w:val="22"/>
          <w:szCs w:val="22"/>
        </w:rPr>
        <w:t xml:space="preserve"> (Outfall 002</w:t>
      </w:r>
      <w:r w:rsidR="00B41D66">
        <w:rPr>
          <w:rFonts w:ascii="Bookman Old Style" w:hAnsi="Bookman Old Style"/>
          <w:sz w:val="22"/>
          <w:szCs w:val="22"/>
        </w:rPr>
        <w:t>A</w:t>
      </w:r>
      <w:r w:rsidRPr="00984B8B">
        <w:rPr>
          <w:rFonts w:ascii="Bookman Old Style" w:hAnsi="Bookman Old Style"/>
          <w:sz w:val="22"/>
          <w:szCs w:val="22"/>
        </w:rPr>
        <w:t xml:space="preserve">). </w:t>
      </w:r>
    </w:p>
    <w:p w14:paraId="0A830CC2" w14:textId="77777777" w:rsidR="009276A1" w:rsidRPr="00984B8B" w:rsidRDefault="009276A1" w:rsidP="009276A1">
      <w:pPr>
        <w:pStyle w:val="ListParagraph"/>
        <w:jc w:val="both"/>
        <w:rPr>
          <w:rFonts w:ascii="Bookman Old Style" w:hAnsi="Bookman Old Style"/>
          <w:sz w:val="22"/>
          <w:szCs w:val="22"/>
        </w:rPr>
      </w:pPr>
      <w:r w:rsidRPr="00984B8B">
        <w:rPr>
          <w:rFonts w:ascii="Bookman Old Style" w:hAnsi="Bookman Old Style"/>
          <w:sz w:val="22"/>
          <w:szCs w:val="22"/>
        </w:rPr>
        <w:t xml:space="preserve">The RPA was conducted for </w:t>
      </w:r>
      <w:r w:rsidR="008A3511">
        <w:rPr>
          <w:rFonts w:ascii="Bookman Old Style" w:hAnsi="Bookman Old Style"/>
          <w:sz w:val="22"/>
          <w:szCs w:val="22"/>
        </w:rPr>
        <w:t>LRB</w:t>
      </w:r>
      <w:r w:rsidRPr="00984B8B">
        <w:rPr>
          <w:rFonts w:ascii="Bookman Old Style" w:hAnsi="Bookman Old Style"/>
          <w:sz w:val="22"/>
          <w:szCs w:val="22"/>
        </w:rPr>
        <w:t xml:space="preserve">, the calculations included: As, Be, Cd, Chlorides, Total Phenolic Compounds, Cr, Cu, CN, F, Pb, Hg, Mo, Ni, Se, </w:t>
      </w:r>
      <w:r w:rsidR="00EF7717">
        <w:rPr>
          <w:rFonts w:ascii="Bookman Old Style" w:hAnsi="Bookman Old Style"/>
          <w:sz w:val="22"/>
          <w:szCs w:val="22"/>
        </w:rPr>
        <w:t xml:space="preserve">Ag, </w:t>
      </w:r>
      <w:r w:rsidRPr="00984B8B">
        <w:rPr>
          <w:rFonts w:ascii="Bookman Old Style" w:hAnsi="Bookman Old Style"/>
          <w:sz w:val="22"/>
          <w:szCs w:val="22"/>
        </w:rPr>
        <w:t>Zn, Ba, Sb,</w:t>
      </w:r>
      <w:r w:rsidR="00EF7717">
        <w:rPr>
          <w:rFonts w:ascii="Bookman Old Style" w:hAnsi="Bookman Old Style"/>
          <w:sz w:val="22"/>
          <w:szCs w:val="22"/>
        </w:rPr>
        <w:t xml:space="preserve"> SO</w:t>
      </w:r>
      <w:r w:rsidR="00EF7717" w:rsidRPr="008A3511">
        <w:rPr>
          <w:rFonts w:ascii="Bookman Old Style" w:hAnsi="Bookman Old Style"/>
          <w:sz w:val="22"/>
          <w:szCs w:val="22"/>
          <w:vertAlign w:val="subscript"/>
        </w:rPr>
        <w:t>4</w:t>
      </w:r>
      <w:r w:rsidR="00EF7717">
        <w:rPr>
          <w:rFonts w:ascii="Bookman Old Style" w:hAnsi="Bookman Old Style"/>
          <w:sz w:val="22"/>
          <w:szCs w:val="22"/>
        </w:rPr>
        <w:t>,</w:t>
      </w:r>
      <w:r w:rsidRPr="00984B8B">
        <w:rPr>
          <w:rFonts w:ascii="Bookman Old Style" w:hAnsi="Bookman Old Style"/>
          <w:sz w:val="22"/>
          <w:szCs w:val="22"/>
        </w:rPr>
        <w:t xml:space="preserve"> and Tl (please see attached).  The </w:t>
      </w:r>
      <w:r w:rsidR="00EF7717">
        <w:rPr>
          <w:rFonts w:ascii="Bookman Old Style" w:hAnsi="Bookman Old Style"/>
          <w:sz w:val="22"/>
          <w:szCs w:val="22"/>
        </w:rPr>
        <w:t xml:space="preserve">flow </w:t>
      </w:r>
      <w:r w:rsidRPr="00984B8B">
        <w:rPr>
          <w:rFonts w:ascii="Bookman Old Style" w:hAnsi="Bookman Old Style"/>
          <w:sz w:val="22"/>
          <w:szCs w:val="22"/>
        </w:rPr>
        <w:t xml:space="preserve">of </w:t>
      </w:r>
      <w:r w:rsidR="00EF7717">
        <w:rPr>
          <w:rFonts w:ascii="Bookman Old Style" w:hAnsi="Bookman Old Style"/>
          <w:sz w:val="22"/>
          <w:szCs w:val="22"/>
        </w:rPr>
        <w:t>10.2</w:t>
      </w:r>
      <w:r w:rsidR="008A3511">
        <w:rPr>
          <w:rFonts w:ascii="Bookman Old Style" w:hAnsi="Bookman Old Style"/>
          <w:sz w:val="22"/>
          <w:szCs w:val="22"/>
        </w:rPr>
        <w:t>5 MGD (CCR leachate included)</w:t>
      </w:r>
      <w:r w:rsidR="00EF7717">
        <w:rPr>
          <w:rFonts w:ascii="Bookman Old Style" w:hAnsi="Bookman Old Style"/>
          <w:sz w:val="22"/>
          <w:szCs w:val="22"/>
        </w:rPr>
        <w:t xml:space="preserve"> </w:t>
      </w:r>
      <w:r w:rsidR="008A3511">
        <w:rPr>
          <w:rFonts w:ascii="Bookman Old Style" w:hAnsi="Bookman Old Style"/>
          <w:sz w:val="22"/>
          <w:szCs w:val="22"/>
        </w:rPr>
        <w:t>w</w:t>
      </w:r>
      <w:r w:rsidR="00EF7717">
        <w:rPr>
          <w:rFonts w:ascii="Bookman Old Style" w:hAnsi="Bookman Old Style"/>
          <w:sz w:val="22"/>
          <w:szCs w:val="22"/>
        </w:rPr>
        <w:t>as used for the analysis</w:t>
      </w:r>
      <w:r w:rsidRPr="00984B8B">
        <w:rPr>
          <w:rFonts w:ascii="Bookman Old Style" w:hAnsi="Bookman Old Style"/>
          <w:sz w:val="22"/>
          <w:szCs w:val="22"/>
        </w:rPr>
        <w:t xml:space="preserve">. The discharge data on the EPA Form 2C was used for the RPA, it was supplemented by </w:t>
      </w:r>
      <w:r w:rsidR="008A3511">
        <w:rPr>
          <w:rFonts w:ascii="Bookman Old Style" w:hAnsi="Bookman Old Style"/>
          <w:sz w:val="22"/>
          <w:szCs w:val="22"/>
        </w:rPr>
        <w:t>leachate data from the modification application</w:t>
      </w:r>
      <w:r w:rsidRPr="00984B8B">
        <w:rPr>
          <w:rFonts w:ascii="Bookman Old Style" w:hAnsi="Bookman Old Style"/>
          <w:sz w:val="22"/>
          <w:szCs w:val="22"/>
        </w:rPr>
        <w:t>.</w:t>
      </w:r>
      <w:r w:rsidRPr="00984B8B">
        <w:rPr>
          <w:rFonts w:ascii="Bookman Old Style" w:hAnsi="Bookman Old Style"/>
          <w:b/>
          <w:sz w:val="22"/>
          <w:szCs w:val="22"/>
        </w:rPr>
        <w:t xml:space="preserve"> </w:t>
      </w:r>
      <w:r w:rsidRPr="00984B8B">
        <w:rPr>
          <w:rFonts w:ascii="Bookman Old Style" w:hAnsi="Bookman Old Style"/>
          <w:sz w:val="22"/>
          <w:szCs w:val="22"/>
        </w:rPr>
        <w:t xml:space="preserve"> The analysis indicate</w:t>
      </w:r>
      <w:r w:rsidR="00EF7717">
        <w:rPr>
          <w:rFonts w:ascii="Bookman Old Style" w:hAnsi="Bookman Old Style"/>
          <w:sz w:val="22"/>
          <w:szCs w:val="22"/>
        </w:rPr>
        <w:t>s</w:t>
      </w:r>
      <w:r w:rsidRPr="00984B8B">
        <w:rPr>
          <w:rFonts w:ascii="Bookman Old Style" w:hAnsi="Bookman Old Style"/>
          <w:sz w:val="22"/>
          <w:szCs w:val="22"/>
        </w:rPr>
        <w:t xml:space="preserve"> reasonable potential to violate the surface water quality standards or EPA criteria</w:t>
      </w:r>
      <w:r w:rsidR="00EF7717">
        <w:rPr>
          <w:rFonts w:ascii="Bookman Old Style" w:hAnsi="Bookman Old Style"/>
          <w:sz w:val="22"/>
          <w:szCs w:val="22"/>
        </w:rPr>
        <w:t xml:space="preserve"> for the following parameters: </w:t>
      </w:r>
      <w:r w:rsidR="008A3511">
        <w:rPr>
          <w:rFonts w:ascii="Bookman Old Style" w:hAnsi="Bookman Old Style"/>
          <w:sz w:val="22"/>
          <w:szCs w:val="22"/>
        </w:rPr>
        <w:t>As, C</w:t>
      </w:r>
      <w:r w:rsidR="00EF7717">
        <w:rPr>
          <w:rFonts w:ascii="Bookman Old Style" w:hAnsi="Bookman Old Style"/>
          <w:sz w:val="22"/>
          <w:szCs w:val="22"/>
        </w:rPr>
        <w:t>hlorides,</w:t>
      </w:r>
      <w:r w:rsidR="00E4590B">
        <w:rPr>
          <w:rFonts w:ascii="Bookman Old Style" w:hAnsi="Bookman Old Style"/>
          <w:sz w:val="22"/>
          <w:szCs w:val="22"/>
        </w:rPr>
        <w:t xml:space="preserve"> </w:t>
      </w:r>
      <w:r w:rsidR="008A3511">
        <w:rPr>
          <w:rFonts w:ascii="Bookman Old Style" w:hAnsi="Bookman Old Style"/>
          <w:sz w:val="22"/>
          <w:szCs w:val="22"/>
        </w:rPr>
        <w:t xml:space="preserve">F, Ba, </w:t>
      </w:r>
      <w:r w:rsidR="00E4590B">
        <w:rPr>
          <w:rFonts w:ascii="Bookman Old Style" w:hAnsi="Bookman Old Style"/>
          <w:sz w:val="22"/>
          <w:szCs w:val="22"/>
        </w:rPr>
        <w:t>and</w:t>
      </w:r>
      <w:r w:rsidR="00EF7717">
        <w:rPr>
          <w:rFonts w:ascii="Bookman Old Style" w:hAnsi="Bookman Old Style"/>
          <w:sz w:val="22"/>
          <w:szCs w:val="22"/>
        </w:rPr>
        <w:t xml:space="preserve"> </w:t>
      </w:r>
      <w:r w:rsidR="008A3511">
        <w:rPr>
          <w:rFonts w:ascii="Bookman Old Style" w:hAnsi="Bookman Old Style"/>
          <w:sz w:val="22"/>
          <w:szCs w:val="22"/>
        </w:rPr>
        <w:t>Sb</w:t>
      </w:r>
      <w:r w:rsidR="00E4590B">
        <w:rPr>
          <w:rFonts w:ascii="Bookman Old Style" w:hAnsi="Bookman Old Style"/>
          <w:sz w:val="22"/>
          <w:szCs w:val="22"/>
        </w:rPr>
        <w:t>. T</w:t>
      </w:r>
      <w:r w:rsidR="00EF7717">
        <w:rPr>
          <w:rFonts w:ascii="Bookman Old Style" w:hAnsi="Bookman Old Style"/>
          <w:sz w:val="22"/>
          <w:szCs w:val="22"/>
        </w:rPr>
        <w:t xml:space="preserve">he appropriate limits were added </w:t>
      </w:r>
      <w:r w:rsidR="008A3511">
        <w:rPr>
          <w:rFonts w:ascii="Bookman Old Style" w:hAnsi="Bookman Old Style"/>
          <w:sz w:val="22"/>
          <w:szCs w:val="22"/>
        </w:rPr>
        <w:t xml:space="preserve">to </w:t>
      </w:r>
      <w:r w:rsidR="00EF7717">
        <w:rPr>
          <w:rFonts w:ascii="Bookman Old Style" w:hAnsi="Bookman Old Style"/>
          <w:sz w:val="22"/>
          <w:szCs w:val="22"/>
        </w:rPr>
        <w:t xml:space="preserve">the permit. </w:t>
      </w:r>
      <w:r w:rsidRPr="00984B8B">
        <w:rPr>
          <w:rFonts w:ascii="Bookman Old Style" w:hAnsi="Bookman Old Style"/>
          <w:sz w:val="22"/>
          <w:szCs w:val="22"/>
        </w:rPr>
        <w:t xml:space="preserve">  </w:t>
      </w:r>
    </w:p>
    <w:p w14:paraId="608D3342" w14:textId="77777777" w:rsidR="009276A1" w:rsidRPr="00984B8B" w:rsidRDefault="009276A1" w:rsidP="009276A1">
      <w:pPr>
        <w:rPr>
          <w:rFonts w:ascii="Bookman Old Style" w:hAnsi="Bookman Old Style"/>
          <w:smallCaps/>
          <w:sz w:val="22"/>
          <w:szCs w:val="22"/>
          <w:u w:val="single"/>
        </w:rPr>
      </w:pPr>
    </w:p>
    <w:p w14:paraId="23F46171" w14:textId="77777777" w:rsidR="009276A1" w:rsidRPr="00984B8B" w:rsidRDefault="009276A1" w:rsidP="009276A1">
      <w:pPr>
        <w:pStyle w:val="ListParagraph"/>
        <w:numPr>
          <w:ilvl w:val="0"/>
          <w:numId w:val="29"/>
        </w:numPr>
        <w:rPr>
          <w:rFonts w:ascii="Bookman Old Style" w:hAnsi="Bookman Old Style"/>
          <w:sz w:val="22"/>
          <w:szCs w:val="22"/>
        </w:rPr>
      </w:pPr>
      <w:r w:rsidRPr="00984B8B">
        <w:rPr>
          <w:rFonts w:ascii="Bookman Old Style" w:hAnsi="Bookman Old Style"/>
          <w:sz w:val="22"/>
          <w:szCs w:val="22"/>
        </w:rPr>
        <w:t xml:space="preserve">RPA for Dewatering of Ash pond (Outfall 002). </w:t>
      </w:r>
    </w:p>
    <w:p w14:paraId="714AE631" w14:textId="77777777" w:rsidR="00EF7717" w:rsidRPr="00984B8B" w:rsidRDefault="009276A1" w:rsidP="00EF7717">
      <w:pPr>
        <w:pStyle w:val="ListParagraph"/>
        <w:jc w:val="both"/>
        <w:rPr>
          <w:rFonts w:ascii="Bookman Old Style" w:hAnsi="Bookman Old Style"/>
          <w:sz w:val="22"/>
          <w:szCs w:val="22"/>
        </w:rPr>
      </w:pPr>
      <w:r w:rsidRPr="00984B8B">
        <w:rPr>
          <w:rFonts w:ascii="Bookman Old Style" w:hAnsi="Bookman Old Style"/>
          <w:sz w:val="22"/>
          <w:szCs w:val="22"/>
        </w:rPr>
        <w:t xml:space="preserve">To meet the requirements of the Coal Ash Management Act of 2014, the facility needs to dewater two ash ponds by removing the interstitial water and excavate the ash to deposit it in landfills. The facility’s highest discharge rate from the dewatering process will be </w:t>
      </w:r>
      <w:r w:rsidR="008A3511">
        <w:rPr>
          <w:rFonts w:ascii="Bookman Old Style" w:hAnsi="Bookman Old Style"/>
          <w:sz w:val="22"/>
          <w:szCs w:val="22"/>
        </w:rPr>
        <w:t>3</w:t>
      </w:r>
      <w:r w:rsidRPr="00984B8B">
        <w:rPr>
          <w:rFonts w:ascii="Bookman Old Style" w:hAnsi="Bookman Old Style"/>
          <w:sz w:val="22"/>
          <w:szCs w:val="22"/>
        </w:rPr>
        <w:t>.</w:t>
      </w:r>
      <w:r w:rsidR="00EF7717">
        <w:rPr>
          <w:rFonts w:ascii="Bookman Old Style" w:hAnsi="Bookman Old Style"/>
          <w:sz w:val="22"/>
          <w:szCs w:val="22"/>
        </w:rPr>
        <w:t>0</w:t>
      </w:r>
      <w:r w:rsidRPr="00984B8B">
        <w:rPr>
          <w:rFonts w:ascii="Bookman Old Style" w:hAnsi="Bookman Old Style"/>
          <w:sz w:val="22"/>
          <w:szCs w:val="22"/>
        </w:rPr>
        <w:t xml:space="preserve"> MGD</w:t>
      </w:r>
      <w:r w:rsidR="008A3511">
        <w:rPr>
          <w:rFonts w:ascii="Bookman Old Style" w:hAnsi="Bookman Old Style"/>
          <w:sz w:val="22"/>
          <w:szCs w:val="22"/>
        </w:rPr>
        <w:t xml:space="preserve"> (an increase from original 2.0 MGD)</w:t>
      </w:r>
      <w:r w:rsidRPr="00984B8B">
        <w:rPr>
          <w:rFonts w:ascii="Bookman Old Style" w:hAnsi="Bookman Old Style"/>
          <w:sz w:val="22"/>
          <w:szCs w:val="22"/>
        </w:rPr>
        <w:t xml:space="preserve">. The </w:t>
      </w:r>
      <w:r w:rsidRPr="00984B8B">
        <w:rPr>
          <w:rFonts w:ascii="Bookman Old Style" w:hAnsi="Bookman Old Style"/>
          <w:sz w:val="22"/>
          <w:szCs w:val="22"/>
        </w:rPr>
        <w:lastRenderedPageBreak/>
        <w:t xml:space="preserve">facility submitted data for the standing surface water in the ash ponds, interstitial water in the ash, and interstitial ash water that was treated by filters of various sizes. To evaluate the impact of the dewatering on the receiving stream the RPA was conducted for the wastewater that will be generated by the dewatering process. To introduce a margin of safety, the highest measured concentration for a particular parameter was used. The RPA was conducted for As, Cd, Chlorides, Cr, Cu, F, Pb, Hg, </w:t>
      </w:r>
      <w:r w:rsidR="00A159C7">
        <w:rPr>
          <w:rFonts w:ascii="Bookman Old Style" w:hAnsi="Bookman Old Style"/>
          <w:sz w:val="22"/>
          <w:szCs w:val="22"/>
        </w:rPr>
        <w:t xml:space="preserve">Mo, </w:t>
      </w:r>
      <w:r w:rsidRPr="00984B8B">
        <w:rPr>
          <w:rFonts w:ascii="Bookman Old Style" w:hAnsi="Bookman Old Style"/>
          <w:sz w:val="22"/>
          <w:szCs w:val="22"/>
        </w:rPr>
        <w:t>Ni, Se</w:t>
      </w:r>
      <w:r w:rsidR="00A159C7">
        <w:rPr>
          <w:rFonts w:ascii="Bookman Old Style" w:hAnsi="Bookman Old Style"/>
          <w:sz w:val="22"/>
          <w:szCs w:val="22"/>
        </w:rPr>
        <w:t>,</w:t>
      </w:r>
      <w:r w:rsidRPr="00984B8B">
        <w:rPr>
          <w:rFonts w:ascii="Bookman Old Style" w:hAnsi="Bookman Old Style"/>
          <w:sz w:val="22"/>
          <w:szCs w:val="22"/>
        </w:rPr>
        <w:t xml:space="preserve"> Zn, Ba, Sb, </w:t>
      </w:r>
      <w:r w:rsidR="00A159C7">
        <w:rPr>
          <w:rFonts w:ascii="Bookman Old Style" w:hAnsi="Bookman Old Style"/>
          <w:sz w:val="22"/>
          <w:szCs w:val="22"/>
        </w:rPr>
        <w:t>SO</w:t>
      </w:r>
      <w:r w:rsidR="00A159C7" w:rsidRPr="008A3511">
        <w:rPr>
          <w:rFonts w:ascii="Bookman Old Style" w:hAnsi="Bookman Old Style"/>
          <w:sz w:val="22"/>
          <w:szCs w:val="22"/>
          <w:vertAlign w:val="subscript"/>
        </w:rPr>
        <w:t>4</w:t>
      </w:r>
      <w:r w:rsidR="00A159C7">
        <w:rPr>
          <w:rFonts w:ascii="Bookman Old Style" w:hAnsi="Bookman Old Style"/>
          <w:sz w:val="22"/>
          <w:szCs w:val="22"/>
        </w:rPr>
        <w:t xml:space="preserve">, </w:t>
      </w:r>
      <w:r w:rsidRPr="00984B8B">
        <w:rPr>
          <w:rFonts w:ascii="Bookman Old Style" w:hAnsi="Bookman Old Style"/>
          <w:sz w:val="22"/>
          <w:szCs w:val="22"/>
        </w:rPr>
        <w:t xml:space="preserve">and Tl. </w:t>
      </w:r>
      <w:r w:rsidR="00EF7717" w:rsidRPr="00984B8B">
        <w:rPr>
          <w:rFonts w:ascii="Bookman Old Style" w:hAnsi="Bookman Old Style"/>
          <w:sz w:val="22"/>
          <w:szCs w:val="22"/>
        </w:rPr>
        <w:t>The analysis indicate</w:t>
      </w:r>
      <w:r w:rsidR="00EF7717">
        <w:rPr>
          <w:rFonts w:ascii="Bookman Old Style" w:hAnsi="Bookman Old Style"/>
          <w:sz w:val="22"/>
          <w:szCs w:val="22"/>
        </w:rPr>
        <w:t>s</w:t>
      </w:r>
      <w:r w:rsidR="00EF7717" w:rsidRPr="00984B8B">
        <w:rPr>
          <w:rFonts w:ascii="Bookman Old Style" w:hAnsi="Bookman Old Style"/>
          <w:sz w:val="22"/>
          <w:szCs w:val="22"/>
        </w:rPr>
        <w:t xml:space="preserve"> reasonable potential to violate the surface water quality standards or EPA criteria</w:t>
      </w:r>
      <w:r w:rsidR="00EF7717">
        <w:rPr>
          <w:rFonts w:ascii="Bookman Old Style" w:hAnsi="Bookman Old Style"/>
          <w:sz w:val="22"/>
          <w:szCs w:val="22"/>
        </w:rPr>
        <w:t xml:space="preserve"> for the following parameters: </w:t>
      </w:r>
      <w:r w:rsidR="00A159C7">
        <w:rPr>
          <w:rFonts w:ascii="Bookman Old Style" w:hAnsi="Bookman Old Style"/>
          <w:sz w:val="22"/>
          <w:szCs w:val="22"/>
        </w:rPr>
        <w:t>As, Cd</w:t>
      </w:r>
      <w:r w:rsidR="00EF7717">
        <w:rPr>
          <w:rFonts w:ascii="Bookman Old Style" w:hAnsi="Bookman Old Style"/>
          <w:sz w:val="22"/>
          <w:szCs w:val="22"/>
        </w:rPr>
        <w:t xml:space="preserve">, </w:t>
      </w:r>
      <w:r w:rsidR="00A159C7">
        <w:rPr>
          <w:rFonts w:ascii="Bookman Old Style" w:hAnsi="Bookman Old Style"/>
          <w:sz w:val="22"/>
          <w:szCs w:val="22"/>
        </w:rPr>
        <w:t xml:space="preserve">Cr (III), Cr (VI), Cu, Pb, Ni, Zn, Ba, </w:t>
      </w:r>
      <w:r w:rsidR="00EF7717">
        <w:rPr>
          <w:rFonts w:ascii="Bookman Old Style" w:hAnsi="Bookman Old Style"/>
          <w:sz w:val="22"/>
          <w:szCs w:val="22"/>
        </w:rPr>
        <w:t xml:space="preserve">and Tl. The appropriate limits were </w:t>
      </w:r>
      <w:r w:rsidR="008A3511">
        <w:rPr>
          <w:rFonts w:ascii="Bookman Old Style" w:hAnsi="Bookman Old Style"/>
          <w:sz w:val="22"/>
          <w:szCs w:val="22"/>
        </w:rPr>
        <w:t>maintained in</w:t>
      </w:r>
      <w:r w:rsidR="00EF7717">
        <w:rPr>
          <w:rFonts w:ascii="Bookman Old Style" w:hAnsi="Bookman Old Style"/>
          <w:sz w:val="22"/>
          <w:szCs w:val="22"/>
        </w:rPr>
        <w:t xml:space="preserve"> the permit. </w:t>
      </w:r>
      <w:r w:rsidR="008A3511">
        <w:rPr>
          <w:rFonts w:ascii="Bookman Old Style" w:hAnsi="Bookman Old Style"/>
          <w:sz w:val="22"/>
          <w:szCs w:val="22"/>
        </w:rPr>
        <w:t>The RPA indicated that new limits were not necessary as the flow limit increased from 2.0 MGD to 3.0 MGD.</w:t>
      </w:r>
      <w:r w:rsidR="00EF7717" w:rsidRPr="00984B8B">
        <w:rPr>
          <w:rFonts w:ascii="Bookman Old Style" w:hAnsi="Bookman Old Style"/>
          <w:sz w:val="22"/>
          <w:szCs w:val="22"/>
        </w:rPr>
        <w:t xml:space="preserve"> </w:t>
      </w:r>
    </w:p>
    <w:p w14:paraId="616DE434" w14:textId="77777777" w:rsidR="009276A1" w:rsidRPr="00984B8B" w:rsidRDefault="009276A1" w:rsidP="00EF7717">
      <w:pPr>
        <w:ind w:left="720"/>
        <w:rPr>
          <w:rFonts w:ascii="Bookman Old Style" w:hAnsi="Bookman Old Style"/>
          <w:sz w:val="22"/>
          <w:szCs w:val="22"/>
        </w:rPr>
      </w:pPr>
    </w:p>
    <w:p w14:paraId="4FD88937" w14:textId="77777777" w:rsidR="009276A1" w:rsidRPr="00984B8B" w:rsidRDefault="009276A1" w:rsidP="009276A1">
      <w:pPr>
        <w:spacing w:line="256" w:lineRule="auto"/>
        <w:rPr>
          <w:rFonts w:ascii="Bookman Old Style" w:hAnsi="Bookman Old Style"/>
          <w:sz w:val="22"/>
          <w:szCs w:val="22"/>
        </w:rPr>
      </w:pPr>
      <w:r w:rsidRPr="00984B8B">
        <w:rPr>
          <w:rFonts w:ascii="Bookman Old Style" w:hAnsi="Bookman Old Style"/>
          <w:sz w:val="22"/>
          <w:szCs w:val="22"/>
        </w:rPr>
        <w:t>The proposed permit requires that EPA methods 200.7 or 200.8 (or the most current versions) shall be used for analyses of all metals except for total mercury.</w:t>
      </w:r>
    </w:p>
    <w:p w14:paraId="4114D327" w14:textId="77777777" w:rsidR="00435B4D" w:rsidRDefault="00435B4D" w:rsidP="009276A1">
      <w:pPr>
        <w:pStyle w:val="Heading6"/>
        <w:rPr>
          <w:rFonts w:ascii="Bookman Old Style" w:hAnsi="Bookman Old Style"/>
          <w:szCs w:val="22"/>
        </w:rPr>
      </w:pPr>
    </w:p>
    <w:p w14:paraId="56F566A5" w14:textId="77777777" w:rsidR="009276A1" w:rsidRPr="00984B8B" w:rsidRDefault="009276A1" w:rsidP="009276A1">
      <w:pPr>
        <w:pStyle w:val="Heading6"/>
        <w:rPr>
          <w:rFonts w:ascii="Bookman Old Style" w:hAnsi="Bookman Old Style"/>
          <w:b/>
          <w:szCs w:val="22"/>
        </w:rPr>
      </w:pPr>
      <w:r w:rsidRPr="00984B8B">
        <w:rPr>
          <w:rFonts w:ascii="Bookman Old Style" w:hAnsi="Bookman Old Style"/>
          <w:szCs w:val="22"/>
        </w:rPr>
        <w:t>MERCURY EVALUATION-</w:t>
      </w:r>
      <w:r w:rsidRPr="00984B8B">
        <w:rPr>
          <w:rFonts w:ascii="Bookman Old Style" w:hAnsi="Bookman Old Style"/>
          <w:smallCaps/>
          <w:szCs w:val="22"/>
        </w:rPr>
        <w:t xml:space="preserve"> Outfall 002 (Ash Pond) </w:t>
      </w:r>
    </w:p>
    <w:p w14:paraId="1F6F9BDD" w14:textId="77777777" w:rsidR="009276A1" w:rsidRPr="00984B8B" w:rsidRDefault="009276A1" w:rsidP="009276A1">
      <w:pPr>
        <w:ind w:right="5"/>
        <w:jc w:val="both"/>
        <w:rPr>
          <w:rFonts w:ascii="Bookman Old Style" w:hAnsi="Bookman Old Style"/>
          <w:sz w:val="22"/>
          <w:szCs w:val="22"/>
        </w:rPr>
      </w:pPr>
      <w:r w:rsidRPr="00984B8B">
        <w:rPr>
          <w:rFonts w:ascii="Bookman Old Style" w:hAnsi="Bookman Old Style"/>
          <w:sz w:val="22"/>
          <w:szCs w:val="22"/>
        </w:rPr>
        <w:t>The State of North Carolina has a state-wide mercury impairment.  A TMDL has been developed to address this issue in 2012.  The TMDL included the implementation strategy, both documents were approved by EPA in 2012. The mercury evaluation was conducted in accordance with the Permitting Guidelines for Statewide Mercury TMDL.</w:t>
      </w:r>
    </w:p>
    <w:tbl>
      <w:tblPr>
        <w:tblStyle w:val="TableGrid"/>
        <w:tblW w:w="0" w:type="auto"/>
        <w:tblLook w:val="04A0" w:firstRow="1" w:lastRow="0" w:firstColumn="1" w:lastColumn="0" w:noHBand="0" w:noVBand="1"/>
      </w:tblPr>
      <w:tblGrid>
        <w:gridCol w:w="2321"/>
        <w:gridCol w:w="2444"/>
        <w:gridCol w:w="1980"/>
        <w:gridCol w:w="2340"/>
      </w:tblGrid>
      <w:tr w:rsidR="00632272" w:rsidRPr="00984B8B" w14:paraId="58E4F58D" w14:textId="77777777" w:rsidTr="00632272">
        <w:tc>
          <w:tcPr>
            <w:tcW w:w="2321" w:type="dxa"/>
          </w:tcPr>
          <w:p w14:paraId="17BB318C" w14:textId="77777777" w:rsidR="00632272" w:rsidRPr="00984B8B" w:rsidRDefault="00632272" w:rsidP="003B41A8">
            <w:pPr>
              <w:ind w:right="5"/>
              <w:jc w:val="both"/>
              <w:rPr>
                <w:rFonts w:ascii="Bookman Old Style" w:hAnsi="Bookman Old Style"/>
                <w:sz w:val="22"/>
                <w:szCs w:val="22"/>
              </w:rPr>
            </w:pPr>
            <w:r w:rsidRPr="00984B8B">
              <w:rPr>
                <w:rFonts w:ascii="Bookman Old Style" w:hAnsi="Bookman Old Style"/>
                <w:sz w:val="22"/>
                <w:szCs w:val="22"/>
              </w:rPr>
              <w:t>Year</w:t>
            </w:r>
          </w:p>
        </w:tc>
        <w:tc>
          <w:tcPr>
            <w:tcW w:w="2444" w:type="dxa"/>
          </w:tcPr>
          <w:p w14:paraId="03688D8C" w14:textId="77777777" w:rsidR="00632272" w:rsidRPr="00984B8B" w:rsidRDefault="00632272" w:rsidP="00632272">
            <w:pPr>
              <w:ind w:right="5"/>
              <w:jc w:val="both"/>
              <w:rPr>
                <w:rFonts w:ascii="Bookman Old Style" w:hAnsi="Bookman Old Style"/>
                <w:sz w:val="22"/>
                <w:szCs w:val="22"/>
              </w:rPr>
            </w:pPr>
            <w:r w:rsidRPr="00984B8B">
              <w:rPr>
                <w:rFonts w:ascii="Bookman Old Style" w:hAnsi="Bookman Old Style"/>
                <w:sz w:val="22"/>
                <w:szCs w:val="22"/>
              </w:rPr>
              <w:t>201</w:t>
            </w:r>
            <w:r>
              <w:rPr>
                <w:rFonts w:ascii="Bookman Old Style" w:hAnsi="Bookman Old Style"/>
                <w:sz w:val="22"/>
                <w:szCs w:val="22"/>
              </w:rPr>
              <w:t>4</w:t>
            </w:r>
          </w:p>
        </w:tc>
        <w:tc>
          <w:tcPr>
            <w:tcW w:w="1980" w:type="dxa"/>
          </w:tcPr>
          <w:p w14:paraId="5D0AE47D" w14:textId="77777777" w:rsidR="00632272" w:rsidRPr="00984B8B" w:rsidRDefault="00632272" w:rsidP="00632272">
            <w:pPr>
              <w:ind w:right="5"/>
              <w:jc w:val="both"/>
              <w:rPr>
                <w:rFonts w:ascii="Bookman Old Style" w:hAnsi="Bookman Old Style"/>
                <w:sz w:val="22"/>
                <w:szCs w:val="22"/>
              </w:rPr>
            </w:pPr>
            <w:r w:rsidRPr="00984B8B">
              <w:rPr>
                <w:rFonts w:ascii="Bookman Old Style" w:hAnsi="Bookman Old Style"/>
                <w:sz w:val="22"/>
                <w:szCs w:val="22"/>
              </w:rPr>
              <w:t>201</w:t>
            </w:r>
            <w:r>
              <w:rPr>
                <w:rFonts w:ascii="Bookman Old Style" w:hAnsi="Bookman Old Style"/>
                <w:sz w:val="22"/>
                <w:szCs w:val="22"/>
              </w:rPr>
              <w:t>5</w:t>
            </w:r>
          </w:p>
        </w:tc>
        <w:tc>
          <w:tcPr>
            <w:tcW w:w="2340" w:type="dxa"/>
          </w:tcPr>
          <w:p w14:paraId="05EC64D5" w14:textId="77777777" w:rsidR="00632272" w:rsidRPr="00984B8B" w:rsidRDefault="00632272" w:rsidP="00632272">
            <w:pPr>
              <w:ind w:right="5"/>
              <w:jc w:val="both"/>
              <w:rPr>
                <w:rFonts w:ascii="Bookman Old Style" w:hAnsi="Bookman Old Style"/>
                <w:sz w:val="22"/>
                <w:szCs w:val="22"/>
              </w:rPr>
            </w:pPr>
            <w:r w:rsidRPr="00984B8B">
              <w:rPr>
                <w:rFonts w:ascii="Bookman Old Style" w:hAnsi="Bookman Old Style"/>
                <w:sz w:val="22"/>
                <w:szCs w:val="22"/>
              </w:rPr>
              <w:t>201</w:t>
            </w:r>
            <w:r>
              <w:rPr>
                <w:rFonts w:ascii="Bookman Old Style" w:hAnsi="Bookman Old Style"/>
                <w:sz w:val="22"/>
                <w:szCs w:val="22"/>
              </w:rPr>
              <w:t>6</w:t>
            </w:r>
          </w:p>
        </w:tc>
      </w:tr>
      <w:tr w:rsidR="00632272" w:rsidRPr="00984B8B" w14:paraId="25E50662" w14:textId="77777777" w:rsidTr="00632272">
        <w:tc>
          <w:tcPr>
            <w:tcW w:w="2321" w:type="dxa"/>
          </w:tcPr>
          <w:p w14:paraId="62AD0893" w14:textId="77777777" w:rsidR="00632272" w:rsidRPr="00984B8B" w:rsidRDefault="00632272" w:rsidP="00632272">
            <w:pPr>
              <w:ind w:right="5"/>
              <w:rPr>
                <w:rFonts w:ascii="Bookman Old Style" w:hAnsi="Bookman Old Style"/>
                <w:sz w:val="22"/>
                <w:szCs w:val="22"/>
              </w:rPr>
            </w:pPr>
            <w:r w:rsidRPr="00984B8B">
              <w:rPr>
                <w:rFonts w:ascii="Bookman Old Style" w:hAnsi="Bookman Old Style"/>
                <w:sz w:val="22"/>
                <w:szCs w:val="22"/>
              </w:rPr>
              <w:t>Annual average concentration (ng/L)</w:t>
            </w:r>
          </w:p>
        </w:tc>
        <w:tc>
          <w:tcPr>
            <w:tcW w:w="2444" w:type="dxa"/>
          </w:tcPr>
          <w:p w14:paraId="232ECDE4" w14:textId="77777777" w:rsidR="00632272" w:rsidRPr="00984B8B" w:rsidRDefault="00632272" w:rsidP="00632272">
            <w:pPr>
              <w:ind w:right="5"/>
              <w:jc w:val="both"/>
              <w:rPr>
                <w:rFonts w:ascii="Bookman Old Style" w:hAnsi="Bookman Old Style"/>
                <w:sz w:val="22"/>
                <w:szCs w:val="22"/>
              </w:rPr>
            </w:pPr>
            <w:r w:rsidRPr="00984B8B">
              <w:rPr>
                <w:rFonts w:ascii="Bookman Old Style" w:hAnsi="Bookman Old Style"/>
                <w:sz w:val="22"/>
                <w:szCs w:val="22"/>
              </w:rPr>
              <w:t>1.</w:t>
            </w:r>
            <w:r>
              <w:rPr>
                <w:rFonts w:ascii="Bookman Old Style" w:hAnsi="Bookman Old Style"/>
                <w:sz w:val="22"/>
                <w:szCs w:val="22"/>
              </w:rPr>
              <w:t>85</w:t>
            </w:r>
          </w:p>
        </w:tc>
        <w:tc>
          <w:tcPr>
            <w:tcW w:w="1980" w:type="dxa"/>
          </w:tcPr>
          <w:p w14:paraId="559D592D" w14:textId="77777777" w:rsidR="00632272" w:rsidRPr="00984B8B" w:rsidRDefault="00632272" w:rsidP="003B41A8">
            <w:pPr>
              <w:ind w:right="5"/>
              <w:jc w:val="both"/>
              <w:rPr>
                <w:rFonts w:ascii="Bookman Old Style" w:hAnsi="Bookman Old Style"/>
                <w:sz w:val="22"/>
                <w:szCs w:val="22"/>
              </w:rPr>
            </w:pPr>
            <w:r>
              <w:rPr>
                <w:rFonts w:ascii="Bookman Old Style" w:hAnsi="Bookman Old Style"/>
                <w:sz w:val="22"/>
                <w:szCs w:val="22"/>
              </w:rPr>
              <w:t>0.91</w:t>
            </w:r>
          </w:p>
        </w:tc>
        <w:tc>
          <w:tcPr>
            <w:tcW w:w="2340" w:type="dxa"/>
          </w:tcPr>
          <w:p w14:paraId="1072F9C7" w14:textId="77777777" w:rsidR="00632272" w:rsidRPr="00984B8B" w:rsidRDefault="00632272" w:rsidP="003B41A8">
            <w:pPr>
              <w:ind w:right="5"/>
              <w:jc w:val="both"/>
              <w:rPr>
                <w:rFonts w:ascii="Bookman Old Style" w:hAnsi="Bookman Old Style"/>
                <w:sz w:val="22"/>
                <w:szCs w:val="22"/>
              </w:rPr>
            </w:pPr>
            <w:r>
              <w:rPr>
                <w:rFonts w:ascii="Bookman Old Style" w:hAnsi="Bookman Old Style"/>
                <w:sz w:val="22"/>
                <w:szCs w:val="22"/>
              </w:rPr>
              <w:t>0.1</w:t>
            </w:r>
          </w:p>
        </w:tc>
      </w:tr>
      <w:tr w:rsidR="00632272" w:rsidRPr="00984B8B" w14:paraId="67514BE1" w14:textId="77777777" w:rsidTr="00632272">
        <w:tc>
          <w:tcPr>
            <w:tcW w:w="2321" w:type="dxa"/>
          </w:tcPr>
          <w:p w14:paraId="5E32B531" w14:textId="77777777" w:rsidR="00632272" w:rsidRPr="00984B8B" w:rsidRDefault="00632272" w:rsidP="003B41A8">
            <w:pPr>
              <w:ind w:right="5"/>
              <w:rPr>
                <w:rFonts w:ascii="Bookman Old Style" w:hAnsi="Bookman Old Style"/>
                <w:sz w:val="22"/>
                <w:szCs w:val="22"/>
              </w:rPr>
            </w:pPr>
            <w:r w:rsidRPr="00984B8B">
              <w:rPr>
                <w:rFonts w:ascii="Bookman Old Style" w:hAnsi="Bookman Old Style"/>
                <w:sz w:val="22"/>
                <w:szCs w:val="22"/>
              </w:rPr>
              <w:t>Maximum sampling result (ng/L)</w:t>
            </w:r>
          </w:p>
        </w:tc>
        <w:tc>
          <w:tcPr>
            <w:tcW w:w="2444" w:type="dxa"/>
          </w:tcPr>
          <w:p w14:paraId="5A5DFF9A" w14:textId="77777777" w:rsidR="00632272" w:rsidRPr="00984B8B" w:rsidRDefault="00632272" w:rsidP="00632272">
            <w:pPr>
              <w:ind w:right="5"/>
              <w:jc w:val="both"/>
              <w:rPr>
                <w:rFonts w:ascii="Bookman Old Style" w:hAnsi="Bookman Old Style"/>
                <w:sz w:val="22"/>
                <w:szCs w:val="22"/>
              </w:rPr>
            </w:pPr>
            <w:r>
              <w:rPr>
                <w:rFonts w:ascii="Bookman Old Style" w:hAnsi="Bookman Old Style"/>
                <w:sz w:val="22"/>
                <w:szCs w:val="22"/>
              </w:rPr>
              <w:t>7.05</w:t>
            </w:r>
          </w:p>
        </w:tc>
        <w:tc>
          <w:tcPr>
            <w:tcW w:w="1980" w:type="dxa"/>
          </w:tcPr>
          <w:p w14:paraId="632398E0" w14:textId="77777777" w:rsidR="00632272" w:rsidRPr="00984B8B" w:rsidRDefault="00632272" w:rsidP="003B41A8">
            <w:pPr>
              <w:ind w:right="5"/>
              <w:jc w:val="both"/>
              <w:rPr>
                <w:rFonts w:ascii="Bookman Old Style" w:hAnsi="Bookman Old Style"/>
                <w:sz w:val="22"/>
                <w:szCs w:val="22"/>
              </w:rPr>
            </w:pPr>
            <w:r>
              <w:rPr>
                <w:rFonts w:ascii="Bookman Old Style" w:hAnsi="Bookman Old Style"/>
                <w:sz w:val="22"/>
                <w:szCs w:val="22"/>
              </w:rPr>
              <w:t>1.18</w:t>
            </w:r>
          </w:p>
        </w:tc>
        <w:tc>
          <w:tcPr>
            <w:tcW w:w="2340" w:type="dxa"/>
          </w:tcPr>
          <w:p w14:paraId="67ACB2B9" w14:textId="77777777" w:rsidR="00632272" w:rsidRPr="00984B8B" w:rsidRDefault="00632272" w:rsidP="003B41A8">
            <w:pPr>
              <w:ind w:right="5"/>
              <w:jc w:val="both"/>
              <w:rPr>
                <w:rFonts w:ascii="Bookman Old Style" w:hAnsi="Bookman Old Style"/>
                <w:sz w:val="22"/>
                <w:szCs w:val="22"/>
              </w:rPr>
            </w:pPr>
            <w:r>
              <w:rPr>
                <w:rFonts w:ascii="Bookman Old Style" w:hAnsi="Bookman Old Style"/>
                <w:sz w:val="22"/>
                <w:szCs w:val="22"/>
              </w:rPr>
              <w:t>0.1</w:t>
            </w:r>
          </w:p>
        </w:tc>
      </w:tr>
      <w:tr w:rsidR="00632272" w:rsidRPr="00984B8B" w14:paraId="35A6140E" w14:textId="77777777" w:rsidTr="00632272">
        <w:tc>
          <w:tcPr>
            <w:tcW w:w="2321" w:type="dxa"/>
          </w:tcPr>
          <w:p w14:paraId="34D8ED6D" w14:textId="77777777" w:rsidR="00632272" w:rsidRPr="00984B8B" w:rsidRDefault="00632272" w:rsidP="003B41A8">
            <w:pPr>
              <w:ind w:right="5"/>
              <w:rPr>
                <w:rFonts w:ascii="Bookman Old Style" w:hAnsi="Bookman Old Style"/>
                <w:sz w:val="22"/>
                <w:szCs w:val="22"/>
              </w:rPr>
            </w:pPr>
            <w:r w:rsidRPr="00984B8B">
              <w:rPr>
                <w:rFonts w:ascii="Bookman Old Style" w:hAnsi="Bookman Old Style"/>
                <w:sz w:val="22"/>
                <w:szCs w:val="22"/>
              </w:rPr>
              <w:t>Number of samples</w:t>
            </w:r>
          </w:p>
        </w:tc>
        <w:tc>
          <w:tcPr>
            <w:tcW w:w="2444" w:type="dxa"/>
          </w:tcPr>
          <w:p w14:paraId="01193DA7" w14:textId="77777777" w:rsidR="00632272" w:rsidRPr="00984B8B" w:rsidRDefault="00632272" w:rsidP="003B41A8">
            <w:pPr>
              <w:ind w:right="5"/>
              <w:jc w:val="both"/>
              <w:rPr>
                <w:rFonts w:ascii="Bookman Old Style" w:hAnsi="Bookman Old Style"/>
                <w:sz w:val="22"/>
                <w:szCs w:val="22"/>
              </w:rPr>
            </w:pPr>
            <w:r>
              <w:rPr>
                <w:rFonts w:ascii="Bookman Old Style" w:hAnsi="Bookman Old Style"/>
                <w:sz w:val="22"/>
                <w:szCs w:val="22"/>
              </w:rPr>
              <w:t>28</w:t>
            </w:r>
          </w:p>
        </w:tc>
        <w:tc>
          <w:tcPr>
            <w:tcW w:w="1980" w:type="dxa"/>
          </w:tcPr>
          <w:p w14:paraId="405ED4FC" w14:textId="77777777" w:rsidR="00632272" w:rsidRPr="00984B8B" w:rsidRDefault="00632272" w:rsidP="003B41A8">
            <w:pPr>
              <w:ind w:right="5"/>
              <w:jc w:val="both"/>
              <w:rPr>
                <w:rFonts w:ascii="Bookman Old Style" w:hAnsi="Bookman Old Style"/>
                <w:sz w:val="22"/>
                <w:szCs w:val="22"/>
              </w:rPr>
            </w:pPr>
            <w:r w:rsidRPr="00984B8B">
              <w:rPr>
                <w:rFonts w:ascii="Bookman Old Style" w:hAnsi="Bookman Old Style"/>
                <w:sz w:val="22"/>
                <w:szCs w:val="22"/>
              </w:rPr>
              <w:t>4</w:t>
            </w:r>
            <w:r>
              <w:rPr>
                <w:rFonts w:ascii="Bookman Old Style" w:hAnsi="Bookman Old Style"/>
                <w:sz w:val="22"/>
                <w:szCs w:val="22"/>
              </w:rPr>
              <w:t>3</w:t>
            </w:r>
          </w:p>
        </w:tc>
        <w:tc>
          <w:tcPr>
            <w:tcW w:w="2340" w:type="dxa"/>
          </w:tcPr>
          <w:p w14:paraId="111D8C8F" w14:textId="77777777" w:rsidR="00632272" w:rsidRPr="00984B8B" w:rsidRDefault="00632272" w:rsidP="003B41A8">
            <w:pPr>
              <w:ind w:right="5"/>
              <w:jc w:val="both"/>
              <w:rPr>
                <w:rFonts w:ascii="Bookman Old Style" w:hAnsi="Bookman Old Style"/>
                <w:sz w:val="22"/>
                <w:szCs w:val="22"/>
              </w:rPr>
            </w:pPr>
            <w:r>
              <w:rPr>
                <w:rFonts w:ascii="Bookman Old Style" w:hAnsi="Bookman Old Style"/>
                <w:sz w:val="22"/>
                <w:szCs w:val="22"/>
              </w:rPr>
              <w:t>13</w:t>
            </w:r>
          </w:p>
        </w:tc>
      </w:tr>
    </w:tbl>
    <w:p w14:paraId="3F5C2937" w14:textId="77777777" w:rsidR="009276A1" w:rsidRPr="00984B8B" w:rsidRDefault="009276A1" w:rsidP="009276A1">
      <w:pPr>
        <w:ind w:right="5"/>
        <w:jc w:val="both"/>
        <w:rPr>
          <w:rFonts w:ascii="Bookman Old Style" w:hAnsi="Bookman Old Style"/>
          <w:sz w:val="22"/>
          <w:szCs w:val="22"/>
        </w:rPr>
      </w:pPr>
    </w:p>
    <w:p w14:paraId="4DA5EB70" w14:textId="77777777" w:rsidR="009276A1" w:rsidRPr="00984B8B" w:rsidRDefault="009276A1" w:rsidP="009276A1">
      <w:pPr>
        <w:ind w:right="5"/>
        <w:jc w:val="both"/>
        <w:rPr>
          <w:rFonts w:ascii="Bookman Old Style" w:hAnsi="Bookman Old Style"/>
          <w:sz w:val="22"/>
          <w:szCs w:val="22"/>
        </w:rPr>
      </w:pPr>
      <w:r w:rsidRPr="00984B8B">
        <w:rPr>
          <w:rFonts w:ascii="Bookman Old Style" w:hAnsi="Bookman Old Style"/>
          <w:sz w:val="22"/>
          <w:szCs w:val="22"/>
        </w:rPr>
        <w:t xml:space="preserve">The allowable mercury concentration for this facility is </w:t>
      </w:r>
      <w:r w:rsidR="00632272">
        <w:rPr>
          <w:rFonts w:ascii="Bookman Old Style" w:hAnsi="Bookman Old Style"/>
          <w:sz w:val="22"/>
          <w:szCs w:val="22"/>
        </w:rPr>
        <w:t>12</w:t>
      </w:r>
      <w:r w:rsidRPr="00984B8B">
        <w:rPr>
          <w:rFonts w:ascii="Bookman Old Style" w:hAnsi="Bookman Old Style"/>
          <w:sz w:val="22"/>
          <w:szCs w:val="22"/>
        </w:rPr>
        <w:t xml:space="preserve">.0 ng/L. All annual average mercury concentrations are below the allowable level. All maximum sampling results are below the TBEL of 47.0 ng/L. Based on the Permitting Guidelines for Statewide Mercury TMDL, the limits are not required. </w:t>
      </w:r>
    </w:p>
    <w:p w14:paraId="7145F3F6" w14:textId="77777777" w:rsidR="009276A1" w:rsidRPr="00984B8B" w:rsidRDefault="009276A1" w:rsidP="009276A1">
      <w:pPr>
        <w:ind w:right="5"/>
        <w:jc w:val="both"/>
        <w:rPr>
          <w:rFonts w:ascii="Bookman Old Style" w:hAnsi="Bookman Old Style"/>
          <w:sz w:val="22"/>
          <w:szCs w:val="22"/>
        </w:rPr>
      </w:pPr>
    </w:p>
    <w:p w14:paraId="23AD2120" w14:textId="77777777" w:rsidR="009276A1" w:rsidRPr="00984B8B" w:rsidRDefault="009276A1" w:rsidP="009276A1">
      <w:pPr>
        <w:rPr>
          <w:rFonts w:ascii="Bookman Old Style" w:hAnsi="Bookman Old Style"/>
          <w:smallCaps/>
          <w:sz w:val="22"/>
          <w:szCs w:val="22"/>
          <w:u w:val="single"/>
        </w:rPr>
      </w:pPr>
      <w:r w:rsidRPr="00984B8B">
        <w:rPr>
          <w:rFonts w:ascii="Bookman Old Style" w:hAnsi="Bookman Old Style"/>
          <w:smallCaps/>
          <w:sz w:val="22"/>
          <w:szCs w:val="22"/>
          <w:u w:val="single"/>
        </w:rPr>
        <w:t>CWA SECTION 316(</w:t>
      </w:r>
      <w:r w:rsidRPr="00984B8B">
        <w:rPr>
          <w:rFonts w:ascii="Bookman Old Style" w:hAnsi="Bookman Old Style"/>
          <w:sz w:val="22"/>
          <w:szCs w:val="22"/>
          <w:u w:val="single"/>
        </w:rPr>
        <w:t>a</w:t>
      </w:r>
      <w:r w:rsidRPr="00984B8B">
        <w:rPr>
          <w:rFonts w:ascii="Bookman Old Style" w:hAnsi="Bookman Old Style"/>
          <w:smallCaps/>
          <w:sz w:val="22"/>
          <w:szCs w:val="22"/>
          <w:u w:val="single"/>
        </w:rPr>
        <w:t xml:space="preserve">) </w:t>
      </w:r>
      <w:proofErr w:type="gramStart"/>
      <w:r w:rsidRPr="00984B8B">
        <w:rPr>
          <w:rFonts w:ascii="Bookman Old Style" w:hAnsi="Bookman Old Style"/>
          <w:smallCaps/>
          <w:sz w:val="22"/>
          <w:szCs w:val="22"/>
          <w:u w:val="single"/>
        </w:rPr>
        <w:t>TEMPERATURE  VARIANCE</w:t>
      </w:r>
      <w:proofErr w:type="gramEnd"/>
      <w:r w:rsidRPr="00984B8B">
        <w:rPr>
          <w:rFonts w:ascii="Bookman Old Style" w:hAnsi="Bookman Old Style"/>
          <w:smallCaps/>
          <w:sz w:val="22"/>
          <w:szCs w:val="22"/>
          <w:u w:val="single"/>
        </w:rPr>
        <w:t xml:space="preserve"> </w:t>
      </w:r>
    </w:p>
    <w:p w14:paraId="43DC8CBC" w14:textId="77777777" w:rsidR="009276A1" w:rsidRPr="00984B8B" w:rsidRDefault="005C0AE1" w:rsidP="009276A1">
      <w:pPr>
        <w:rPr>
          <w:rFonts w:ascii="Bookman Old Style" w:hAnsi="Bookman Old Style"/>
          <w:smallCaps/>
          <w:sz w:val="22"/>
          <w:szCs w:val="22"/>
          <w:u w:val="single"/>
        </w:rPr>
      </w:pPr>
      <w:r>
        <w:rPr>
          <w:rFonts w:ascii="Bookman Old Style" w:hAnsi="Bookman Old Style"/>
          <w:sz w:val="22"/>
          <w:szCs w:val="22"/>
        </w:rPr>
        <w:t>This section is not applicable since the facility has a closed cycle cooling system</w:t>
      </w:r>
      <w:r w:rsidR="002C7384">
        <w:rPr>
          <w:rFonts w:ascii="Bookman Old Style" w:hAnsi="Bookman Old Style"/>
          <w:sz w:val="22"/>
          <w:szCs w:val="22"/>
        </w:rPr>
        <w:t>, which is considered a BAT</w:t>
      </w:r>
      <w:r>
        <w:rPr>
          <w:rFonts w:ascii="Bookman Old Style" w:hAnsi="Bookman Old Style"/>
          <w:sz w:val="22"/>
          <w:szCs w:val="22"/>
        </w:rPr>
        <w:t xml:space="preserve">. </w:t>
      </w:r>
      <w:r w:rsidR="002C7384">
        <w:rPr>
          <w:rFonts w:ascii="Bookman Old Style" w:hAnsi="Bookman Old Style"/>
          <w:sz w:val="22"/>
          <w:szCs w:val="22"/>
        </w:rPr>
        <w:t>Effluent temperature is monitored daily at the Outfall 001, 002, and 002A, and instream temperature is monitored semi-annually to assure compliance with the state temperature standard.</w:t>
      </w:r>
    </w:p>
    <w:p w14:paraId="7F0FE667" w14:textId="77777777" w:rsidR="005C0AE1" w:rsidRDefault="005C0AE1" w:rsidP="009276A1">
      <w:pPr>
        <w:rPr>
          <w:rFonts w:ascii="Bookman Old Style" w:hAnsi="Bookman Old Style"/>
          <w:smallCaps/>
          <w:sz w:val="22"/>
          <w:szCs w:val="22"/>
          <w:u w:val="single"/>
        </w:rPr>
      </w:pPr>
    </w:p>
    <w:p w14:paraId="20070304" w14:textId="77777777" w:rsidR="009276A1" w:rsidRPr="00984B8B" w:rsidRDefault="009276A1" w:rsidP="009276A1">
      <w:pPr>
        <w:rPr>
          <w:rFonts w:ascii="Bookman Old Style" w:hAnsi="Bookman Old Style"/>
          <w:smallCaps/>
          <w:sz w:val="22"/>
          <w:szCs w:val="22"/>
          <w:u w:val="single"/>
        </w:rPr>
      </w:pPr>
      <w:r w:rsidRPr="00984B8B">
        <w:rPr>
          <w:rFonts w:ascii="Bookman Old Style" w:hAnsi="Bookman Old Style"/>
          <w:smallCaps/>
          <w:sz w:val="22"/>
          <w:szCs w:val="22"/>
          <w:u w:val="single"/>
        </w:rPr>
        <w:t>CWA SECTION 316(</w:t>
      </w:r>
      <w:r w:rsidRPr="00984B8B">
        <w:rPr>
          <w:rFonts w:ascii="Bookman Old Style" w:hAnsi="Bookman Old Style"/>
          <w:sz w:val="22"/>
          <w:szCs w:val="22"/>
          <w:u w:val="single"/>
        </w:rPr>
        <w:t>b</w:t>
      </w:r>
      <w:r w:rsidRPr="00984B8B">
        <w:rPr>
          <w:rFonts w:ascii="Bookman Old Style" w:hAnsi="Bookman Old Style"/>
          <w:smallCaps/>
          <w:sz w:val="22"/>
          <w:szCs w:val="22"/>
          <w:u w:val="single"/>
        </w:rPr>
        <w:t>)</w:t>
      </w:r>
    </w:p>
    <w:p w14:paraId="480B8532" w14:textId="77777777" w:rsidR="009276A1" w:rsidRDefault="009276A1" w:rsidP="009276A1">
      <w:pPr>
        <w:pStyle w:val="HTMLPreformatted"/>
        <w:rPr>
          <w:rFonts w:ascii="Bookman Old Style" w:hAnsi="Bookman Old Style"/>
          <w:sz w:val="22"/>
          <w:szCs w:val="22"/>
        </w:rPr>
      </w:pPr>
      <w:r w:rsidRPr="00984B8B">
        <w:rPr>
          <w:rFonts w:ascii="Bookman Old Style" w:hAnsi="Bookman Old Style"/>
          <w:sz w:val="22"/>
          <w:szCs w:val="22"/>
        </w:rPr>
        <w:t xml:space="preserve">The permittee shall comply with the Cooling Water Intake Structure Rule per 40 CFR 125.95. The Division approved the facility request for an alternative schedule in accordance with 40 CFR 125.95(a)(2). The permittee shall submit all the materials required by the Rule with the next renewal application. </w:t>
      </w:r>
      <w:r w:rsidR="005C0AE1">
        <w:rPr>
          <w:rFonts w:ascii="Bookman Old Style" w:hAnsi="Bookman Old Style"/>
          <w:sz w:val="22"/>
          <w:szCs w:val="22"/>
        </w:rPr>
        <w:t>The Actual Intake Flow and Design Intake Flow for this station is less than 125 MGD.</w:t>
      </w:r>
    </w:p>
    <w:p w14:paraId="7D01B9B5" w14:textId="77777777" w:rsidR="00852355" w:rsidRDefault="00852355" w:rsidP="009276A1">
      <w:pPr>
        <w:pStyle w:val="HTMLPreformatted"/>
        <w:rPr>
          <w:rFonts w:ascii="Bookman Old Style" w:hAnsi="Bookman Old Style"/>
          <w:sz w:val="22"/>
          <w:szCs w:val="22"/>
        </w:rPr>
      </w:pPr>
    </w:p>
    <w:p w14:paraId="463E6032" w14:textId="77777777" w:rsidR="00852355" w:rsidRPr="00852355" w:rsidRDefault="00852355" w:rsidP="00852355">
      <w:pPr>
        <w:pStyle w:val="HTMLPreformatted"/>
        <w:rPr>
          <w:rFonts w:ascii="Bookman Old Style" w:hAnsi="Bookman Old Style"/>
          <w:sz w:val="22"/>
          <w:szCs w:val="22"/>
        </w:rPr>
      </w:pPr>
      <w:r w:rsidRPr="00852355">
        <w:rPr>
          <w:rFonts w:ascii="Bookman Old Style" w:hAnsi="Bookman Old Style" w:cs="TimesNewRoman"/>
          <w:sz w:val="22"/>
          <w:szCs w:val="22"/>
        </w:rPr>
        <w:t xml:space="preserve">The rule requires the Director to establish interim BTA requirements in the permit on a site-specific basis based on the Director’s best professional judgment in accordance </w:t>
      </w:r>
      <w:r w:rsidRPr="00852355">
        <w:rPr>
          <w:rFonts w:ascii="Bookman Old Style" w:hAnsi="Bookman Old Style" w:cs="TimesNewRoman"/>
          <w:sz w:val="22"/>
          <w:szCs w:val="22"/>
        </w:rPr>
        <w:lastRenderedPageBreak/>
        <w:t>with §125.90(b) and 40 CFR 401.14. The existing closed-cycle system at Mayo is one of the pre-approved compliance alternatives for impingement in accordance with §125.94(c)(1). EPA also considered it as a pre-approved BTA for entrainment, but excluded it from the rule due to the cost concerns. Based on th</w:t>
      </w:r>
      <w:r w:rsidR="00747D6D">
        <w:rPr>
          <w:rFonts w:ascii="Bookman Old Style" w:hAnsi="Bookman Old Style" w:cs="TimesNewRoman"/>
          <w:sz w:val="22"/>
          <w:szCs w:val="22"/>
        </w:rPr>
        <w:t>is</w:t>
      </w:r>
      <w:r w:rsidRPr="00852355">
        <w:rPr>
          <w:rFonts w:ascii="Bookman Old Style" w:hAnsi="Bookman Old Style" w:cs="TimesNewRoman"/>
          <w:sz w:val="22"/>
          <w:szCs w:val="22"/>
        </w:rPr>
        <w:t xml:space="preserve"> information the DEQ </w:t>
      </w:r>
      <w:r w:rsidR="00A56151">
        <w:rPr>
          <w:rFonts w:ascii="Bookman Old Style" w:hAnsi="Bookman Old Style" w:cs="TimesNewRoman"/>
          <w:sz w:val="22"/>
          <w:szCs w:val="22"/>
        </w:rPr>
        <w:t xml:space="preserve">has </w:t>
      </w:r>
      <w:r w:rsidRPr="00852355">
        <w:rPr>
          <w:rFonts w:ascii="Bookman Old Style" w:hAnsi="Bookman Old Style" w:cs="TimesNewRoman"/>
          <w:sz w:val="22"/>
          <w:szCs w:val="22"/>
        </w:rPr>
        <w:t xml:space="preserve">determined that </w:t>
      </w:r>
      <w:r w:rsidR="00E35462">
        <w:rPr>
          <w:rFonts w:ascii="Bookman Old Style" w:hAnsi="Bookman Old Style" w:cs="TimesNewRoman"/>
          <w:sz w:val="22"/>
          <w:szCs w:val="22"/>
        </w:rPr>
        <w:t xml:space="preserve">the </w:t>
      </w:r>
      <w:r w:rsidRPr="00852355">
        <w:rPr>
          <w:rFonts w:ascii="Bookman Old Style" w:hAnsi="Bookman Old Style" w:cs="TimesNewRoman"/>
          <w:sz w:val="22"/>
          <w:szCs w:val="22"/>
        </w:rPr>
        <w:t>existing closed-cycle cooling system meets the requirements for an interim BTA.</w:t>
      </w:r>
    </w:p>
    <w:p w14:paraId="61FD395A" w14:textId="77777777" w:rsidR="009276A1" w:rsidRPr="00984B8B" w:rsidRDefault="009276A1" w:rsidP="009276A1">
      <w:pPr>
        <w:rPr>
          <w:rFonts w:ascii="Bookman Old Style" w:hAnsi="Bookman Old Style"/>
          <w:smallCaps/>
          <w:sz w:val="22"/>
          <w:szCs w:val="22"/>
          <w:u w:val="single"/>
        </w:rPr>
      </w:pPr>
    </w:p>
    <w:p w14:paraId="4A8E0DB5" w14:textId="77777777" w:rsidR="009276A1" w:rsidRPr="00984B8B" w:rsidRDefault="009276A1" w:rsidP="009276A1">
      <w:pPr>
        <w:rPr>
          <w:rFonts w:ascii="Bookman Old Style" w:hAnsi="Bookman Old Style"/>
          <w:smallCaps/>
          <w:sz w:val="22"/>
          <w:szCs w:val="22"/>
          <w:u w:val="single"/>
        </w:rPr>
      </w:pPr>
      <w:proofErr w:type="gramStart"/>
      <w:r w:rsidRPr="00984B8B">
        <w:rPr>
          <w:rFonts w:ascii="Bookman Old Style" w:hAnsi="Bookman Old Style"/>
          <w:smallCaps/>
          <w:sz w:val="22"/>
          <w:szCs w:val="22"/>
          <w:u w:val="single"/>
        </w:rPr>
        <w:t>INSTREAM  MONITORING</w:t>
      </w:r>
      <w:proofErr w:type="gramEnd"/>
      <w:r w:rsidRPr="00984B8B">
        <w:rPr>
          <w:rFonts w:ascii="Bookman Old Style" w:hAnsi="Bookman Old Style"/>
          <w:smallCaps/>
          <w:sz w:val="22"/>
          <w:szCs w:val="22"/>
          <w:u w:val="single"/>
        </w:rPr>
        <w:t>– Outfall 002 (Ash Pond)</w:t>
      </w:r>
    </w:p>
    <w:p w14:paraId="46B0B4B1" w14:textId="77777777" w:rsidR="009276A1" w:rsidRPr="00C41624" w:rsidRDefault="009276A1" w:rsidP="009276A1">
      <w:pPr>
        <w:rPr>
          <w:rFonts w:ascii="Bookman Old Style" w:hAnsi="Bookman Old Style"/>
          <w:bCs/>
          <w:sz w:val="22"/>
          <w:szCs w:val="22"/>
        </w:rPr>
      </w:pPr>
      <w:r w:rsidRPr="00C41624">
        <w:rPr>
          <w:rFonts w:ascii="Bookman Old Style" w:hAnsi="Bookman Old Style"/>
          <w:sz w:val="22"/>
          <w:szCs w:val="22"/>
        </w:rPr>
        <w:t xml:space="preserve">The proposed permit will require a </w:t>
      </w:r>
      <w:r w:rsidR="00565D99">
        <w:rPr>
          <w:rFonts w:ascii="Bookman Old Style" w:hAnsi="Bookman Old Style"/>
          <w:sz w:val="22"/>
          <w:szCs w:val="22"/>
        </w:rPr>
        <w:t>monthly</w:t>
      </w:r>
      <w:r w:rsidRPr="00C41624">
        <w:rPr>
          <w:rFonts w:ascii="Bookman Old Style" w:hAnsi="Bookman Old Style"/>
          <w:sz w:val="22"/>
          <w:szCs w:val="22"/>
        </w:rPr>
        <w:t xml:space="preserve"> monitoring for </w:t>
      </w:r>
      <w:r w:rsidR="00C41624" w:rsidRPr="00C41624">
        <w:rPr>
          <w:rFonts w:ascii="Bookman Old Style" w:hAnsi="Bookman Old Style"/>
          <w:bCs/>
          <w:sz w:val="22"/>
          <w:szCs w:val="22"/>
        </w:rPr>
        <w:t xml:space="preserve">total arsenic, total selenium, total mercury, total chromium, dissolved lead, dissolved cadmium, dissolved copper, dissolved zinc, total bromide, total hardness </w:t>
      </w:r>
      <w:r w:rsidR="00C41624" w:rsidRPr="00C41624">
        <w:rPr>
          <w:rFonts w:ascii="Bookman Old Style" w:hAnsi="Bookman Old Style"/>
          <w:sz w:val="22"/>
          <w:szCs w:val="22"/>
        </w:rPr>
        <w:t>(as CaCO</w:t>
      </w:r>
      <w:r w:rsidR="00C41624" w:rsidRPr="00C41624">
        <w:rPr>
          <w:rFonts w:ascii="Bookman Old Style" w:hAnsi="Bookman Old Style"/>
          <w:sz w:val="22"/>
          <w:szCs w:val="22"/>
          <w:vertAlign w:val="subscript"/>
        </w:rPr>
        <w:t>3</w:t>
      </w:r>
      <w:r w:rsidR="00C41624" w:rsidRPr="00C41624">
        <w:rPr>
          <w:rFonts w:ascii="Bookman Old Style" w:hAnsi="Bookman Old Style"/>
          <w:sz w:val="22"/>
          <w:szCs w:val="22"/>
        </w:rPr>
        <w:t>)</w:t>
      </w:r>
      <w:r w:rsidR="00C41624" w:rsidRPr="00C41624">
        <w:rPr>
          <w:rFonts w:ascii="Bookman Old Style" w:hAnsi="Bookman Old Style"/>
          <w:bCs/>
          <w:sz w:val="22"/>
          <w:szCs w:val="22"/>
        </w:rPr>
        <w:t xml:space="preserve">, turbidity, </w:t>
      </w:r>
      <w:r w:rsidR="003D60AF">
        <w:rPr>
          <w:rFonts w:ascii="Bookman Old Style" w:hAnsi="Bookman Old Style"/>
          <w:bCs/>
          <w:sz w:val="22"/>
          <w:szCs w:val="22"/>
        </w:rPr>
        <w:t xml:space="preserve">temperature, </w:t>
      </w:r>
      <w:r w:rsidR="00C41624" w:rsidRPr="00C41624">
        <w:rPr>
          <w:rFonts w:ascii="Bookman Old Style" w:hAnsi="Bookman Old Style"/>
          <w:bCs/>
          <w:sz w:val="22"/>
          <w:szCs w:val="22"/>
        </w:rPr>
        <w:t>and total dissolved solids (TDS). </w:t>
      </w:r>
    </w:p>
    <w:p w14:paraId="0410BF46" w14:textId="77777777" w:rsidR="00C41624" w:rsidRPr="00984B8B" w:rsidRDefault="00C41624" w:rsidP="009276A1">
      <w:pPr>
        <w:rPr>
          <w:rFonts w:ascii="Bookman Old Style" w:hAnsi="Bookman Old Style"/>
          <w:smallCaps/>
          <w:sz w:val="22"/>
          <w:szCs w:val="22"/>
          <w:u w:val="single"/>
        </w:rPr>
      </w:pPr>
    </w:p>
    <w:p w14:paraId="11869329" w14:textId="77777777" w:rsidR="009276A1" w:rsidRPr="00984B8B" w:rsidRDefault="009276A1" w:rsidP="009276A1">
      <w:pPr>
        <w:ind w:right="5"/>
        <w:jc w:val="both"/>
        <w:rPr>
          <w:rFonts w:ascii="Bookman Old Style" w:hAnsi="Bookman Old Style"/>
          <w:smallCaps/>
          <w:sz w:val="22"/>
          <w:szCs w:val="22"/>
        </w:rPr>
      </w:pPr>
      <w:r w:rsidRPr="00984B8B">
        <w:rPr>
          <w:rFonts w:ascii="Bookman Old Style" w:hAnsi="Bookman Old Style"/>
          <w:smallCaps/>
          <w:sz w:val="22"/>
          <w:szCs w:val="22"/>
          <w:u w:val="single"/>
        </w:rPr>
        <w:t>TOXICITY TESTING-Outfall 002 (Ash pond)</w:t>
      </w:r>
    </w:p>
    <w:p w14:paraId="72C83E3E" w14:textId="77777777" w:rsidR="009276A1" w:rsidRPr="00984B8B" w:rsidRDefault="009276A1" w:rsidP="009276A1">
      <w:pPr>
        <w:ind w:right="5"/>
        <w:jc w:val="both"/>
        <w:rPr>
          <w:rFonts w:ascii="Bookman Old Style" w:hAnsi="Bookman Old Style"/>
          <w:i/>
          <w:sz w:val="22"/>
          <w:szCs w:val="22"/>
        </w:rPr>
      </w:pPr>
      <w:r w:rsidRPr="00984B8B">
        <w:rPr>
          <w:rFonts w:ascii="Bookman Old Style" w:hAnsi="Bookman Old Style"/>
          <w:sz w:val="22"/>
          <w:szCs w:val="22"/>
        </w:rPr>
        <w:t>Current Requirement:</w:t>
      </w:r>
      <w:r w:rsidR="002D753D">
        <w:rPr>
          <w:rFonts w:ascii="Bookman Old Style" w:hAnsi="Bookman Old Style"/>
          <w:sz w:val="22"/>
          <w:szCs w:val="22"/>
        </w:rPr>
        <w:t xml:space="preserve"> </w:t>
      </w:r>
      <w:r w:rsidRPr="00984B8B">
        <w:rPr>
          <w:rFonts w:ascii="Bookman Old Style" w:hAnsi="Bookman Old Style"/>
          <w:sz w:val="22"/>
          <w:szCs w:val="22"/>
        </w:rPr>
        <w:t xml:space="preserve">Outfall 002 –  Acute P/F @ 90% using </w:t>
      </w:r>
      <w:proofErr w:type="spellStart"/>
      <w:r w:rsidRPr="00984B8B">
        <w:rPr>
          <w:rFonts w:ascii="Bookman Old Style" w:hAnsi="Bookman Old Style"/>
          <w:i/>
          <w:sz w:val="22"/>
          <w:szCs w:val="22"/>
        </w:rPr>
        <w:t>Pimephalis</w:t>
      </w:r>
      <w:proofErr w:type="spellEnd"/>
      <w:r w:rsidRPr="00984B8B">
        <w:rPr>
          <w:rFonts w:ascii="Bookman Old Style" w:hAnsi="Bookman Old Style"/>
          <w:i/>
          <w:sz w:val="22"/>
          <w:szCs w:val="22"/>
        </w:rPr>
        <w:t xml:space="preserve"> </w:t>
      </w:r>
      <w:proofErr w:type="spellStart"/>
      <w:r w:rsidRPr="00984B8B">
        <w:rPr>
          <w:rFonts w:ascii="Bookman Old Style" w:hAnsi="Bookman Old Style"/>
          <w:i/>
          <w:sz w:val="22"/>
          <w:szCs w:val="22"/>
        </w:rPr>
        <w:t>promelas</w:t>
      </w:r>
      <w:proofErr w:type="spellEnd"/>
    </w:p>
    <w:p w14:paraId="0708D321" w14:textId="77777777" w:rsidR="00D77824" w:rsidRPr="00984B8B" w:rsidRDefault="009276A1" w:rsidP="00D77824">
      <w:pPr>
        <w:ind w:right="5"/>
        <w:jc w:val="both"/>
        <w:rPr>
          <w:rFonts w:ascii="Bookman Old Style" w:hAnsi="Bookman Old Style"/>
          <w:i/>
          <w:sz w:val="22"/>
          <w:szCs w:val="22"/>
        </w:rPr>
      </w:pPr>
      <w:r w:rsidRPr="00984B8B">
        <w:rPr>
          <w:rFonts w:ascii="Bookman Old Style" w:hAnsi="Bookman Old Style"/>
          <w:sz w:val="22"/>
          <w:szCs w:val="22"/>
        </w:rPr>
        <w:t>Recommended Requirement:</w:t>
      </w:r>
      <w:r w:rsidR="002D753D">
        <w:rPr>
          <w:rFonts w:ascii="Bookman Old Style" w:hAnsi="Bookman Old Style"/>
          <w:sz w:val="22"/>
          <w:szCs w:val="22"/>
        </w:rPr>
        <w:t xml:space="preserve"> </w:t>
      </w:r>
      <w:r w:rsidRPr="00984B8B">
        <w:rPr>
          <w:rFonts w:ascii="Bookman Old Style" w:hAnsi="Bookman Old Style"/>
          <w:sz w:val="22"/>
          <w:szCs w:val="22"/>
        </w:rPr>
        <w:t xml:space="preserve">Outfall 002 –  </w:t>
      </w:r>
      <w:r w:rsidR="00D77824" w:rsidRPr="00984B8B">
        <w:rPr>
          <w:rFonts w:ascii="Bookman Old Style" w:hAnsi="Bookman Old Style"/>
          <w:sz w:val="22"/>
          <w:szCs w:val="22"/>
        </w:rPr>
        <w:t xml:space="preserve">Acute P/F @ 90% using </w:t>
      </w:r>
      <w:proofErr w:type="spellStart"/>
      <w:r w:rsidR="00D77824" w:rsidRPr="00984B8B">
        <w:rPr>
          <w:rFonts w:ascii="Bookman Old Style" w:hAnsi="Bookman Old Style"/>
          <w:i/>
          <w:sz w:val="22"/>
          <w:szCs w:val="22"/>
        </w:rPr>
        <w:t>Pimephalis</w:t>
      </w:r>
      <w:proofErr w:type="spellEnd"/>
      <w:r w:rsidR="00D77824" w:rsidRPr="00984B8B">
        <w:rPr>
          <w:rFonts w:ascii="Bookman Old Style" w:hAnsi="Bookman Old Style"/>
          <w:i/>
          <w:sz w:val="22"/>
          <w:szCs w:val="22"/>
        </w:rPr>
        <w:t xml:space="preserve"> </w:t>
      </w:r>
      <w:proofErr w:type="spellStart"/>
      <w:r w:rsidR="00D77824" w:rsidRPr="00984B8B">
        <w:rPr>
          <w:rFonts w:ascii="Bookman Old Style" w:hAnsi="Bookman Old Style"/>
          <w:i/>
          <w:sz w:val="22"/>
          <w:szCs w:val="22"/>
        </w:rPr>
        <w:t>promelas</w:t>
      </w:r>
      <w:proofErr w:type="spellEnd"/>
    </w:p>
    <w:p w14:paraId="78983D2D" w14:textId="77777777" w:rsidR="009276A1" w:rsidRPr="00984B8B" w:rsidRDefault="009276A1" w:rsidP="009276A1">
      <w:pPr>
        <w:ind w:right="5"/>
        <w:jc w:val="both"/>
        <w:rPr>
          <w:rFonts w:ascii="Bookman Old Style" w:hAnsi="Bookman Old Style"/>
          <w:sz w:val="22"/>
          <w:szCs w:val="22"/>
        </w:rPr>
      </w:pPr>
    </w:p>
    <w:p w14:paraId="036FDD4A" w14:textId="77777777" w:rsidR="009276A1" w:rsidRPr="00984B8B" w:rsidRDefault="009276A1" w:rsidP="009276A1">
      <w:pPr>
        <w:ind w:right="5"/>
        <w:jc w:val="both"/>
        <w:rPr>
          <w:rFonts w:ascii="Bookman Old Style" w:hAnsi="Bookman Old Style"/>
          <w:sz w:val="22"/>
          <w:szCs w:val="22"/>
        </w:rPr>
      </w:pPr>
      <w:r w:rsidRPr="00984B8B">
        <w:rPr>
          <w:rFonts w:ascii="Bookman Old Style" w:hAnsi="Bookman Old Style"/>
          <w:sz w:val="22"/>
          <w:szCs w:val="22"/>
        </w:rPr>
        <w:t>This facility has passed all toxicity tests (</w:t>
      </w:r>
      <w:r w:rsidR="00D77824">
        <w:rPr>
          <w:rFonts w:ascii="Bookman Old Style" w:hAnsi="Bookman Old Style"/>
          <w:sz w:val="22"/>
          <w:szCs w:val="22"/>
        </w:rPr>
        <w:t>22</w:t>
      </w:r>
      <w:r w:rsidRPr="00984B8B">
        <w:rPr>
          <w:rFonts w:ascii="Bookman Old Style" w:hAnsi="Bookman Old Style"/>
          <w:sz w:val="22"/>
          <w:szCs w:val="22"/>
        </w:rPr>
        <w:t xml:space="preserve"> out of </w:t>
      </w:r>
      <w:r w:rsidR="00D77824">
        <w:rPr>
          <w:rFonts w:ascii="Bookman Old Style" w:hAnsi="Bookman Old Style"/>
          <w:sz w:val="22"/>
          <w:szCs w:val="22"/>
        </w:rPr>
        <w:t>22</w:t>
      </w:r>
      <w:r w:rsidRPr="00984B8B">
        <w:rPr>
          <w:rFonts w:ascii="Bookman Old Style" w:hAnsi="Bookman Old Style"/>
          <w:sz w:val="22"/>
          <w:szCs w:val="22"/>
        </w:rPr>
        <w:t>) during the previous permit cycle, please see attached.</w:t>
      </w:r>
    </w:p>
    <w:p w14:paraId="75890FC2" w14:textId="77777777" w:rsidR="009276A1" w:rsidRPr="00984B8B" w:rsidRDefault="009276A1" w:rsidP="009276A1">
      <w:pPr>
        <w:ind w:right="5"/>
        <w:jc w:val="both"/>
        <w:rPr>
          <w:rFonts w:ascii="Bookman Old Style" w:hAnsi="Bookman Old Style"/>
          <w:smallCaps/>
          <w:sz w:val="22"/>
          <w:szCs w:val="22"/>
          <w:u w:val="single"/>
        </w:rPr>
      </w:pPr>
    </w:p>
    <w:p w14:paraId="262E884E" w14:textId="77777777" w:rsidR="009276A1" w:rsidRPr="00984B8B" w:rsidRDefault="009276A1" w:rsidP="009276A1">
      <w:pPr>
        <w:spacing w:line="257" w:lineRule="auto"/>
        <w:rPr>
          <w:rFonts w:ascii="Bookman Old Style" w:hAnsi="Bookman Old Style"/>
          <w:sz w:val="22"/>
          <w:szCs w:val="22"/>
        </w:rPr>
      </w:pPr>
      <w:r w:rsidRPr="00984B8B">
        <w:rPr>
          <w:rFonts w:ascii="Bookman Old Style" w:hAnsi="Bookman Old Style"/>
          <w:sz w:val="22"/>
          <w:szCs w:val="22"/>
        </w:rPr>
        <w:t>For the purposes of the permitting, the long term average flow was used in conjunction with the 7Q10 summer flow to calculate the percent effluent concentrations to be used for WET.</w:t>
      </w:r>
    </w:p>
    <w:p w14:paraId="622FD181" w14:textId="77777777" w:rsidR="009276A1" w:rsidRPr="00984B8B" w:rsidRDefault="009276A1" w:rsidP="009276A1">
      <w:pPr>
        <w:ind w:right="5"/>
        <w:jc w:val="both"/>
        <w:rPr>
          <w:rFonts w:ascii="Bookman Old Style" w:hAnsi="Bookman Old Style"/>
          <w:smallCaps/>
          <w:sz w:val="22"/>
          <w:szCs w:val="22"/>
          <w:u w:val="single"/>
        </w:rPr>
      </w:pPr>
    </w:p>
    <w:p w14:paraId="5F853267" w14:textId="77777777" w:rsidR="009276A1" w:rsidRPr="00984B8B" w:rsidRDefault="009276A1" w:rsidP="009276A1">
      <w:pPr>
        <w:ind w:right="5"/>
        <w:jc w:val="both"/>
        <w:rPr>
          <w:rFonts w:ascii="Bookman Old Style" w:hAnsi="Bookman Old Style"/>
          <w:smallCaps/>
          <w:sz w:val="22"/>
          <w:szCs w:val="22"/>
        </w:rPr>
      </w:pPr>
      <w:r w:rsidRPr="00984B8B">
        <w:rPr>
          <w:rFonts w:ascii="Bookman Old Style" w:hAnsi="Bookman Old Style"/>
          <w:smallCaps/>
          <w:sz w:val="22"/>
          <w:szCs w:val="22"/>
          <w:u w:val="single"/>
        </w:rPr>
        <w:t>COMPLIANCE SUMMARY</w:t>
      </w:r>
    </w:p>
    <w:p w14:paraId="13EB92E1" w14:textId="77777777" w:rsidR="009276A1" w:rsidRPr="00984B8B" w:rsidRDefault="009276A1" w:rsidP="009276A1">
      <w:pPr>
        <w:ind w:right="5"/>
        <w:jc w:val="both"/>
        <w:rPr>
          <w:rFonts w:ascii="Bookman Old Style" w:hAnsi="Bookman Old Style"/>
          <w:sz w:val="22"/>
          <w:szCs w:val="22"/>
        </w:rPr>
      </w:pPr>
      <w:r w:rsidRPr="00984B8B">
        <w:rPr>
          <w:rFonts w:ascii="Bookman Old Style" w:hAnsi="Bookman Old Style"/>
          <w:sz w:val="22"/>
          <w:szCs w:val="22"/>
        </w:rPr>
        <w:t xml:space="preserve">During the last 5 years, the facility had </w:t>
      </w:r>
      <w:r w:rsidR="00D77824">
        <w:rPr>
          <w:rFonts w:ascii="Bookman Old Style" w:hAnsi="Bookman Old Style"/>
          <w:sz w:val="22"/>
          <w:szCs w:val="22"/>
        </w:rPr>
        <w:t>1</w:t>
      </w:r>
      <w:r w:rsidRPr="00984B8B">
        <w:rPr>
          <w:rFonts w:ascii="Bookman Old Style" w:hAnsi="Bookman Old Style"/>
          <w:sz w:val="22"/>
          <w:szCs w:val="22"/>
        </w:rPr>
        <w:t xml:space="preserve"> violations of the </w:t>
      </w:r>
      <w:r w:rsidR="00D77824">
        <w:rPr>
          <w:rFonts w:ascii="Bookman Old Style" w:hAnsi="Bookman Old Style"/>
          <w:sz w:val="22"/>
          <w:szCs w:val="22"/>
        </w:rPr>
        <w:t>Fluoride</w:t>
      </w:r>
      <w:r w:rsidRPr="00984B8B">
        <w:rPr>
          <w:rFonts w:ascii="Bookman Old Style" w:hAnsi="Bookman Old Style"/>
          <w:sz w:val="22"/>
          <w:szCs w:val="22"/>
        </w:rPr>
        <w:t xml:space="preserve"> limit (Outfall 002), please see attached.  </w:t>
      </w:r>
    </w:p>
    <w:p w14:paraId="4F6E8613" w14:textId="77777777" w:rsidR="009276A1" w:rsidRPr="00984B8B" w:rsidRDefault="009276A1" w:rsidP="009276A1">
      <w:pPr>
        <w:ind w:right="5"/>
        <w:jc w:val="both"/>
        <w:rPr>
          <w:rFonts w:ascii="Bookman Old Style" w:hAnsi="Bookman Old Style"/>
          <w:sz w:val="22"/>
          <w:szCs w:val="22"/>
        </w:rPr>
      </w:pPr>
    </w:p>
    <w:p w14:paraId="5E1A538D" w14:textId="77777777" w:rsidR="009276A1" w:rsidRPr="00984B8B" w:rsidRDefault="009276A1" w:rsidP="009276A1">
      <w:pPr>
        <w:pStyle w:val="Heading5"/>
        <w:rPr>
          <w:rFonts w:ascii="Bookman Old Style" w:hAnsi="Bookman Old Style"/>
          <w:sz w:val="22"/>
          <w:szCs w:val="22"/>
        </w:rPr>
      </w:pPr>
      <w:r w:rsidRPr="00984B8B">
        <w:rPr>
          <w:rFonts w:ascii="Bookman Old Style" w:hAnsi="Bookman Old Style"/>
          <w:sz w:val="22"/>
          <w:szCs w:val="22"/>
        </w:rPr>
        <w:t xml:space="preserve">PERMIT </w:t>
      </w:r>
      <w:proofErr w:type="gramStart"/>
      <w:r w:rsidRPr="00984B8B">
        <w:rPr>
          <w:rFonts w:ascii="Bookman Old Style" w:hAnsi="Bookman Old Style"/>
          <w:sz w:val="22"/>
          <w:szCs w:val="22"/>
        </w:rPr>
        <w:t>LIMITS  DEVELOPMENT</w:t>
      </w:r>
      <w:proofErr w:type="gramEnd"/>
    </w:p>
    <w:p w14:paraId="33044175" w14:textId="77777777" w:rsidR="00FE4AC7" w:rsidRPr="00984B8B" w:rsidRDefault="00FE4AC7" w:rsidP="00FE4AC7">
      <w:pPr>
        <w:pStyle w:val="ListParagraph"/>
        <w:numPr>
          <w:ilvl w:val="0"/>
          <w:numId w:val="24"/>
        </w:numPr>
        <w:rPr>
          <w:rFonts w:ascii="Bookman Old Style" w:hAnsi="Bookman Old Style"/>
          <w:sz w:val="22"/>
          <w:szCs w:val="22"/>
        </w:rPr>
      </w:pPr>
      <w:r>
        <w:rPr>
          <w:rFonts w:ascii="Bookman Old Style" w:hAnsi="Bookman Old Style"/>
          <w:sz w:val="22"/>
          <w:szCs w:val="22"/>
        </w:rPr>
        <w:t xml:space="preserve">The Free Available Chlorine limits, Total Chromium Limits, Total Zinc Limits, and Priority Pollutant Limits (Outfall 001 and Outfall 008) </w:t>
      </w:r>
      <w:r w:rsidRPr="00984B8B">
        <w:rPr>
          <w:rFonts w:ascii="Bookman Old Style" w:hAnsi="Bookman Old Style"/>
          <w:sz w:val="22"/>
          <w:szCs w:val="22"/>
        </w:rPr>
        <w:t>were established in accordance with the 40 CFR 423.</w:t>
      </w:r>
    </w:p>
    <w:p w14:paraId="454FFB4C" w14:textId="77777777" w:rsidR="009276A1" w:rsidRPr="00984B8B" w:rsidRDefault="009276A1" w:rsidP="009276A1">
      <w:pPr>
        <w:pStyle w:val="ListParagraph"/>
        <w:numPr>
          <w:ilvl w:val="0"/>
          <w:numId w:val="24"/>
        </w:numPr>
        <w:rPr>
          <w:rFonts w:ascii="Bookman Old Style" w:hAnsi="Bookman Old Style"/>
          <w:sz w:val="22"/>
          <w:szCs w:val="22"/>
        </w:rPr>
      </w:pPr>
      <w:r w:rsidRPr="00984B8B">
        <w:rPr>
          <w:rFonts w:ascii="Bookman Old Style" w:hAnsi="Bookman Old Style"/>
          <w:sz w:val="22"/>
          <w:szCs w:val="22"/>
        </w:rPr>
        <w:t>The limits for Oil and Grease and Total Suspended Solids (Outfall 00</w:t>
      </w:r>
      <w:r w:rsidR="00FE4AC7">
        <w:rPr>
          <w:rFonts w:ascii="Bookman Old Style" w:hAnsi="Bookman Old Style"/>
          <w:sz w:val="22"/>
          <w:szCs w:val="22"/>
        </w:rPr>
        <w:t>2</w:t>
      </w:r>
      <w:r w:rsidRPr="00984B8B">
        <w:rPr>
          <w:rFonts w:ascii="Bookman Old Style" w:hAnsi="Bookman Old Style"/>
          <w:sz w:val="22"/>
          <w:szCs w:val="22"/>
        </w:rPr>
        <w:t>, Outfall 00</w:t>
      </w:r>
      <w:r w:rsidR="00FE4AC7">
        <w:rPr>
          <w:rFonts w:ascii="Bookman Old Style" w:hAnsi="Bookman Old Style"/>
          <w:sz w:val="22"/>
          <w:szCs w:val="22"/>
        </w:rPr>
        <w:t>2</w:t>
      </w:r>
      <w:r w:rsidRPr="00984B8B">
        <w:rPr>
          <w:rFonts w:ascii="Bookman Old Style" w:hAnsi="Bookman Old Style"/>
          <w:sz w:val="22"/>
          <w:szCs w:val="22"/>
        </w:rPr>
        <w:t>A, Outfall 002</w:t>
      </w:r>
      <w:r w:rsidR="00FE4AC7">
        <w:rPr>
          <w:rFonts w:ascii="Bookman Old Style" w:hAnsi="Bookman Old Style"/>
          <w:sz w:val="22"/>
          <w:szCs w:val="22"/>
        </w:rPr>
        <w:t>B</w:t>
      </w:r>
      <w:r w:rsidRPr="00984B8B">
        <w:rPr>
          <w:rFonts w:ascii="Bookman Old Style" w:hAnsi="Bookman Old Style"/>
          <w:sz w:val="22"/>
          <w:szCs w:val="22"/>
        </w:rPr>
        <w:t xml:space="preserve">, </w:t>
      </w:r>
      <w:r w:rsidR="00A9213D">
        <w:rPr>
          <w:rFonts w:ascii="Bookman Old Style" w:hAnsi="Bookman Old Style"/>
          <w:sz w:val="22"/>
          <w:szCs w:val="22"/>
        </w:rPr>
        <w:t xml:space="preserve">Internal Outfall 009, </w:t>
      </w:r>
      <w:r w:rsidR="004757D6">
        <w:rPr>
          <w:rFonts w:ascii="Bookman Old Style" w:hAnsi="Bookman Old Style"/>
          <w:sz w:val="22"/>
          <w:szCs w:val="22"/>
        </w:rPr>
        <w:t xml:space="preserve">and </w:t>
      </w:r>
      <w:r w:rsidR="00A9213D">
        <w:rPr>
          <w:rFonts w:ascii="Bookman Old Style" w:hAnsi="Bookman Old Style"/>
          <w:sz w:val="22"/>
          <w:szCs w:val="22"/>
        </w:rPr>
        <w:t>Internal Outfall 011</w:t>
      </w:r>
      <w:r w:rsidR="0049314E">
        <w:rPr>
          <w:rFonts w:ascii="Bookman Old Style" w:hAnsi="Bookman Old Style"/>
          <w:sz w:val="22"/>
          <w:szCs w:val="22"/>
        </w:rPr>
        <w:t xml:space="preserve"> (TSS only))</w:t>
      </w:r>
      <w:r w:rsidR="00FE4AC7">
        <w:rPr>
          <w:rFonts w:ascii="Bookman Old Style" w:hAnsi="Bookman Old Style"/>
          <w:sz w:val="22"/>
          <w:szCs w:val="22"/>
        </w:rPr>
        <w:t xml:space="preserve"> </w:t>
      </w:r>
      <w:r w:rsidRPr="00984B8B">
        <w:rPr>
          <w:rFonts w:ascii="Bookman Old Style" w:hAnsi="Bookman Old Style"/>
          <w:sz w:val="22"/>
          <w:szCs w:val="22"/>
        </w:rPr>
        <w:t>were established in accordance with the 40 CFR 423.</w:t>
      </w:r>
    </w:p>
    <w:p w14:paraId="28686BA0" w14:textId="77777777" w:rsidR="009276A1" w:rsidRPr="00984B8B" w:rsidRDefault="009276A1" w:rsidP="009276A1">
      <w:pPr>
        <w:pStyle w:val="ListParagraph"/>
        <w:numPr>
          <w:ilvl w:val="0"/>
          <w:numId w:val="27"/>
        </w:numPr>
        <w:ind w:right="5"/>
        <w:jc w:val="both"/>
        <w:rPr>
          <w:rFonts w:ascii="Bookman Old Style" w:hAnsi="Bookman Old Style"/>
          <w:smallCaps/>
          <w:sz w:val="22"/>
          <w:szCs w:val="22"/>
        </w:rPr>
      </w:pPr>
      <w:r w:rsidRPr="00984B8B">
        <w:rPr>
          <w:rFonts w:ascii="Bookman Old Style" w:hAnsi="Bookman Old Style"/>
          <w:sz w:val="22"/>
          <w:szCs w:val="22"/>
        </w:rPr>
        <w:t>The pH limits (Outfall 001, Outfall 00</w:t>
      </w:r>
      <w:r w:rsidR="00FE4AC7">
        <w:rPr>
          <w:rFonts w:ascii="Bookman Old Style" w:hAnsi="Bookman Old Style"/>
          <w:sz w:val="22"/>
          <w:szCs w:val="22"/>
        </w:rPr>
        <w:t>8</w:t>
      </w:r>
      <w:r w:rsidRPr="00984B8B">
        <w:rPr>
          <w:rFonts w:ascii="Bookman Old Style" w:hAnsi="Bookman Old Style"/>
          <w:sz w:val="22"/>
          <w:szCs w:val="22"/>
        </w:rPr>
        <w:t xml:space="preserve">, Outfall 002, </w:t>
      </w:r>
      <w:r w:rsidR="00FE4AC7">
        <w:rPr>
          <w:rFonts w:ascii="Bookman Old Style" w:hAnsi="Bookman Old Style"/>
          <w:sz w:val="22"/>
          <w:szCs w:val="22"/>
        </w:rPr>
        <w:t xml:space="preserve">Outfall </w:t>
      </w:r>
      <w:r w:rsidR="00FE4AC7" w:rsidRPr="00984B8B">
        <w:rPr>
          <w:rFonts w:ascii="Bookman Old Style" w:hAnsi="Bookman Old Style"/>
          <w:sz w:val="22"/>
          <w:szCs w:val="22"/>
        </w:rPr>
        <w:t>00</w:t>
      </w:r>
      <w:r w:rsidR="00FE4AC7">
        <w:rPr>
          <w:rFonts w:ascii="Bookman Old Style" w:hAnsi="Bookman Old Style"/>
          <w:sz w:val="22"/>
          <w:szCs w:val="22"/>
        </w:rPr>
        <w:t>2</w:t>
      </w:r>
      <w:r w:rsidR="00FE4AC7" w:rsidRPr="00984B8B">
        <w:rPr>
          <w:rFonts w:ascii="Bookman Old Style" w:hAnsi="Bookman Old Style"/>
          <w:sz w:val="22"/>
          <w:szCs w:val="22"/>
        </w:rPr>
        <w:t xml:space="preserve">A, </w:t>
      </w:r>
      <w:r w:rsidR="00D077E6">
        <w:rPr>
          <w:rFonts w:ascii="Bookman Old Style" w:hAnsi="Bookman Old Style"/>
          <w:sz w:val="22"/>
          <w:szCs w:val="22"/>
        </w:rPr>
        <w:t xml:space="preserve">and </w:t>
      </w:r>
      <w:r w:rsidR="00FE4AC7" w:rsidRPr="00984B8B">
        <w:rPr>
          <w:rFonts w:ascii="Bookman Old Style" w:hAnsi="Bookman Old Style"/>
          <w:sz w:val="22"/>
          <w:szCs w:val="22"/>
        </w:rPr>
        <w:t>Outfall 002</w:t>
      </w:r>
      <w:r w:rsidR="00FE4AC7">
        <w:rPr>
          <w:rFonts w:ascii="Bookman Old Style" w:hAnsi="Bookman Old Style"/>
          <w:sz w:val="22"/>
          <w:szCs w:val="22"/>
        </w:rPr>
        <w:t>B</w:t>
      </w:r>
      <w:r w:rsidR="00FE4AC7" w:rsidRPr="00984B8B">
        <w:rPr>
          <w:rFonts w:ascii="Bookman Old Style" w:hAnsi="Bookman Old Style"/>
          <w:sz w:val="22"/>
          <w:szCs w:val="22"/>
        </w:rPr>
        <w:t xml:space="preserve"> </w:t>
      </w:r>
      <w:r w:rsidRPr="00984B8B">
        <w:rPr>
          <w:rFonts w:ascii="Bookman Old Style" w:hAnsi="Bookman Old Style"/>
          <w:sz w:val="22"/>
          <w:szCs w:val="22"/>
        </w:rPr>
        <w:t>in the permit are based on the North Carolina water quality standards (15A NCAC 2B .0200).</w:t>
      </w:r>
    </w:p>
    <w:p w14:paraId="48F5AADF" w14:textId="77777777" w:rsidR="009276A1" w:rsidRPr="00984B8B" w:rsidRDefault="009276A1" w:rsidP="009276A1">
      <w:pPr>
        <w:numPr>
          <w:ilvl w:val="0"/>
          <w:numId w:val="27"/>
        </w:numPr>
        <w:contextualSpacing/>
        <w:rPr>
          <w:rFonts w:ascii="Bookman Old Style" w:hAnsi="Bookman Old Style"/>
          <w:sz w:val="22"/>
          <w:szCs w:val="22"/>
        </w:rPr>
      </w:pPr>
      <w:r w:rsidRPr="00984B8B">
        <w:rPr>
          <w:rFonts w:ascii="Bookman Old Style" w:hAnsi="Bookman Old Style"/>
          <w:color w:val="000000"/>
          <w:sz w:val="22"/>
          <w:szCs w:val="22"/>
        </w:rPr>
        <w:t>The turbidity limit in the permit (Outfall 002) is based on the North Carolina water quality standards (15A NCAC 2B .0200).</w:t>
      </w:r>
    </w:p>
    <w:p w14:paraId="13A90D5F" w14:textId="77777777" w:rsidR="009276A1" w:rsidRPr="00984B8B" w:rsidRDefault="009276A1" w:rsidP="009276A1">
      <w:pPr>
        <w:numPr>
          <w:ilvl w:val="0"/>
          <w:numId w:val="27"/>
        </w:numPr>
        <w:contextualSpacing/>
        <w:rPr>
          <w:rFonts w:ascii="Bookman Old Style" w:hAnsi="Bookman Old Style"/>
          <w:sz w:val="22"/>
          <w:szCs w:val="22"/>
        </w:rPr>
      </w:pPr>
      <w:r w:rsidRPr="00984B8B">
        <w:rPr>
          <w:rFonts w:ascii="Bookman Old Style" w:hAnsi="Bookman Old Style"/>
          <w:sz w:val="22"/>
          <w:szCs w:val="22"/>
        </w:rPr>
        <w:t>The Whole Effluent Toxicity limit (Outfall 002) is based on the requirements of 15A NCAC 2B .0500.</w:t>
      </w:r>
    </w:p>
    <w:p w14:paraId="5772BF9D" w14:textId="77777777" w:rsidR="009276A1" w:rsidRPr="00984B8B" w:rsidRDefault="009276A1" w:rsidP="009276A1">
      <w:pPr>
        <w:pStyle w:val="ListParagraph"/>
        <w:numPr>
          <w:ilvl w:val="0"/>
          <w:numId w:val="24"/>
        </w:numPr>
        <w:rPr>
          <w:rFonts w:ascii="Bookman Old Style" w:hAnsi="Bookman Old Style"/>
          <w:sz w:val="22"/>
          <w:szCs w:val="22"/>
        </w:rPr>
      </w:pPr>
      <w:r w:rsidRPr="00984B8B">
        <w:rPr>
          <w:rFonts w:ascii="Bookman Old Style" w:hAnsi="Bookman Old Style"/>
          <w:sz w:val="22"/>
          <w:szCs w:val="22"/>
        </w:rPr>
        <w:t>The BOD and Fecal Coliform limits (Outfall 0</w:t>
      </w:r>
      <w:r w:rsidR="0049314E">
        <w:rPr>
          <w:rFonts w:ascii="Bookman Old Style" w:hAnsi="Bookman Old Style"/>
          <w:sz w:val="22"/>
          <w:szCs w:val="22"/>
        </w:rPr>
        <w:t>11</w:t>
      </w:r>
      <w:r w:rsidRPr="00984B8B">
        <w:rPr>
          <w:rFonts w:ascii="Bookman Old Style" w:hAnsi="Bookman Old Style"/>
          <w:sz w:val="22"/>
          <w:szCs w:val="22"/>
        </w:rPr>
        <w:t>) were established in accordance with the 40 CFR 133.</w:t>
      </w:r>
    </w:p>
    <w:p w14:paraId="682DDC86" w14:textId="77777777" w:rsidR="003B41A8" w:rsidRPr="003B41A8" w:rsidRDefault="003B41A8" w:rsidP="003B41A8">
      <w:pPr>
        <w:numPr>
          <w:ilvl w:val="0"/>
          <w:numId w:val="24"/>
        </w:numPr>
        <w:contextualSpacing/>
        <w:rPr>
          <w:rFonts w:ascii="Bookman Old Style" w:hAnsi="Bookman Old Style"/>
          <w:sz w:val="22"/>
          <w:szCs w:val="22"/>
        </w:rPr>
      </w:pPr>
      <w:r w:rsidRPr="003B41A8">
        <w:rPr>
          <w:rFonts w:ascii="Bookman Old Style" w:hAnsi="Bookman Old Style"/>
          <w:color w:val="000000"/>
          <w:sz w:val="22"/>
          <w:szCs w:val="22"/>
        </w:rPr>
        <w:t>The Technology Based Effluent Limits for Total Arsenic, Total Mercury, Total Selenium, and Nitrate/nitrite as N (</w:t>
      </w:r>
      <w:r>
        <w:rPr>
          <w:rFonts w:ascii="Bookman Old Style" w:hAnsi="Bookman Old Style"/>
          <w:color w:val="000000"/>
          <w:sz w:val="22"/>
          <w:szCs w:val="22"/>
        </w:rPr>
        <w:t>Outfall 009</w:t>
      </w:r>
      <w:r w:rsidRPr="003B41A8">
        <w:rPr>
          <w:rFonts w:ascii="Bookman Old Style" w:hAnsi="Bookman Old Style"/>
          <w:color w:val="000000"/>
          <w:sz w:val="22"/>
          <w:szCs w:val="22"/>
        </w:rPr>
        <w:t xml:space="preserve">) are based on the requirements of </w:t>
      </w:r>
      <w:r w:rsidRPr="003B41A8">
        <w:rPr>
          <w:rFonts w:ascii="Bookman Old Style" w:hAnsi="Bookman Old Style"/>
          <w:sz w:val="22"/>
          <w:szCs w:val="22"/>
        </w:rPr>
        <w:t>40 CFR 423.</w:t>
      </w:r>
    </w:p>
    <w:p w14:paraId="4271EF80" w14:textId="77777777" w:rsidR="003B41A8" w:rsidRPr="00984B8B" w:rsidRDefault="003B41A8" w:rsidP="003B41A8">
      <w:pPr>
        <w:numPr>
          <w:ilvl w:val="0"/>
          <w:numId w:val="24"/>
        </w:numPr>
        <w:contextualSpacing/>
        <w:rPr>
          <w:rFonts w:ascii="Bookman Old Style" w:hAnsi="Bookman Old Style"/>
          <w:sz w:val="22"/>
          <w:szCs w:val="22"/>
        </w:rPr>
      </w:pPr>
      <w:r w:rsidRPr="00984B8B">
        <w:rPr>
          <w:rFonts w:ascii="Bookman Old Style" w:hAnsi="Bookman Old Style"/>
          <w:color w:val="000000"/>
          <w:sz w:val="22"/>
          <w:szCs w:val="22"/>
        </w:rPr>
        <w:t xml:space="preserve">The </w:t>
      </w:r>
      <w:r>
        <w:rPr>
          <w:rFonts w:ascii="Bookman Old Style" w:hAnsi="Bookman Old Style"/>
          <w:color w:val="000000"/>
          <w:sz w:val="22"/>
          <w:szCs w:val="22"/>
        </w:rPr>
        <w:t xml:space="preserve">Water Quality Based Effluent Limits </w:t>
      </w:r>
      <w:r w:rsidRPr="00984B8B">
        <w:rPr>
          <w:rFonts w:ascii="Bookman Old Style" w:hAnsi="Bookman Old Style"/>
          <w:color w:val="000000"/>
          <w:sz w:val="22"/>
          <w:szCs w:val="22"/>
        </w:rPr>
        <w:t xml:space="preserve">for </w:t>
      </w:r>
      <w:r>
        <w:rPr>
          <w:rFonts w:ascii="Bookman Old Style" w:hAnsi="Bookman Old Style"/>
          <w:color w:val="000000"/>
          <w:sz w:val="22"/>
          <w:szCs w:val="22"/>
        </w:rPr>
        <w:t xml:space="preserve">Total Beryllium, Total Chlorides, </w:t>
      </w:r>
      <w:r w:rsidR="00E4590B">
        <w:rPr>
          <w:rFonts w:ascii="Bookman Old Style" w:hAnsi="Bookman Old Style"/>
          <w:color w:val="000000"/>
          <w:sz w:val="22"/>
          <w:szCs w:val="22"/>
        </w:rPr>
        <w:t xml:space="preserve">and </w:t>
      </w:r>
      <w:r>
        <w:rPr>
          <w:rFonts w:ascii="Bookman Old Style" w:hAnsi="Bookman Old Style"/>
          <w:color w:val="000000"/>
          <w:sz w:val="22"/>
          <w:szCs w:val="22"/>
        </w:rPr>
        <w:t>Total Fluoride</w:t>
      </w:r>
      <w:r w:rsidRPr="00984B8B">
        <w:rPr>
          <w:rFonts w:ascii="Bookman Old Style" w:hAnsi="Bookman Old Style"/>
          <w:color w:val="000000"/>
          <w:sz w:val="22"/>
          <w:szCs w:val="22"/>
        </w:rPr>
        <w:t xml:space="preserve"> in the permit (Outfall </w:t>
      </w:r>
      <w:r>
        <w:rPr>
          <w:rFonts w:ascii="Bookman Old Style" w:hAnsi="Bookman Old Style"/>
          <w:color w:val="000000"/>
          <w:sz w:val="22"/>
          <w:szCs w:val="22"/>
        </w:rPr>
        <w:t>002 – decanting)</w:t>
      </w:r>
      <w:r w:rsidRPr="00984B8B">
        <w:rPr>
          <w:rFonts w:ascii="Bookman Old Style" w:hAnsi="Bookman Old Style"/>
          <w:color w:val="000000"/>
          <w:sz w:val="22"/>
          <w:szCs w:val="22"/>
        </w:rPr>
        <w:t xml:space="preserve"> are based on the North </w:t>
      </w:r>
      <w:r w:rsidRPr="00984B8B">
        <w:rPr>
          <w:rFonts w:ascii="Bookman Old Style" w:hAnsi="Bookman Old Style"/>
          <w:color w:val="000000"/>
          <w:sz w:val="22"/>
          <w:szCs w:val="22"/>
        </w:rPr>
        <w:lastRenderedPageBreak/>
        <w:t>Carolina water quality standards (15A NCAC 2B .0200) and EPA water quality criteria.</w:t>
      </w:r>
    </w:p>
    <w:p w14:paraId="27FDCDC7" w14:textId="77777777" w:rsidR="00947DEA" w:rsidRPr="00D077E6" w:rsidRDefault="00947DEA" w:rsidP="00947DEA">
      <w:pPr>
        <w:numPr>
          <w:ilvl w:val="0"/>
          <w:numId w:val="24"/>
        </w:numPr>
        <w:contextualSpacing/>
        <w:rPr>
          <w:rFonts w:ascii="Bookman Old Style" w:hAnsi="Bookman Old Style"/>
          <w:sz w:val="22"/>
          <w:szCs w:val="22"/>
        </w:rPr>
      </w:pPr>
      <w:r w:rsidRPr="00984B8B">
        <w:rPr>
          <w:rFonts w:ascii="Bookman Old Style" w:hAnsi="Bookman Old Style"/>
          <w:color w:val="000000"/>
          <w:sz w:val="22"/>
          <w:szCs w:val="22"/>
        </w:rPr>
        <w:t xml:space="preserve">The </w:t>
      </w:r>
      <w:r>
        <w:rPr>
          <w:rFonts w:ascii="Bookman Old Style" w:hAnsi="Bookman Old Style"/>
          <w:color w:val="000000"/>
          <w:sz w:val="22"/>
          <w:szCs w:val="22"/>
        </w:rPr>
        <w:t xml:space="preserve">Water Quality Based Effluent Limits </w:t>
      </w:r>
      <w:r w:rsidRPr="00984B8B">
        <w:rPr>
          <w:rFonts w:ascii="Bookman Old Style" w:hAnsi="Bookman Old Style"/>
          <w:color w:val="000000"/>
          <w:sz w:val="22"/>
          <w:szCs w:val="22"/>
        </w:rPr>
        <w:t xml:space="preserve">for </w:t>
      </w:r>
      <w:r>
        <w:rPr>
          <w:rFonts w:ascii="Bookman Old Style" w:hAnsi="Bookman Old Style"/>
          <w:color w:val="000000"/>
          <w:sz w:val="22"/>
          <w:szCs w:val="22"/>
        </w:rPr>
        <w:t>Total Arsenic, Total Cadmium, Total Chlorides, Chromium (III), Chromium (VI), Total Copper, Total Lead, Total Nickel, Total Zinc, Total Barium, and Total Thallium</w:t>
      </w:r>
      <w:r w:rsidRPr="00984B8B">
        <w:rPr>
          <w:rFonts w:ascii="Bookman Old Style" w:hAnsi="Bookman Old Style"/>
          <w:color w:val="000000"/>
          <w:sz w:val="22"/>
          <w:szCs w:val="22"/>
        </w:rPr>
        <w:t xml:space="preserve"> in the permit (Outfall </w:t>
      </w:r>
      <w:r>
        <w:rPr>
          <w:rFonts w:ascii="Bookman Old Style" w:hAnsi="Bookman Old Style"/>
          <w:color w:val="000000"/>
          <w:sz w:val="22"/>
          <w:szCs w:val="22"/>
        </w:rPr>
        <w:t>002 – dewatering)</w:t>
      </w:r>
      <w:r w:rsidRPr="00984B8B">
        <w:rPr>
          <w:rFonts w:ascii="Bookman Old Style" w:hAnsi="Bookman Old Style"/>
          <w:color w:val="000000"/>
          <w:sz w:val="22"/>
          <w:szCs w:val="22"/>
        </w:rPr>
        <w:t xml:space="preserve"> are based on the North Carolina water quality standards (15A NCAC 2B .0200) and EPA water quality criteria.</w:t>
      </w:r>
    </w:p>
    <w:p w14:paraId="4ECC21AF" w14:textId="77777777" w:rsidR="00D077E6" w:rsidRPr="00947DEA" w:rsidRDefault="00D077E6" w:rsidP="00D077E6">
      <w:pPr>
        <w:numPr>
          <w:ilvl w:val="0"/>
          <w:numId w:val="24"/>
        </w:numPr>
        <w:contextualSpacing/>
        <w:rPr>
          <w:rFonts w:ascii="Bookman Old Style" w:hAnsi="Bookman Old Style"/>
          <w:sz w:val="22"/>
          <w:szCs w:val="22"/>
        </w:rPr>
      </w:pPr>
      <w:r w:rsidRPr="00984B8B">
        <w:rPr>
          <w:rFonts w:ascii="Bookman Old Style" w:hAnsi="Bookman Old Style"/>
          <w:color w:val="000000"/>
          <w:sz w:val="22"/>
          <w:szCs w:val="22"/>
        </w:rPr>
        <w:t xml:space="preserve">The </w:t>
      </w:r>
      <w:r>
        <w:rPr>
          <w:rFonts w:ascii="Bookman Old Style" w:hAnsi="Bookman Old Style"/>
          <w:color w:val="000000"/>
          <w:sz w:val="22"/>
          <w:szCs w:val="22"/>
        </w:rPr>
        <w:t xml:space="preserve">Water Quality Based Effluent Limits </w:t>
      </w:r>
      <w:r w:rsidRPr="00984B8B">
        <w:rPr>
          <w:rFonts w:ascii="Bookman Old Style" w:hAnsi="Bookman Old Style"/>
          <w:color w:val="000000"/>
          <w:sz w:val="22"/>
          <w:szCs w:val="22"/>
        </w:rPr>
        <w:t xml:space="preserve">for </w:t>
      </w:r>
      <w:r>
        <w:rPr>
          <w:rFonts w:ascii="Bookman Old Style" w:hAnsi="Bookman Old Style"/>
          <w:color w:val="000000"/>
          <w:sz w:val="22"/>
          <w:szCs w:val="22"/>
        </w:rPr>
        <w:t xml:space="preserve">Total Arsenic, Total Chlorides, Total </w:t>
      </w:r>
      <w:r w:rsidR="00F6350A">
        <w:rPr>
          <w:rFonts w:ascii="Bookman Old Style" w:hAnsi="Bookman Old Style"/>
          <w:color w:val="000000"/>
          <w:sz w:val="22"/>
          <w:szCs w:val="22"/>
        </w:rPr>
        <w:t>Fluoride, Total Barium, and Total Antimony</w:t>
      </w:r>
      <w:r w:rsidRPr="00984B8B">
        <w:rPr>
          <w:rFonts w:ascii="Bookman Old Style" w:hAnsi="Bookman Old Style"/>
          <w:color w:val="000000"/>
          <w:sz w:val="22"/>
          <w:szCs w:val="22"/>
        </w:rPr>
        <w:t xml:space="preserve"> in the permit (Outfall </w:t>
      </w:r>
      <w:r>
        <w:rPr>
          <w:rFonts w:ascii="Bookman Old Style" w:hAnsi="Bookman Old Style"/>
          <w:color w:val="000000"/>
          <w:sz w:val="22"/>
          <w:szCs w:val="22"/>
        </w:rPr>
        <w:t>002</w:t>
      </w:r>
      <w:r w:rsidR="00F6350A">
        <w:rPr>
          <w:rFonts w:ascii="Bookman Old Style" w:hAnsi="Bookman Old Style"/>
          <w:color w:val="000000"/>
          <w:sz w:val="22"/>
          <w:szCs w:val="22"/>
        </w:rPr>
        <w:t>A</w:t>
      </w:r>
      <w:r>
        <w:rPr>
          <w:rFonts w:ascii="Bookman Old Style" w:hAnsi="Bookman Old Style"/>
          <w:color w:val="000000"/>
          <w:sz w:val="22"/>
          <w:szCs w:val="22"/>
        </w:rPr>
        <w:t xml:space="preserve"> – </w:t>
      </w:r>
      <w:r w:rsidR="00F6350A">
        <w:rPr>
          <w:rFonts w:ascii="Bookman Old Style" w:hAnsi="Bookman Old Style"/>
          <w:color w:val="000000"/>
          <w:sz w:val="22"/>
          <w:szCs w:val="22"/>
        </w:rPr>
        <w:t>lined retention basin</w:t>
      </w:r>
      <w:r>
        <w:rPr>
          <w:rFonts w:ascii="Bookman Old Style" w:hAnsi="Bookman Old Style"/>
          <w:color w:val="000000"/>
          <w:sz w:val="22"/>
          <w:szCs w:val="22"/>
        </w:rPr>
        <w:t>)</w:t>
      </w:r>
      <w:r w:rsidRPr="00984B8B">
        <w:rPr>
          <w:rFonts w:ascii="Bookman Old Style" w:hAnsi="Bookman Old Style"/>
          <w:color w:val="000000"/>
          <w:sz w:val="22"/>
          <w:szCs w:val="22"/>
        </w:rPr>
        <w:t xml:space="preserve"> are based on the North Carolina water quality standards (15A NCAC 2B .0200) and EPA water quality criteria.</w:t>
      </w:r>
    </w:p>
    <w:p w14:paraId="083520FA" w14:textId="77777777" w:rsidR="009276A1" w:rsidRPr="00984B8B" w:rsidRDefault="009276A1" w:rsidP="009276A1">
      <w:pPr>
        <w:ind w:left="720"/>
        <w:contextualSpacing/>
        <w:rPr>
          <w:rFonts w:ascii="Bookman Old Style" w:hAnsi="Bookman Old Style"/>
          <w:sz w:val="22"/>
          <w:szCs w:val="22"/>
        </w:rPr>
      </w:pPr>
    </w:p>
    <w:p w14:paraId="793EC798" w14:textId="77777777" w:rsidR="009276A1" w:rsidRDefault="009276A1" w:rsidP="009276A1">
      <w:pPr>
        <w:pStyle w:val="Heading2"/>
        <w:rPr>
          <w:rFonts w:ascii="Bookman Old Style" w:hAnsi="Bookman Old Style"/>
          <w:b w:val="0"/>
          <w:smallCaps/>
          <w:sz w:val="22"/>
          <w:szCs w:val="22"/>
          <w:u w:val="single"/>
        </w:rPr>
      </w:pPr>
      <w:r w:rsidRPr="00984B8B">
        <w:rPr>
          <w:rFonts w:ascii="Bookman Old Style" w:hAnsi="Bookman Old Style"/>
          <w:b w:val="0"/>
          <w:smallCaps/>
          <w:sz w:val="22"/>
          <w:szCs w:val="22"/>
          <w:u w:val="single"/>
        </w:rPr>
        <w:t>PROPOSED CHANGES</w:t>
      </w:r>
    </w:p>
    <w:p w14:paraId="787C1BEF" w14:textId="77777777" w:rsidR="00D077E6" w:rsidRPr="00D077E6" w:rsidRDefault="00D077E6" w:rsidP="00D077E6"/>
    <w:p w14:paraId="4C489AA2" w14:textId="77777777" w:rsidR="00BF0679" w:rsidRPr="00BF0679" w:rsidRDefault="00D077E6" w:rsidP="00385388">
      <w:pPr>
        <w:pStyle w:val="ListParagraph"/>
        <w:numPr>
          <w:ilvl w:val="0"/>
          <w:numId w:val="42"/>
        </w:numPr>
        <w:spacing w:after="246"/>
        <w:ind w:right="14"/>
        <w:rPr>
          <w:rFonts w:ascii="Bookman Old Style" w:hAnsi="Bookman Old Style"/>
          <w:b/>
          <w:sz w:val="22"/>
          <w:szCs w:val="22"/>
        </w:rPr>
      </w:pPr>
      <w:r w:rsidRPr="00BF0679">
        <w:rPr>
          <w:rFonts w:ascii="Bookman Old Style" w:hAnsi="Bookman Old Style"/>
          <w:sz w:val="22"/>
          <w:szCs w:val="22"/>
        </w:rPr>
        <w:t xml:space="preserve">Landfill leachate from the CCR landfill was added as a contributing flow to the lined retention basin. </w:t>
      </w:r>
    </w:p>
    <w:p w14:paraId="1861079B" w14:textId="77777777" w:rsidR="00D077E6" w:rsidRPr="00BF0679" w:rsidRDefault="00BF0679" w:rsidP="00385388">
      <w:pPr>
        <w:pStyle w:val="ListParagraph"/>
        <w:numPr>
          <w:ilvl w:val="0"/>
          <w:numId w:val="42"/>
        </w:numPr>
        <w:spacing w:after="246"/>
        <w:ind w:right="14"/>
        <w:rPr>
          <w:rFonts w:ascii="Bookman Old Style" w:hAnsi="Bookman Old Style"/>
          <w:b/>
          <w:sz w:val="22"/>
          <w:szCs w:val="22"/>
        </w:rPr>
      </w:pPr>
      <w:r w:rsidRPr="00BF0679">
        <w:rPr>
          <w:rFonts w:ascii="Bookman Old Style" w:hAnsi="Bookman Old Style"/>
          <w:sz w:val="22"/>
          <w:szCs w:val="22"/>
        </w:rPr>
        <w:t xml:space="preserve">The flow limit for Outfall 002 was increased from 2.0 MGD to 3.0 MGD to accommodate large storm events.  </w:t>
      </w:r>
      <w:r w:rsidR="00D077E6" w:rsidRPr="00BF0679">
        <w:rPr>
          <w:rFonts w:ascii="Bookman Old Style" w:hAnsi="Bookman Old Style"/>
          <w:sz w:val="22"/>
          <w:szCs w:val="22"/>
        </w:rPr>
        <w:t xml:space="preserve">The limit </w:t>
      </w:r>
      <w:r w:rsidR="00B138AD">
        <w:rPr>
          <w:rFonts w:ascii="Bookman Old Style" w:hAnsi="Bookman Old Style"/>
          <w:sz w:val="22"/>
          <w:szCs w:val="22"/>
        </w:rPr>
        <w:t>was</w:t>
      </w:r>
      <w:r w:rsidR="00D077E6" w:rsidRPr="00BF0679">
        <w:rPr>
          <w:rFonts w:ascii="Bookman Old Style" w:hAnsi="Bookman Old Style"/>
          <w:sz w:val="22"/>
          <w:szCs w:val="22"/>
        </w:rPr>
        <w:t xml:space="preserve"> changed from </w:t>
      </w:r>
      <w:r w:rsidR="00B138AD">
        <w:rPr>
          <w:rFonts w:ascii="Bookman Old Style" w:hAnsi="Bookman Old Style"/>
          <w:sz w:val="22"/>
          <w:szCs w:val="22"/>
        </w:rPr>
        <w:t xml:space="preserve">the </w:t>
      </w:r>
      <w:r w:rsidR="00D077E6" w:rsidRPr="00BF0679">
        <w:rPr>
          <w:rFonts w:ascii="Bookman Old Style" w:hAnsi="Bookman Old Style"/>
          <w:sz w:val="22"/>
          <w:szCs w:val="22"/>
        </w:rPr>
        <w:t xml:space="preserve">Daily Maximum to </w:t>
      </w:r>
      <w:r w:rsidR="00B138AD">
        <w:rPr>
          <w:rFonts w:ascii="Bookman Old Style" w:hAnsi="Bookman Old Style"/>
          <w:sz w:val="22"/>
          <w:szCs w:val="22"/>
        </w:rPr>
        <w:t xml:space="preserve">the </w:t>
      </w:r>
      <w:r w:rsidR="00D077E6" w:rsidRPr="00BF0679">
        <w:rPr>
          <w:rFonts w:ascii="Bookman Old Style" w:hAnsi="Bookman Old Style"/>
          <w:sz w:val="22"/>
          <w:szCs w:val="22"/>
        </w:rPr>
        <w:t>Monthly Average to be consistent with other Duke permits.</w:t>
      </w:r>
    </w:p>
    <w:p w14:paraId="5D6D751D" w14:textId="77777777" w:rsidR="00D077E6" w:rsidRPr="00D07C10" w:rsidRDefault="00BF0679" w:rsidP="00D077E6">
      <w:pPr>
        <w:pStyle w:val="ListParagraph"/>
        <w:numPr>
          <w:ilvl w:val="0"/>
          <w:numId w:val="42"/>
        </w:numPr>
        <w:spacing w:after="246"/>
        <w:ind w:right="14"/>
        <w:rPr>
          <w:rFonts w:ascii="Bookman Old Style" w:hAnsi="Bookman Old Style"/>
          <w:b/>
          <w:sz w:val="22"/>
          <w:szCs w:val="22"/>
        </w:rPr>
      </w:pPr>
      <w:r>
        <w:rPr>
          <w:rFonts w:ascii="Bookman Old Style" w:hAnsi="Bookman Old Style"/>
          <w:sz w:val="22"/>
          <w:szCs w:val="22"/>
        </w:rPr>
        <w:t>A</w:t>
      </w:r>
      <w:r w:rsidR="00D077E6" w:rsidRPr="00943D53">
        <w:rPr>
          <w:rFonts w:ascii="Bookman Old Style" w:hAnsi="Bookman Old Style"/>
          <w:sz w:val="22"/>
          <w:szCs w:val="22"/>
        </w:rPr>
        <w:t xml:space="preserve">mmonia conversion maintenance drainage </w:t>
      </w:r>
      <w:r w:rsidRPr="00BF0679">
        <w:rPr>
          <w:rFonts w:ascii="Bookman Old Style" w:hAnsi="Bookman Old Style"/>
          <w:sz w:val="22"/>
          <w:szCs w:val="22"/>
        </w:rPr>
        <w:t xml:space="preserve">was added </w:t>
      </w:r>
      <w:r w:rsidR="00D077E6" w:rsidRPr="00943D53">
        <w:rPr>
          <w:rFonts w:ascii="Bookman Old Style" w:hAnsi="Bookman Old Style"/>
          <w:sz w:val="22"/>
          <w:szCs w:val="22"/>
        </w:rPr>
        <w:t xml:space="preserve">as a contributing flow to the lined retention basin. </w:t>
      </w:r>
    </w:p>
    <w:p w14:paraId="4B32AF07" w14:textId="77777777" w:rsidR="00D077E6" w:rsidRPr="00D07C10" w:rsidRDefault="00B138AD" w:rsidP="00D077E6">
      <w:pPr>
        <w:pStyle w:val="ListParagraph"/>
        <w:numPr>
          <w:ilvl w:val="0"/>
          <w:numId w:val="42"/>
        </w:numPr>
        <w:spacing w:after="246"/>
        <w:ind w:right="14"/>
        <w:rPr>
          <w:rFonts w:ascii="Bookman Old Style" w:hAnsi="Bookman Old Style"/>
          <w:b/>
          <w:sz w:val="22"/>
          <w:szCs w:val="22"/>
        </w:rPr>
      </w:pPr>
      <w:r>
        <w:rPr>
          <w:rFonts w:ascii="Bookman Old Style" w:hAnsi="Bookman Old Style"/>
          <w:sz w:val="22"/>
          <w:szCs w:val="22"/>
        </w:rPr>
        <w:t>T</w:t>
      </w:r>
      <w:r w:rsidR="00D077E6" w:rsidRPr="00D07C10">
        <w:rPr>
          <w:rFonts w:ascii="Bookman Old Style" w:hAnsi="Bookman Old Style"/>
          <w:sz w:val="22"/>
          <w:szCs w:val="22"/>
        </w:rPr>
        <w:t>he sampling frequency for the domestic package plant (</w:t>
      </w:r>
      <w:r w:rsidR="00ED5F8F">
        <w:rPr>
          <w:rFonts w:ascii="Bookman Old Style" w:hAnsi="Bookman Old Style"/>
          <w:sz w:val="22"/>
          <w:szCs w:val="22"/>
        </w:rPr>
        <w:t>I</w:t>
      </w:r>
      <w:r w:rsidR="00D077E6" w:rsidRPr="00D07C10">
        <w:rPr>
          <w:rFonts w:ascii="Bookman Old Style" w:hAnsi="Bookman Old Style"/>
          <w:sz w:val="22"/>
          <w:szCs w:val="22"/>
        </w:rPr>
        <w:t>nternal Outfall 01</w:t>
      </w:r>
      <w:r w:rsidR="00D077E6">
        <w:rPr>
          <w:rFonts w:ascii="Bookman Old Style" w:hAnsi="Bookman Old Style"/>
          <w:sz w:val="22"/>
          <w:szCs w:val="22"/>
        </w:rPr>
        <w:t>1</w:t>
      </w:r>
      <w:r w:rsidR="00D077E6" w:rsidRPr="00D07C10">
        <w:rPr>
          <w:rFonts w:ascii="Bookman Old Style" w:hAnsi="Bookman Old Style"/>
          <w:sz w:val="22"/>
          <w:szCs w:val="22"/>
        </w:rPr>
        <w:t xml:space="preserve">) </w:t>
      </w:r>
      <w:r>
        <w:rPr>
          <w:rFonts w:ascii="Bookman Old Style" w:hAnsi="Bookman Old Style"/>
          <w:sz w:val="22"/>
          <w:szCs w:val="22"/>
        </w:rPr>
        <w:t xml:space="preserve">was changed </w:t>
      </w:r>
      <w:r w:rsidR="00D077E6" w:rsidRPr="00D07C10">
        <w:rPr>
          <w:rFonts w:ascii="Bookman Old Style" w:hAnsi="Bookman Old Style"/>
          <w:sz w:val="22"/>
          <w:szCs w:val="22"/>
        </w:rPr>
        <w:t xml:space="preserve">from Weekly to Quarterly to be consistent with other Duke permits. </w:t>
      </w:r>
    </w:p>
    <w:p w14:paraId="7271830C" w14:textId="77777777" w:rsidR="00BF0679" w:rsidRPr="005F4D65" w:rsidRDefault="00BF0679" w:rsidP="00BF0679">
      <w:pPr>
        <w:pStyle w:val="ListParagraph"/>
        <w:numPr>
          <w:ilvl w:val="0"/>
          <w:numId w:val="42"/>
        </w:numPr>
        <w:spacing w:after="246"/>
        <w:ind w:right="14"/>
        <w:rPr>
          <w:rFonts w:ascii="Bookman Old Style" w:hAnsi="Bookman Old Style"/>
          <w:b/>
          <w:sz w:val="22"/>
          <w:szCs w:val="22"/>
        </w:rPr>
      </w:pPr>
      <w:r>
        <w:rPr>
          <w:rFonts w:ascii="Bookman Old Style" w:hAnsi="Bookman Old Style"/>
          <w:sz w:val="22"/>
          <w:szCs w:val="22"/>
        </w:rPr>
        <w:t>I</w:t>
      </w:r>
      <w:r w:rsidR="00D077E6" w:rsidRPr="00BF0679">
        <w:rPr>
          <w:rFonts w:ascii="Bookman Old Style" w:hAnsi="Bookman Old Style"/>
          <w:sz w:val="22"/>
          <w:szCs w:val="22"/>
        </w:rPr>
        <w:t xml:space="preserve">ndustrial stormwater from </w:t>
      </w:r>
      <w:r>
        <w:rPr>
          <w:rFonts w:ascii="Bookman Old Style" w:hAnsi="Bookman Old Style"/>
          <w:sz w:val="22"/>
          <w:szCs w:val="22"/>
        </w:rPr>
        <w:t xml:space="preserve">the </w:t>
      </w:r>
      <w:r w:rsidR="00D077E6" w:rsidRPr="00BF0679">
        <w:rPr>
          <w:rFonts w:ascii="Bookman Old Style" w:hAnsi="Bookman Old Style"/>
          <w:sz w:val="22"/>
          <w:szCs w:val="22"/>
        </w:rPr>
        <w:t xml:space="preserve">CCR landfill </w:t>
      </w:r>
      <w:r>
        <w:rPr>
          <w:rFonts w:ascii="Bookman Old Style" w:hAnsi="Bookman Old Style"/>
          <w:sz w:val="22"/>
          <w:szCs w:val="22"/>
        </w:rPr>
        <w:t>was</w:t>
      </w:r>
      <w:r w:rsidRPr="00BF0679">
        <w:rPr>
          <w:rFonts w:ascii="Bookman Old Style" w:hAnsi="Bookman Old Style"/>
          <w:sz w:val="22"/>
          <w:szCs w:val="22"/>
        </w:rPr>
        <w:t xml:space="preserve"> added as a contributing flow to the lined retention basin. </w:t>
      </w:r>
    </w:p>
    <w:p w14:paraId="07BD4598" w14:textId="77777777" w:rsidR="005F4D65" w:rsidRPr="00BF0679" w:rsidRDefault="005F4D65" w:rsidP="00BF0679">
      <w:pPr>
        <w:pStyle w:val="ListParagraph"/>
        <w:numPr>
          <w:ilvl w:val="0"/>
          <w:numId w:val="42"/>
        </w:numPr>
        <w:spacing w:after="246"/>
        <w:ind w:right="14"/>
        <w:rPr>
          <w:rFonts w:ascii="Bookman Old Style" w:hAnsi="Bookman Old Style"/>
          <w:b/>
          <w:sz w:val="22"/>
          <w:szCs w:val="22"/>
        </w:rPr>
      </w:pPr>
      <w:r w:rsidRPr="00984B8B">
        <w:rPr>
          <w:rFonts w:ascii="Bookman Old Style" w:hAnsi="Bookman Old Style"/>
          <w:color w:val="000000"/>
          <w:sz w:val="22"/>
          <w:szCs w:val="22"/>
        </w:rPr>
        <w:t xml:space="preserve">The </w:t>
      </w:r>
      <w:r>
        <w:rPr>
          <w:rFonts w:ascii="Bookman Old Style" w:hAnsi="Bookman Old Style"/>
          <w:color w:val="000000"/>
          <w:sz w:val="22"/>
          <w:szCs w:val="22"/>
        </w:rPr>
        <w:t xml:space="preserve">Water Quality Based Effluent Limits </w:t>
      </w:r>
      <w:r w:rsidRPr="00984B8B">
        <w:rPr>
          <w:rFonts w:ascii="Bookman Old Style" w:hAnsi="Bookman Old Style"/>
          <w:color w:val="000000"/>
          <w:sz w:val="22"/>
          <w:szCs w:val="22"/>
        </w:rPr>
        <w:t xml:space="preserve">for </w:t>
      </w:r>
      <w:r>
        <w:rPr>
          <w:rFonts w:ascii="Bookman Old Style" w:hAnsi="Bookman Old Style"/>
          <w:color w:val="000000"/>
          <w:sz w:val="22"/>
          <w:szCs w:val="22"/>
        </w:rPr>
        <w:t>Total Arsenic, Total Chlorides, Total Fluoride, Total Barium, and Total Antimony</w:t>
      </w:r>
      <w:r w:rsidRPr="00984B8B">
        <w:rPr>
          <w:rFonts w:ascii="Bookman Old Style" w:hAnsi="Bookman Old Style"/>
          <w:color w:val="000000"/>
          <w:sz w:val="22"/>
          <w:szCs w:val="22"/>
        </w:rPr>
        <w:t xml:space="preserve"> </w:t>
      </w:r>
      <w:r>
        <w:rPr>
          <w:rFonts w:ascii="Bookman Old Style" w:hAnsi="Bookman Old Style"/>
          <w:color w:val="000000"/>
          <w:sz w:val="22"/>
          <w:szCs w:val="22"/>
        </w:rPr>
        <w:t>were added to</w:t>
      </w:r>
      <w:r w:rsidRPr="00984B8B">
        <w:rPr>
          <w:rFonts w:ascii="Bookman Old Style" w:hAnsi="Bookman Old Style"/>
          <w:color w:val="000000"/>
          <w:sz w:val="22"/>
          <w:szCs w:val="22"/>
        </w:rPr>
        <w:t xml:space="preserve"> the permit (Outfall </w:t>
      </w:r>
      <w:r>
        <w:rPr>
          <w:rFonts w:ascii="Bookman Old Style" w:hAnsi="Bookman Old Style"/>
          <w:color w:val="000000"/>
          <w:sz w:val="22"/>
          <w:szCs w:val="22"/>
        </w:rPr>
        <w:t>002A – lined retention basin) based on the results of RPA.</w:t>
      </w:r>
    </w:p>
    <w:p w14:paraId="032390CB" w14:textId="77777777" w:rsidR="009276A1" w:rsidRPr="00BF0679" w:rsidRDefault="009276A1" w:rsidP="00BF0679">
      <w:pPr>
        <w:pStyle w:val="ListParagraph"/>
        <w:spacing w:after="246"/>
        <w:ind w:right="5"/>
        <w:jc w:val="both"/>
        <w:rPr>
          <w:rFonts w:ascii="Bookman Old Style" w:hAnsi="Bookman Old Style"/>
          <w:sz w:val="22"/>
          <w:szCs w:val="22"/>
        </w:rPr>
      </w:pPr>
    </w:p>
    <w:p w14:paraId="0676748C" w14:textId="77777777" w:rsidR="009276A1" w:rsidRPr="00984B8B" w:rsidRDefault="009276A1" w:rsidP="009276A1">
      <w:pPr>
        <w:pStyle w:val="Heading4"/>
        <w:rPr>
          <w:rFonts w:ascii="Bookman Old Style" w:hAnsi="Bookman Old Style"/>
          <w:b w:val="0"/>
          <w:smallCaps/>
          <w:sz w:val="22"/>
          <w:szCs w:val="22"/>
        </w:rPr>
      </w:pPr>
      <w:r w:rsidRPr="00984B8B">
        <w:rPr>
          <w:rFonts w:ascii="Bookman Old Style" w:hAnsi="Bookman Old Style"/>
          <w:b w:val="0"/>
          <w:smallCaps/>
          <w:sz w:val="22"/>
          <w:szCs w:val="22"/>
        </w:rPr>
        <w:t xml:space="preserve">PROPOSED SCHEDULE </w:t>
      </w:r>
    </w:p>
    <w:p w14:paraId="0961C634" w14:textId="77777777" w:rsidR="009276A1" w:rsidRPr="00984B8B" w:rsidRDefault="009276A1" w:rsidP="009276A1">
      <w:pPr>
        <w:rPr>
          <w:rFonts w:ascii="Bookman Old Style" w:hAnsi="Bookman Old Style"/>
          <w:sz w:val="22"/>
          <w:szCs w:val="22"/>
        </w:rPr>
      </w:pPr>
      <w:r w:rsidRPr="00984B8B">
        <w:rPr>
          <w:rFonts w:ascii="Bookman Old Style" w:hAnsi="Bookman Old Style"/>
          <w:sz w:val="22"/>
          <w:szCs w:val="22"/>
        </w:rPr>
        <w:t>Draft Permit to Public Notice:</w:t>
      </w:r>
      <w:r w:rsidRPr="00984B8B">
        <w:rPr>
          <w:rFonts w:ascii="Bookman Old Style" w:hAnsi="Bookman Old Style"/>
          <w:sz w:val="22"/>
          <w:szCs w:val="22"/>
        </w:rPr>
        <w:tab/>
      </w:r>
      <w:r w:rsidRPr="00984B8B">
        <w:rPr>
          <w:rFonts w:ascii="Bookman Old Style" w:hAnsi="Bookman Old Style"/>
          <w:sz w:val="22"/>
          <w:szCs w:val="22"/>
        </w:rPr>
        <w:tab/>
      </w:r>
      <w:r w:rsidR="00B41D66">
        <w:rPr>
          <w:rFonts w:ascii="Bookman Old Style" w:hAnsi="Bookman Old Style"/>
          <w:sz w:val="22"/>
          <w:szCs w:val="22"/>
        </w:rPr>
        <w:t>July 27</w:t>
      </w:r>
      <w:r w:rsidRPr="00984B8B">
        <w:rPr>
          <w:rFonts w:ascii="Bookman Old Style" w:hAnsi="Bookman Old Style"/>
          <w:sz w:val="22"/>
          <w:szCs w:val="22"/>
        </w:rPr>
        <w:t>, 20</w:t>
      </w:r>
      <w:r w:rsidR="00B41D66">
        <w:rPr>
          <w:rFonts w:ascii="Bookman Old Style" w:hAnsi="Bookman Old Style"/>
          <w:sz w:val="22"/>
          <w:szCs w:val="22"/>
        </w:rPr>
        <w:t>21</w:t>
      </w:r>
      <w:r w:rsidRPr="00984B8B">
        <w:rPr>
          <w:rFonts w:ascii="Bookman Old Style" w:hAnsi="Bookman Old Style"/>
          <w:sz w:val="22"/>
          <w:szCs w:val="22"/>
        </w:rPr>
        <w:t xml:space="preserve"> </w:t>
      </w:r>
    </w:p>
    <w:p w14:paraId="06FD6ADD" w14:textId="77777777" w:rsidR="009276A1" w:rsidRPr="00984B8B" w:rsidRDefault="009276A1" w:rsidP="009276A1">
      <w:pPr>
        <w:rPr>
          <w:rFonts w:ascii="Bookman Old Style" w:hAnsi="Bookman Old Style"/>
          <w:sz w:val="22"/>
          <w:szCs w:val="22"/>
        </w:rPr>
      </w:pPr>
      <w:r w:rsidRPr="00984B8B">
        <w:rPr>
          <w:rFonts w:ascii="Bookman Old Style" w:hAnsi="Bookman Old Style"/>
          <w:sz w:val="22"/>
          <w:szCs w:val="22"/>
        </w:rPr>
        <w:t>Permit Scheduled to Issue:</w:t>
      </w:r>
      <w:r w:rsidRPr="00984B8B">
        <w:rPr>
          <w:rFonts w:ascii="Bookman Old Style" w:hAnsi="Bookman Old Style"/>
          <w:sz w:val="22"/>
          <w:szCs w:val="22"/>
        </w:rPr>
        <w:tab/>
      </w:r>
      <w:r w:rsidRPr="00984B8B">
        <w:rPr>
          <w:rFonts w:ascii="Bookman Old Style" w:hAnsi="Bookman Old Style"/>
          <w:sz w:val="22"/>
          <w:szCs w:val="22"/>
        </w:rPr>
        <w:tab/>
      </w:r>
      <w:r w:rsidR="00B41D66">
        <w:rPr>
          <w:rFonts w:ascii="Bookman Old Style" w:hAnsi="Bookman Old Style"/>
          <w:sz w:val="22"/>
          <w:szCs w:val="22"/>
        </w:rPr>
        <w:t>September 24</w:t>
      </w:r>
      <w:r w:rsidRPr="00984B8B">
        <w:rPr>
          <w:rFonts w:ascii="Bookman Old Style" w:hAnsi="Bookman Old Style"/>
          <w:sz w:val="22"/>
          <w:szCs w:val="22"/>
        </w:rPr>
        <w:t>, 20</w:t>
      </w:r>
      <w:r w:rsidR="00B41D66">
        <w:rPr>
          <w:rFonts w:ascii="Bookman Old Style" w:hAnsi="Bookman Old Style"/>
          <w:sz w:val="22"/>
          <w:szCs w:val="22"/>
        </w:rPr>
        <w:t>21</w:t>
      </w:r>
    </w:p>
    <w:p w14:paraId="42F94A6C" w14:textId="77777777" w:rsidR="009276A1" w:rsidRPr="00984B8B" w:rsidRDefault="009276A1" w:rsidP="009276A1">
      <w:pPr>
        <w:rPr>
          <w:rFonts w:ascii="Bookman Old Style" w:hAnsi="Bookman Old Style"/>
          <w:sz w:val="22"/>
          <w:szCs w:val="22"/>
        </w:rPr>
      </w:pPr>
    </w:p>
    <w:p w14:paraId="70A8F5A0" w14:textId="77777777" w:rsidR="009276A1" w:rsidRPr="00986442" w:rsidRDefault="009276A1" w:rsidP="009276A1">
      <w:pPr>
        <w:pStyle w:val="Heading3"/>
        <w:rPr>
          <w:rFonts w:ascii="Bookman Old Style" w:hAnsi="Bookman Old Style"/>
          <w:b w:val="0"/>
          <w:smallCaps/>
          <w:szCs w:val="22"/>
        </w:rPr>
      </w:pPr>
      <w:r w:rsidRPr="00986442">
        <w:rPr>
          <w:rFonts w:ascii="Bookman Old Style" w:hAnsi="Bookman Old Style"/>
          <w:b w:val="0"/>
          <w:smallCaps/>
          <w:szCs w:val="22"/>
        </w:rPr>
        <w:t>STATE CONTACT</w:t>
      </w:r>
    </w:p>
    <w:p w14:paraId="1CE3FB54" w14:textId="77777777" w:rsidR="009276A1" w:rsidRPr="008A7CCA" w:rsidRDefault="009276A1" w:rsidP="009276A1">
      <w:pPr>
        <w:pStyle w:val="BodyText"/>
        <w:rPr>
          <w:rFonts w:ascii="Bookman Old Style" w:hAnsi="Bookman Old Style"/>
          <w:i w:val="0"/>
          <w:color w:val="auto"/>
          <w:sz w:val="22"/>
          <w:szCs w:val="22"/>
        </w:rPr>
      </w:pPr>
      <w:r w:rsidRPr="008A7CCA">
        <w:rPr>
          <w:rFonts w:ascii="Bookman Old Style" w:hAnsi="Bookman Old Style"/>
          <w:i w:val="0"/>
          <w:color w:val="auto"/>
          <w:sz w:val="22"/>
          <w:szCs w:val="22"/>
        </w:rPr>
        <w:t xml:space="preserve">If you have any questions on any of the above information or on the attached permit, please contact Sergei Chernikov at (919) </w:t>
      </w:r>
      <w:r w:rsidR="00B41D66">
        <w:rPr>
          <w:rFonts w:ascii="Bookman Old Style" w:hAnsi="Bookman Old Style"/>
          <w:i w:val="0"/>
          <w:color w:val="auto"/>
          <w:sz w:val="22"/>
          <w:szCs w:val="22"/>
        </w:rPr>
        <w:t>7</w:t>
      </w:r>
      <w:r w:rsidRPr="008A7CCA">
        <w:rPr>
          <w:rFonts w:ascii="Bookman Old Style" w:hAnsi="Bookman Old Style"/>
          <w:i w:val="0"/>
          <w:color w:val="auto"/>
          <w:sz w:val="22"/>
          <w:szCs w:val="22"/>
        </w:rPr>
        <w:t>07-</w:t>
      </w:r>
      <w:r w:rsidR="00B41D66">
        <w:rPr>
          <w:rFonts w:ascii="Bookman Old Style" w:hAnsi="Bookman Old Style"/>
          <w:i w:val="0"/>
          <w:color w:val="auto"/>
          <w:sz w:val="22"/>
          <w:szCs w:val="22"/>
        </w:rPr>
        <w:t>3606</w:t>
      </w:r>
      <w:r w:rsidRPr="008A7CCA">
        <w:rPr>
          <w:rFonts w:ascii="Bookman Old Style" w:hAnsi="Bookman Old Style"/>
          <w:i w:val="0"/>
          <w:color w:val="auto"/>
          <w:sz w:val="22"/>
          <w:szCs w:val="22"/>
        </w:rPr>
        <w:t xml:space="preserve"> or sergei.chernikov@ncdenr.gov.</w:t>
      </w:r>
    </w:p>
    <w:p w14:paraId="712D9742" w14:textId="77777777" w:rsidR="009276A1" w:rsidRPr="008A7CCA" w:rsidRDefault="009276A1" w:rsidP="009276A1">
      <w:pPr>
        <w:ind w:right="-655"/>
        <w:jc w:val="both"/>
        <w:rPr>
          <w:rFonts w:ascii="Bookman Old Style" w:hAnsi="Bookman Old Style"/>
          <w:smallCaps/>
          <w:sz w:val="22"/>
          <w:szCs w:val="22"/>
          <w:u w:val="single"/>
        </w:rPr>
      </w:pPr>
    </w:p>
    <w:p w14:paraId="7D10C5B2" w14:textId="77777777" w:rsidR="002D55BF" w:rsidRDefault="002D55BF" w:rsidP="002D55BF">
      <w:pPr>
        <w:rPr>
          <w:rFonts w:ascii="Bookman Old Style" w:hAnsi="Bookman Old Style"/>
          <w:sz w:val="22"/>
          <w:szCs w:val="22"/>
        </w:rPr>
      </w:pPr>
    </w:p>
    <w:p w14:paraId="077D2E49" w14:textId="77777777" w:rsidR="00527CC1" w:rsidRDefault="00527CC1" w:rsidP="002D55BF">
      <w:pPr>
        <w:rPr>
          <w:rFonts w:ascii="Bookman Old Style" w:hAnsi="Bookman Old Style"/>
          <w:sz w:val="22"/>
          <w:szCs w:val="22"/>
        </w:rPr>
      </w:pPr>
    </w:p>
    <w:p w14:paraId="68655A4B" w14:textId="77777777" w:rsidR="00527CC1" w:rsidRDefault="00527CC1" w:rsidP="002D55BF">
      <w:pPr>
        <w:rPr>
          <w:rFonts w:ascii="Bookman Old Style" w:hAnsi="Bookman Old Style"/>
          <w:sz w:val="22"/>
          <w:szCs w:val="22"/>
        </w:rPr>
      </w:pPr>
    </w:p>
    <w:p w14:paraId="1345DCCB" w14:textId="77777777" w:rsidR="001D0823" w:rsidRDefault="001D0823" w:rsidP="002D55BF">
      <w:pPr>
        <w:rPr>
          <w:rFonts w:ascii="Bookman Old Style" w:hAnsi="Bookman Old Style"/>
          <w:sz w:val="22"/>
          <w:szCs w:val="22"/>
        </w:rPr>
      </w:pPr>
    </w:p>
    <w:p w14:paraId="7A3420A6" w14:textId="77777777" w:rsidR="001D0823" w:rsidRDefault="001D0823" w:rsidP="002D55BF">
      <w:pPr>
        <w:rPr>
          <w:rFonts w:ascii="Bookman Old Style" w:hAnsi="Bookman Old Style"/>
          <w:sz w:val="22"/>
          <w:szCs w:val="22"/>
        </w:rPr>
      </w:pPr>
    </w:p>
    <w:p w14:paraId="3CD57664" w14:textId="77777777" w:rsidR="00644542" w:rsidRDefault="00644542" w:rsidP="002D55BF">
      <w:pPr>
        <w:rPr>
          <w:rFonts w:ascii="Bookman Old Style" w:hAnsi="Bookman Old Style"/>
          <w:sz w:val="22"/>
          <w:szCs w:val="22"/>
        </w:rPr>
      </w:pPr>
    </w:p>
    <w:p w14:paraId="642BBE5B" w14:textId="77777777" w:rsidR="00644542" w:rsidRDefault="00644542" w:rsidP="002D55BF">
      <w:pPr>
        <w:rPr>
          <w:rFonts w:ascii="Bookman Old Style" w:hAnsi="Bookman Old Style"/>
          <w:sz w:val="22"/>
          <w:szCs w:val="22"/>
        </w:rPr>
      </w:pPr>
    </w:p>
    <w:p w14:paraId="7D3295B4" w14:textId="77777777" w:rsidR="00644542" w:rsidRDefault="00644542" w:rsidP="002D55BF">
      <w:pPr>
        <w:rPr>
          <w:rFonts w:ascii="Bookman Old Style" w:hAnsi="Bookman Old Style"/>
          <w:sz w:val="22"/>
          <w:szCs w:val="22"/>
        </w:rPr>
      </w:pPr>
    </w:p>
    <w:p w14:paraId="18A602C5" w14:textId="77777777" w:rsidR="00644542" w:rsidRDefault="00644542" w:rsidP="002D55BF">
      <w:pPr>
        <w:rPr>
          <w:rFonts w:ascii="Bookman Old Style" w:hAnsi="Bookman Old Style"/>
          <w:sz w:val="22"/>
          <w:szCs w:val="22"/>
        </w:rPr>
      </w:pPr>
    </w:p>
    <w:p w14:paraId="33C4F418" w14:textId="77777777" w:rsidR="00644542" w:rsidRDefault="00644542" w:rsidP="002D55BF">
      <w:pPr>
        <w:rPr>
          <w:rFonts w:ascii="Bookman Old Style" w:hAnsi="Bookman Old Style"/>
          <w:sz w:val="22"/>
          <w:szCs w:val="22"/>
        </w:rPr>
      </w:pPr>
    </w:p>
    <w:p w14:paraId="25D4FCDC" w14:textId="77777777" w:rsidR="001D0823" w:rsidRDefault="001D0823" w:rsidP="002D55BF">
      <w:pPr>
        <w:rPr>
          <w:rFonts w:ascii="Bookman Old Style" w:hAnsi="Bookman Old Style"/>
          <w:sz w:val="22"/>
          <w:szCs w:val="22"/>
        </w:rPr>
      </w:pPr>
    </w:p>
    <w:p w14:paraId="76F549FA" w14:textId="77777777" w:rsidR="001D0823" w:rsidRDefault="001D0823" w:rsidP="001D0823">
      <w:pPr>
        <w:pStyle w:val="NoSpacing"/>
        <w:rPr>
          <w:rFonts w:ascii="Garamond" w:hAnsi="Garamond" w:cs="Times New Roman"/>
          <w:b/>
          <w:sz w:val="24"/>
          <w:szCs w:val="24"/>
          <w:u w:val="single"/>
        </w:rPr>
      </w:pPr>
      <w:r>
        <w:rPr>
          <w:rFonts w:ascii="Garamond" w:eastAsia="Times New Roman" w:hAnsi="Garamond" w:cs="Times New Roman"/>
          <w:b/>
          <w:bCs/>
          <w:sz w:val="24"/>
          <w:szCs w:val="24"/>
          <w:u w:val="single"/>
        </w:rPr>
        <w:lastRenderedPageBreak/>
        <w:t>NPDES Implementation of Instream Dissolved Metals Standards – Freshwater Standards</w:t>
      </w:r>
    </w:p>
    <w:p w14:paraId="3B23F5A8" w14:textId="77777777" w:rsidR="001D0823" w:rsidRDefault="001D0823" w:rsidP="001D0823">
      <w:pPr>
        <w:rPr>
          <w:rFonts w:ascii="Garamond" w:hAnsi="Garamond"/>
          <w:szCs w:val="24"/>
        </w:rPr>
      </w:pPr>
      <w:r>
        <w:rPr>
          <w:rFonts w:ascii="Garamond" w:hAnsi="Garamond"/>
          <w:szCs w:val="24"/>
        </w:rPr>
        <w:t xml:space="preserve">The NC 2007-2015 Water Quality Standard (WQS) Triennial Review was approved by the NC Environmental Management Commission (EMC) on November 13, 2014.  The US EPA subsequently approved the WQS revisions on April 6, 2016, with some exceptions. Therefore, metal limits in draft permits out to public notice after April 6, 2016 must be calculated to protect the new standards - as approved.   </w:t>
      </w:r>
    </w:p>
    <w:p w14:paraId="6D93EEFE" w14:textId="77777777" w:rsidR="001D0823" w:rsidRDefault="001D0823" w:rsidP="001D0823">
      <w:pPr>
        <w:rPr>
          <w:rFonts w:ascii="Garamond" w:hAnsi="Garamond"/>
          <w:b/>
          <w:sz w:val="20"/>
          <w:szCs w:val="24"/>
        </w:rPr>
      </w:pPr>
      <w:r>
        <w:rPr>
          <w:rFonts w:ascii="Garamond" w:hAnsi="Garamond"/>
          <w:b/>
          <w:bCs/>
          <w:szCs w:val="24"/>
        </w:rPr>
        <w:t>Table 1. NC Dissolved Metals Water Quality Standards/Aquatic Life Protection</w:t>
      </w:r>
    </w:p>
    <w:tbl>
      <w:tblPr>
        <w:tblStyle w:val="TableGrid"/>
        <w:tblW w:w="0" w:type="auto"/>
        <w:tblLook w:val="04A0" w:firstRow="1" w:lastRow="0" w:firstColumn="1" w:lastColumn="0" w:noHBand="0" w:noVBand="1"/>
      </w:tblPr>
      <w:tblGrid>
        <w:gridCol w:w="1870"/>
        <w:gridCol w:w="1870"/>
        <w:gridCol w:w="1870"/>
        <w:gridCol w:w="1870"/>
        <w:gridCol w:w="1870"/>
      </w:tblGrid>
      <w:tr w:rsidR="001D0823" w14:paraId="3D64B733" w14:textId="77777777" w:rsidTr="001D0823">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F44729E" w14:textId="77777777" w:rsidR="001D0823" w:rsidRDefault="001D0823">
            <w:pPr>
              <w:rPr>
                <w:rFonts w:ascii="Garamond" w:hAnsi="Garamond"/>
                <w:szCs w:val="24"/>
              </w:rPr>
            </w:pPr>
            <w:r>
              <w:rPr>
                <w:rFonts w:ascii="Garamond" w:hAnsi="Garamond"/>
                <w:szCs w:val="24"/>
              </w:rPr>
              <w:t>Parameter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FEE0A69" w14:textId="77777777" w:rsidR="001D0823" w:rsidRDefault="001D0823">
            <w:pPr>
              <w:rPr>
                <w:rFonts w:ascii="Garamond" w:hAnsi="Garamond"/>
                <w:szCs w:val="24"/>
              </w:rPr>
            </w:pPr>
            <w:r>
              <w:rPr>
                <w:rFonts w:ascii="Garamond" w:hAnsi="Garamond"/>
                <w:szCs w:val="24"/>
              </w:rPr>
              <w:t>Acute FW, µg/l</w:t>
            </w:r>
          </w:p>
          <w:p w14:paraId="4A125761" w14:textId="77777777" w:rsidR="001D0823" w:rsidRDefault="001D0823">
            <w:pPr>
              <w:rPr>
                <w:rFonts w:ascii="Garamond" w:hAnsi="Garamond"/>
                <w:szCs w:val="24"/>
              </w:rPr>
            </w:pPr>
            <w:r>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CAEFA08" w14:textId="77777777" w:rsidR="001D0823" w:rsidRDefault="001D0823">
            <w:pPr>
              <w:rPr>
                <w:rFonts w:ascii="Garamond" w:hAnsi="Garamond"/>
                <w:szCs w:val="24"/>
              </w:rPr>
            </w:pPr>
            <w:r>
              <w:rPr>
                <w:rFonts w:ascii="Garamond" w:hAnsi="Garamond"/>
                <w:szCs w:val="24"/>
              </w:rPr>
              <w:t>Chronic FW, µg/l</w:t>
            </w:r>
          </w:p>
          <w:p w14:paraId="1FBADDEC" w14:textId="77777777" w:rsidR="001D0823" w:rsidRDefault="001D0823">
            <w:pPr>
              <w:rPr>
                <w:rFonts w:ascii="Garamond" w:hAnsi="Garamond"/>
                <w:szCs w:val="24"/>
              </w:rPr>
            </w:pPr>
            <w:r>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EE0787B" w14:textId="77777777" w:rsidR="001D0823" w:rsidRDefault="001D0823">
            <w:pPr>
              <w:rPr>
                <w:rFonts w:ascii="Garamond" w:hAnsi="Garamond"/>
                <w:szCs w:val="24"/>
              </w:rPr>
            </w:pPr>
            <w:r>
              <w:rPr>
                <w:rFonts w:ascii="Garamond" w:hAnsi="Garamond"/>
                <w:szCs w:val="24"/>
              </w:rPr>
              <w:t>Acute SW, µg/l</w:t>
            </w:r>
          </w:p>
          <w:p w14:paraId="647AE70A" w14:textId="77777777" w:rsidR="001D0823" w:rsidRDefault="001D0823">
            <w:pPr>
              <w:rPr>
                <w:rFonts w:ascii="Garamond" w:hAnsi="Garamond"/>
                <w:szCs w:val="24"/>
              </w:rPr>
            </w:pPr>
            <w:r>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tcPr>
          <w:p w14:paraId="59FE5B19" w14:textId="77777777" w:rsidR="001D0823" w:rsidRDefault="001D0823">
            <w:pPr>
              <w:rPr>
                <w:rFonts w:ascii="Garamond" w:hAnsi="Garamond"/>
                <w:szCs w:val="24"/>
              </w:rPr>
            </w:pPr>
            <w:r>
              <w:rPr>
                <w:rFonts w:ascii="Garamond" w:hAnsi="Garamond"/>
                <w:szCs w:val="24"/>
              </w:rPr>
              <w:t>Chronic SW, µg/l</w:t>
            </w:r>
          </w:p>
          <w:p w14:paraId="0DF9C093" w14:textId="77777777" w:rsidR="001D0823" w:rsidRDefault="001D0823">
            <w:pPr>
              <w:rPr>
                <w:rFonts w:ascii="Garamond" w:hAnsi="Garamond"/>
                <w:szCs w:val="24"/>
              </w:rPr>
            </w:pPr>
            <w:r>
              <w:rPr>
                <w:rFonts w:ascii="Garamond" w:hAnsi="Garamond"/>
                <w:szCs w:val="24"/>
              </w:rPr>
              <w:t>(Dissolved)</w:t>
            </w:r>
          </w:p>
          <w:p w14:paraId="415D8FDC" w14:textId="77777777" w:rsidR="001D0823" w:rsidRDefault="001D0823">
            <w:pPr>
              <w:rPr>
                <w:rFonts w:ascii="Garamond" w:hAnsi="Garamond"/>
                <w:szCs w:val="24"/>
              </w:rPr>
            </w:pPr>
          </w:p>
        </w:tc>
      </w:tr>
      <w:tr w:rsidR="001D0823" w14:paraId="222BD355" w14:textId="77777777" w:rsidTr="001D0823">
        <w:tc>
          <w:tcPr>
            <w:tcW w:w="1870" w:type="dxa"/>
            <w:tcBorders>
              <w:top w:val="single" w:sz="4" w:space="0" w:color="auto"/>
              <w:left w:val="single" w:sz="4" w:space="0" w:color="auto"/>
              <w:bottom w:val="single" w:sz="4" w:space="0" w:color="auto"/>
              <w:right w:val="single" w:sz="4" w:space="0" w:color="auto"/>
            </w:tcBorders>
            <w:hideMark/>
          </w:tcPr>
          <w:p w14:paraId="5BD4F5EB" w14:textId="77777777" w:rsidR="001D0823" w:rsidRDefault="001D0823">
            <w:pPr>
              <w:rPr>
                <w:rFonts w:ascii="Garamond" w:hAnsi="Garamond"/>
                <w:szCs w:val="24"/>
              </w:rPr>
            </w:pPr>
            <w:r>
              <w:rPr>
                <w:rFonts w:ascii="Garamond" w:hAnsi="Garamond"/>
                <w:szCs w:val="24"/>
              </w:rPr>
              <w:t>Arsenic</w:t>
            </w:r>
          </w:p>
        </w:tc>
        <w:tc>
          <w:tcPr>
            <w:tcW w:w="1870" w:type="dxa"/>
            <w:tcBorders>
              <w:top w:val="single" w:sz="4" w:space="0" w:color="auto"/>
              <w:left w:val="single" w:sz="4" w:space="0" w:color="auto"/>
              <w:bottom w:val="single" w:sz="4" w:space="0" w:color="auto"/>
              <w:right w:val="single" w:sz="4" w:space="0" w:color="auto"/>
            </w:tcBorders>
            <w:hideMark/>
          </w:tcPr>
          <w:p w14:paraId="13EB22C6" w14:textId="77777777" w:rsidR="001D0823" w:rsidRDefault="001D0823">
            <w:pPr>
              <w:rPr>
                <w:rFonts w:ascii="Garamond" w:hAnsi="Garamond"/>
                <w:szCs w:val="24"/>
              </w:rPr>
            </w:pPr>
            <w:r>
              <w:rPr>
                <w:rFonts w:ascii="Garamond" w:hAnsi="Garamond"/>
                <w:szCs w:val="24"/>
              </w:rPr>
              <w:t>340</w:t>
            </w:r>
          </w:p>
        </w:tc>
        <w:tc>
          <w:tcPr>
            <w:tcW w:w="1870" w:type="dxa"/>
            <w:tcBorders>
              <w:top w:val="single" w:sz="4" w:space="0" w:color="auto"/>
              <w:left w:val="single" w:sz="4" w:space="0" w:color="auto"/>
              <w:bottom w:val="single" w:sz="4" w:space="0" w:color="auto"/>
              <w:right w:val="single" w:sz="4" w:space="0" w:color="auto"/>
            </w:tcBorders>
            <w:hideMark/>
          </w:tcPr>
          <w:p w14:paraId="3EA1B6B5" w14:textId="77777777" w:rsidR="001D0823" w:rsidRDefault="001D0823">
            <w:pPr>
              <w:rPr>
                <w:rFonts w:ascii="Garamond" w:hAnsi="Garamond"/>
                <w:szCs w:val="24"/>
              </w:rPr>
            </w:pPr>
            <w:r>
              <w:rPr>
                <w:rFonts w:ascii="Garamond" w:hAnsi="Garamond"/>
                <w:szCs w:val="24"/>
              </w:rPr>
              <w:t>150</w:t>
            </w:r>
          </w:p>
        </w:tc>
        <w:tc>
          <w:tcPr>
            <w:tcW w:w="1870" w:type="dxa"/>
            <w:tcBorders>
              <w:top w:val="single" w:sz="4" w:space="0" w:color="auto"/>
              <w:left w:val="single" w:sz="4" w:space="0" w:color="auto"/>
              <w:bottom w:val="single" w:sz="4" w:space="0" w:color="auto"/>
              <w:right w:val="single" w:sz="4" w:space="0" w:color="auto"/>
            </w:tcBorders>
            <w:hideMark/>
          </w:tcPr>
          <w:p w14:paraId="5CEB211B" w14:textId="77777777" w:rsidR="001D0823" w:rsidRDefault="001D0823">
            <w:pPr>
              <w:rPr>
                <w:rFonts w:ascii="Garamond" w:hAnsi="Garamond"/>
                <w:szCs w:val="24"/>
              </w:rPr>
            </w:pPr>
            <w:r>
              <w:rPr>
                <w:rFonts w:ascii="Garamond" w:hAnsi="Garamond"/>
                <w:szCs w:val="24"/>
              </w:rPr>
              <w:t>69</w:t>
            </w:r>
          </w:p>
        </w:tc>
        <w:tc>
          <w:tcPr>
            <w:tcW w:w="1870" w:type="dxa"/>
            <w:tcBorders>
              <w:top w:val="single" w:sz="4" w:space="0" w:color="auto"/>
              <w:left w:val="single" w:sz="4" w:space="0" w:color="auto"/>
              <w:bottom w:val="single" w:sz="4" w:space="0" w:color="auto"/>
              <w:right w:val="single" w:sz="4" w:space="0" w:color="auto"/>
            </w:tcBorders>
            <w:hideMark/>
          </w:tcPr>
          <w:p w14:paraId="43620377" w14:textId="77777777" w:rsidR="001D0823" w:rsidRDefault="001D0823">
            <w:pPr>
              <w:rPr>
                <w:rFonts w:ascii="Garamond" w:hAnsi="Garamond"/>
                <w:szCs w:val="24"/>
              </w:rPr>
            </w:pPr>
            <w:r>
              <w:rPr>
                <w:rFonts w:ascii="Garamond" w:hAnsi="Garamond"/>
                <w:szCs w:val="24"/>
              </w:rPr>
              <w:t>36</w:t>
            </w:r>
          </w:p>
        </w:tc>
      </w:tr>
      <w:tr w:rsidR="001D0823" w14:paraId="6BBADB57" w14:textId="77777777" w:rsidTr="001D0823">
        <w:tc>
          <w:tcPr>
            <w:tcW w:w="1870" w:type="dxa"/>
            <w:tcBorders>
              <w:top w:val="single" w:sz="4" w:space="0" w:color="auto"/>
              <w:left w:val="single" w:sz="4" w:space="0" w:color="auto"/>
              <w:bottom w:val="single" w:sz="4" w:space="0" w:color="auto"/>
              <w:right w:val="single" w:sz="4" w:space="0" w:color="auto"/>
            </w:tcBorders>
            <w:hideMark/>
          </w:tcPr>
          <w:p w14:paraId="06573B53" w14:textId="77777777" w:rsidR="001D0823" w:rsidRDefault="001D0823">
            <w:pPr>
              <w:rPr>
                <w:rFonts w:ascii="Garamond" w:hAnsi="Garamond"/>
                <w:szCs w:val="24"/>
              </w:rPr>
            </w:pPr>
            <w:r>
              <w:rPr>
                <w:rFonts w:ascii="Garamond" w:hAnsi="Garamond"/>
                <w:szCs w:val="24"/>
              </w:rPr>
              <w:t>Beryllium</w:t>
            </w:r>
          </w:p>
        </w:tc>
        <w:tc>
          <w:tcPr>
            <w:tcW w:w="1870" w:type="dxa"/>
            <w:tcBorders>
              <w:top w:val="single" w:sz="4" w:space="0" w:color="auto"/>
              <w:left w:val="single" w:sz="4" w:space="0" w:color="auto"/>
              <w:bottom w:val="single" w:sz="4" w:space="0" w:color="auto"/>
              <w:right w:val="single" w:sz="4" w:space="0" w:color="auto"/>
            </w:tcBorders>
            <w:hideMark/>
          </w:tcPr>
          <w:p w14:paraId="5B8B91A7" w14:textId="77777777" w:rsidR="001D0823" w:rsidRDefault="001D0823">
            <w:pPr>
              <w:rPr>
                <w:rFonts w:ascii="Garamond" w:hAnsi="Garamond"/>
                <w:szCs w:val="24"/>
              </w:rPr>
            </w:pPr>
            <w:r>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14:paraId="145F9DD8" w14:textId="77777777" w:rsidR="001D0823" w:rsidRDefault="001D0823">
            <w:pPr>
              <w:rPr>
                <w:rFonts w:ascii="Garamond" w:hAnsi="Garamond"/>
                <w:szCs w:val="24"/>
              </w:rPr>
            </w:pPr>
            <w:r>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14:paraId="333729B5" w14:textId="77777777" w:rsidR="001D0823" w:rsidRDefault="001D0823">
            <w:pPr>
              <w:rPr>
                <w:rFonts w:ascii="Garamond" w:hAnsi="Garamond"/>
                <w:szCs w:val="24"/>
              </w:rPr>
            </w:pPr>
            <w:r>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14:paraId="6647CE1B" w14:textId="77777777" w:rsidR="001D0823" w:rsidRDefault="001D0823">
            <w:pPr>
              <w:rPr>
                <w:rFonts w:ascii="Garamond" w:hAnsi="Garamond"/>
                <w:szCs w:val="24"/>
              </w:rPr>
            </w:pPr>
            <w:r>
              <w:rPr>
                <w:rFonts w:ascii="Garamond" w:hAnsi="Garamond"/>
                <w:szCs w:val="24"/>
              </w:rPr>
              <w:t>---</w:t>
            </w:r>
          </w:p>
        </w:tc>
      </w:tr>
      <w:tr w:rsidR="001D0823" w14:paraId="17FAE471" w14:textId="77777777" w:rsidTr="001D0823">
        <w:tc>
          <w:tcPr>
            <w:tcW w:w="1870" w:type="dxa"/>
            <w:tcBorders>
              <w:top w:val="single" w:sz="4" w:space="0" w:color="auto"/>
              <w:left w:val="single" w:sz="4" w:space="0" w:color="auto"/>
              <w:bottom w:val="single" w:sz="4" w:space="0" w:color="auto"/>
              <w:right w:val="single" w:sz="4" w:space="0" w:color="auto"/>
            </w:tcBorders>
            <w:hideMark/>
          </w:tcPr>
          <w:p w14:paraId="7A7D8A45" w14:textId="77777777" w:rsidR="001D0823" w:rsidRDefault="001D0823">
            <w:pPr>
              <w:rPr>
                <w:rFonts w:ascii="Garamond" w:hAnsi="Garamond"/>
                <w:szCs w:val="24"/>
              </w:rPr>
            </w:pPr>
            <w:r>
              <w:rPr>
                <w:rFonts w:ascii="Garamond" w:hAnsi="Garamond"/>
                <w:szCs w:val="24"/>
              </w:rPr>
              <w:t>Cadmium</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D2E6809"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859FB8F"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6F147211" w14:textId="77777777" w:rsidR="001D0823" w:rsidRDefault="001D0823">
            <w:pPr>
              <w:rPr>
                <w:rFonts w:ascii="Garamond" w:hAnsi="Garamond"/>
                <w:szCs w:val="24"/>
              </w:rPr>
            </w:pPr>
            <w:r>
              <w:rPr>
                <w:rFonts w:ascii="Garamond" w:hAnsi="Garamond"/>
                <w:szCs w:val="24"/>
              </w:rPr>
              <w:t>40</w:t>
            </w:r>
          </w:p>
        </w:tc>
        <w:tc>
          <w:tcPr>
            <w:tcW w:w="1870" w:type="dxa"/>
            <w:tcBorders>
              <w:top w:val="single" w:sz="4" w:space="0" w:color="auto"/>
              <w:left w:val="single" w:sz="4" w:space="0" w:color="auto"/>
              <w:bottom w:val="single" w:sz="4" w:space="0" w:color="auto"/>
              <w:right w:val="single" w:sz="4" w:space="0" w:color="auto"/>
            </w:tcBorders>
            <w:hideMark/>
          </w:tcPr>
          <w:p w14:paraId="7E68DD33" w14:textId="77777777" w:rsidR="001D0823" w:rsidRDefault="001D0823">
            <w:pPr>
              <w:rPr>
                <w:rFonts w:ascii="Garamond" w:hAnsi="Garamond"/>
                <w:szCs w:val="24"/>
              </w:rPr>
            </w:pPr>
            <w:r>
              <w:rPr>
                <w:rFonts w:ascii="Garamond" w:hAnsi="Garamond"/>
                <w:szCs w:val="24"/>
              </w:rPr>
              <w:t>8.8</w:t>
            </w:r>
          </w:p>
        </w:tc>
      </w:tr>
      <w:tr w:rsidR="001D0823" w14:paraId="14FC5F44" w14:textId="77777777" w:rsidTr="001D0823">
        <w:tc>
          <w:tcPr>
            <w:tcW w:w="1870" w:type="dxa"/>
            <w:tcBorders>
              <w:top w:val="single" w:sz="4" w:space="0" w:color="auto"/>
              <w:left w:val="single" w:sz="4" w:space="0" w:color="auto"/>
              <w:bottom w:val="single" w:sz="4" w:space="0" w:color="auto"/>
              <w:right w:val="single" w:sz="4" w:space="0" w:color="auto"/>
            </w:tcBorders>
            <w:hideMark/>
          </w:tcPr>
          <w:p w14:paraId="0F1A80B8" w14:textId="77777777" w:rsidR="001D0823" w:rsidRDefault="001D0823">
            <w:pPr>
              <w:rPr>
                <w:rFonts w:ascii="Garamond" w:hAnsi="Garamond"/>
                <w:szCs w:val="24"/>
              </w:rPr>
            </w:pPr>
            <w:r>
              <w:rPr>
                <w:rFonts w:ascii="Garamond" w:hAnsi="Garamond"/>
                <w:szCs w:val="24"/>
              </w:rPr>
              <w:t>Chromium III</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C8D921"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23E8900"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141A9FD1" w14:textId="77777777" w:rsidR="001D0823" w:rsidRDefault="001D0823">
            <w:pPr>
              <w:rPr>
                <w:rFonts w:ascii="Garamond" w:hAnsi="Garamond"/>
                <w:szCs w:val="24"/>
              </w:rPr>
            </w:pPr>
            <w:r>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14:paraId="5C71CE18" w14:textId="77777777" w:rsidR="001D0823" w:rsidRDefault="001D0823">
            <w:pPr>
              <w:rPr>
                <w:rFonts w:ascii="Garamond" w:hAnsi="Garamond"/>
                <w:szCs w:val="24"/>
              </w:rPr>
            </w:pPr>
            <w:r>
              <w:rPr>
                <w:rFonts w:ascii="Garamond" w:hAnsi="Garamond"/>
                <w:szCs w:val="24"/>
              </w:rPr>
              <w:t>---</w:t>
            </w:r>
          </w:p>
        </w:tc>
      </w:tr>
      <w:tr w:rsidR="001D0823" w14:paraId="0744BD04" w14:textId="77777777" w:rsidTr="001D0823">
        <w:tc>
          <w:tcPr>
            <w:tcW w:w="1870" w:type="dxa"/>
            <w:tcBorders>
              <w:top w:val="single" w:sz="4" w:space="0" w:color="auto"/>
              <w:left w:val="single" w:sz="4" w:space="0" w:color="auto"/>
              <w:bottom w:val="single" w:sz="4" w:space="0" w:color="auto"/>
              <w:right w:val="single" w:sz="4" w:space="0" w:color="auto"/>
            </w:tcBorders>
            <w:hideMark/>
          </w:tcPr>
          <w:p w14:paraId="30DF6070" w14:textId="77777777" w:rsidR="001D0823" w:rsidRDefault="001D0823">
            <w:pPr>
              <w:rPr>
                <w:rFonts w:ascii="Garamond" w:hAnsi="Garamond"/>
                <w:szCs w:val="24"/>
              </w:rPr>
            </w:pPr>
            <w:r>
              <w:rPr>
                <w:rFonts w:ascii="Garamond" w:hAnsi="Garamond"/>
                <w:szCs w:val="24"/>
              </w:rPr>
              <w:t>Chromium VI</w:t>
            </w:r>
          </w:p>
        </w:tc>
        <w:tc>
          <w:tcPr>
            <w:tcW w:w="1870" w:type="dxa"/>
            <w:tcBorders>
              <w:top w:val="single" w:sz="4" w:space="0" w:color="auto"/>
              <w:left w:val="single" w:sz="4" w:space="0" w:color="auto"/>
              <w:bottom w:val="single" w:sz="4" w:space="0" w:color="auto"/>
              <w:right w:val="single" w:sz="4" w:space="0" w:color="auto"/>
            </w:tcBorders>
            <w:hideMark/>
          </w:tcPr>
          <w:p w14:paraId="04836D07" w14:textId="77777777" w:rsidR="001D0823" w:rsidRDefault="001D0823">
            <w:pPr>
              <w:rPr>
                <w:rFonts w:ascii="Garamond" w:hAnsi="Garamond"/>
                <w:szCs w:val="24"/>
              </w:rPr>
            </w:pPr>
            <w:r>
              <w:rPr>
                <w:rFonts w:ascii="Garamond" w:hAnsi="Garamond"/>
                <w:szCs w:val="24"/>
              </w:rPr>
              <w:t>16</w:t>
            </w:r>
          </w:p>
        </w:tc>
        <w:tc>
          <w:tcPr>
            <w:tcW w:w="1870" w:type="dxa"/>
            <w:tcBorders>
              <w:top w:val="single" w:sz="4" w:space="0" w:color="auto"/>
              <w:left w:val="single" w:sz="4" w:space="0" w:color="auto"/>
              <w:bottom w:val="single" w:sz="4" w:space="0" w:color="auto"/>
              <w:right w:val="single" w:sz="4" w:space="0" w:color="auto"/>
            </w:tcBorders>
            <w:hideMark/>
          </w:tcPr>
          <w:p w14:paraId="40FA4BD5" w14:textId="77777777" w:rsidR="001D0823" w:rsidRDefault="001D0823">
            <w:pPr>
              <w:rPr>
                <w:rFonts w:ascii="Garamond" w:hAnsi="Garamond"/>
                <w:szCs w:val="24"/>
              </w:rPr>
            </w:pPr>
            <w:r>
              <w:rPr>
                <w:rFonts w:ascii="Garamond" w:hAnsi="Garamond"/>
                <w:szCs w:val="24"/>
              </w:rPr>
              <w:t>11</w:t>
            </w:r>
          </w:p>
        </w:tc>
        <w:tc>
          <w:tcPr>
            <w:tcW w:w="1870" w:type="dxa"/>
            <w:tcBorders>
              <w:top w:val="single" w:sz="4" w:space="0" w:color="auto"/>
              <w:left w:val="single" w:sz="4" w:space="0" w:color="auto"/>
              <w:bottom w:val="single" w:sz="4" w:space="0" w:color="auto"/>
              <w:right w:val="single" w:sz="4" w:space="0" w:color="auto"/>
            </w:tcBorders>
            <w:hideMark/>
          </w:tcPr>
          <w:p w14:paraId="5D3BFD40" w14:textId="77777777" w:rsidR="001D0823" w:rsidRDefault="001D0823">
            <w:pPr>
              <w:rPr>
                <w:rFonts w:ascii="Garamond" w:hAnsi="Garamond"/>
                <w:szCs w:val="24"/>
              </w:rPr>
            </w:pPr>
            <w:r>
              <w:rPr>
                <w:rFonts w:ascii="Garamond" w:hAnsi="Garamond"/>
                <w:szCs w:val="24"/>
              </w:rPr>
              <w:t>1100</w:t>
            </w:r>
          </w:p>
        </w:tc>
        <w:tc>
          <w:tcPr>
            <w:tcW w:w="1870" w:type="dxa"/>
            <w:tcBorders>
              <w:top w:val="single" w:sz="4" w:space="0" w:color="auto"/>
              <w:left w:val="single" w:sz="4" w:space="0" w:color="auto"/>
              <w:bottom w:val="single" w:sz="4" w:space="0" w:color="auto"/>
              <w:right w:val="single" w:sz="4" w:space="0" w:color="auto"/>
            </w:tcBorders>
            <w:hideMark/>
          </w:tcPr>
          <w:p w14:paraId="616F560B" w14:textId="77777777" w:rsidR="001D0823" w:rsidRDefault="001D0823">
            <w:pPr>
              <w:rPr>
                <w:rFonts w:ascii="Garamond" w:hAnsi="Garamond"/>
                <w:szCs w:val="24"/>
              </w:rPr>
            </w:pPr>
            <w:r>
              <w:rPr>
                <w:rFonts w:ascii="Garamond" w:hAnsi="Garamond"/>
                <w:szCs w:val="24"/>
              </w:rPr>
              <w:t>50</w:t>
            </w:r>
          </w:p>
        </w:tc>
      </w:tr>
      <w:tr w:rsidR="001D0823" w14:paraId="20A9D0DA" w14:textId="77777777" w:rsidTr="001D0823">
        <w:tc>
          <w:tcPr>
            <w:tcW w:w="1870" w:type="dxa"/>
            <w:tcBorders>
              <w:top w:val="single" w:sz="4" w:space="0" w:color="auto"/>
              <w:left w:val="single" w:sz="4" w:space="0" w:color="auto"/>
              <w:bottom w:val="single" w:sz="4" w:space="0" w:color="auto"/>
              <w:right w:val="single" w:sz="4" w:space="0" w:color="auto"/>
            </w:tcBorders>
            <w:hideMark/>
          </w:tcPr>
          <w:p w14:paraId="7313EDD5" w14:textId="77777777" w:rsidR="001D0823" w:rsidRDefault="001D0823">
            <w:pPr>
              <w:rPr>
                <w:rFonts w:ascii="Garamond" w:hAnsi="Garamond"/>
                <w:szCs w:val="24"/>
              </w:rPr>
            </w:pPr>
            <w:r>
              <w:rPr>
                <w:rFonts w:ascii="Garamond" w:hAnsi="Garamond"/>
                <w:szCs w:val="24"/>
              </w:rPr>
              <w:t>Copper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E980B19"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9EEAEB4"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24B0E318" w14:textId="77777777" w:rsidR="001D0823" w:rsidRDefault="001D0823">
            <w:pPr>
              <w:rPr>
                <w:rFonts w:ascii="Garamond" w:hAnsi="Garamond"/>
                <w:szCs w:val="24"/>
              </w:rPr>
            </w:pPr>
            <w:r>
              <w:rPr>
                <w:rFonts w:ascii="Garamond" w:hAnsi="Garamond"/>
                <w:szCs w:val="24"/>
              </w:rPr>
              <w:t>4.8</w:t>
            </w:r>
          </w:p>
        </w:tc>
        <w:tc>
          <w:tcPr>
            <w:tcW w:w="1870" w:type="dxa"/>
            <w:tcBorders>
              <w:top w:val="single" w:sz="4" w:space="0" w:color="auto"/>
              <w:left w:val="single" w:sz="4" w:space="0" w:color="auto"/>
              <w:bottom w:val="single" w:sz="4" w:space="0" w:color="auto"/>
              <w:right w:val="single" w:sz="4" w:space="0" w:color="auto"/>
            </w:tcBorders>
            <w:hideMark/>
          </w:tcPr>
          <w:p w14:paraId="3104CFEF" w14:textId="77777777" w:rsidR="001D0823" w:rsidRDefault="001D0823">
            <w:pPr>
              <w:rPr>
                <w:rFonts w:ascii="Garamond" w:hAnsi="Garamond"/>
                <w:szCs w:val="24"/>
              </w:rPr>
            </w:pPr>
            <w:r>
              <w:rPr>
                <w:rFonts w:ascii="Garamond" w:hAnsi="Garamond"/>
                <w:szCs w:val="24"/>
              </w:rPr>
              <w:t>3.1</w:t>
            </w:r>
          </w:p>
        </w:tc>
      </w:tr>
      <w:tr w:rsidR="001D0823" w14:paraId="393FDD54" w14:textId="77777777" w:rsidTr="001D0823">
        <w:tc>
          <w:tcPr>
            <w:tcW w:w="1870" w:type="dxa"/>
            <w:tcBorders>
              <w:top w:val="single" w:sz="4" w:space="0" w:color="auto"/>
              <w:left w:val="single" w:sz="4" w:space="0" w:color="auto"/>
              <w:bottom w:val="single" w:sz="4" w:space="0" w:color="auto"/>
              <w:right w:val="single" w:sz="4" w:space="0" w:color="auto"/>
            </w:tcBorders>
            <w:hideMark/>
          </w:tcPr>
          <w:p w14:paraId="2DBE0A8C" w14:textId="77777777" w:rsidR="001D0823" w:rsidRDefault="001D0823">
            <w:pPr>
              <w:rPr>
                <w:rFonts w:ascii="Garamond" w:hAnsi="Garamond"/>
                <w:szCs w:val="24"/>
              </w:rPr>
            </w:pPr>
            <w:r>
              <w:rPr>
                <w:rFonts w:ascii="Garamond" w:hAnsi="Garamond"/>
                <w:szCs w:val="24"/>
              </w:rPr>
              <w:t>Lead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EA75E0B"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5CFCD40"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3001D077" w14:textId="77777777" w:rsidR="001D0823" w:rsidRDefault="001D0823">
            <w:pPr>
              <w:rPr>
                <w:rFonts w:ascii="Garamond" w:hAnsi="Garamond"/>
                <w:szCs w:val="24"/>
              </w:rPr>
            </w:pPr>
            <w:r>
              <w:rPr>
                <w:rFonts w:ascii="Garamond" w:hAnsi="Garamond"/>
                <w:szCs w:val="24"/>
              </w:rPr>
              <w:t>210</w:t>
            </w:r>
          </w:p>
        </w:tc>
        <w:tc>
          <w:tcPr>
            <w:tcW w:w="1870" w:type="dxa"/>
            <w:tcBorders>
              <w:top w:val="single" w:sz="4" w:space="0" w:color="auto"/>
              <w:left w:val="single" w:sz="4" w:space="0" w:color="auto"/>
              <w:bottom w:val="single" w:sz="4" w:space="0" w:color="auto"/>
              <w:right w:val="single" w:sz="4" w:space="0" w:color="auto"/>
            </w:tcBorders>
            <w:hideMark/>
          </w:tcPr>
          <w:p w14:paraId="50A73242" w14:textId="77777777" w:rsidR="001D0823" w:rsidRDefault="001D0823">
            <w:pPr>
              <w:rPr>
                <w:rFonts w:ascii="Garamond" w:hAnsi="Garamond"/>
                <w:szCs w:val="24"/>
              </w:rPr>
            </w:pPr>
            <w:r>
              <w:rPr>
                <w:rFonts w:ascii="Garamond" w:hAnsi="Garamond"/>
                <w:szCs w:val="24"/>
              </w:rPr>
              <w:t>8.1</w:t>
            </w:r>
          </w:p>
        </w:tc>
      </w:tr>
      <w:tr w:rsidR="001D0823" w14:paraId="5BA945FA" w14:textId="77777777" w:rsidTr="001D0823">
        <w:tc>
          <w:tcPr>
            <w:tcW w:w="1870" w:type="dxa"/>
            <w:tcBorders>
              <w:top w:val="single" w:sz="4" w:space="0" w:color="auto"/>
              <w:left w:val="single" w:sz="4" w:space="0" w:color="auto"/>
              <w:bottom w:val="single" w:sz="4" w:space="0" w:color="auto"/>
              <w:right w:val="single" w:sz="4" w:space="0" w:color="auto"/>
            </w:tcBorders>
            <w:hideMark/>
          </w:tcPr>
          <w:p w14:paraId="621AA0B4" w14:textId="77777777" w:rsidR="001D0823" w:rsidRDefault="001D0823">
            <w:pPr>
              <w:rPr>
                <w:rFonts w:ascii="Garamond" w:hAnsi="Garamond"/>
                <w:szCs w:val="24"/>
              </w:rPr>
            </w:pPr>
            <w:r>
              <w:rPr>
                <w:rFonts w:ascii="Garamond" w:hAnsi="Garamond"/>
                <w:szCs w:val="24"/>
              </w:rPr>
              <w:t>Nickel</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293F448"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0F2E4B"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6E6FDFAA" w14:textId="77777777" w:rsidR="001D0823" w:rsidRDefault="001D0823">
            <w:pPr>
              <w:rPr>
                <w:rFonts w:ascii="Garamond" w:hAnsi="Garamond"/>
                <w:szCs w:val="24"/>
              </w:rPr>
            </w:pPr>
            <w:r>
              <w:rPr>
                <w:rFonts w:ascii="Garamond" w:hAnsi="Garamond"/>
                <w:szCs w:val="24"/>
              </w:rPr>
              <w:t>74</w:t>
            </w:r>
          </w:p>
        </w:tc>
        <w:tc>
          <w:tcPr>
            <w:tcW w:w="1870" w:type="dxa"/>
            <w:tcBorders>
              <w:top w:val="single" w:sz="4" w:space="0" w:color="auto"/>
              <w:left w:val="single" w:sz="4" w:space="0" w:color="auto"/>
              <w:bottom w:val="single" w:sz="4" w:space="0" w:color="auto"/>
              <w:right w:val="single" w:sz="4" w:space="0" w:color="auto"/>
            </w:tcBorders>
            <w:hideMark/>
          </w:tcPr>
          <w:p w14:paraId="54E476AA" w14:textId="77777777" w:rsidR="001D0823" w:rsidRDefault="001D0823">
            <w:pPr>
              <w:rPr>
                <w:rFonts w:ascii="Garamond" w:hAnsi="Garamond"/>
                <w:szCs w:val="24"/>
              </w:rPr>
            </w:pPr>
            <w:r>
              <w:rPr>
                <w:rFonts w:ascii="Garamond" w:hAnsi="Garamond"/>
                <w:szCs w:val="24"/>
              </w:rPr>
              <w:t>8.2</w:t>
            </w:r>
          </w:p>
        </w:tc>
      </w:tr>
      <w:tr w:rsidR="001D0823" w14:paraId="0E2E5A5A" w14:textId="77777777" w:rsidTr="001D0823">
        <w:tc>
          <w:tcPr>
            <w:tcW w:w="1870" w:type="dxa"/>
            <w:tcBorders>
              <w:top w:val="single" w:sz="4" w:space="0" w:color="auto"/>
              <w:left w:val="single" w:sz="4" w:space="0" w:color="auto"/>
              <w:bottom w:val="single" w:sz="4" w:space="0" w:color="auto"/>
              <w:right w:val="single" w:sz="4" w:space="0" w:color="auto"/>
            </w:tcBorders>
            <w:hideMark/>
          </w:tcPr>
          <w:p w14:paraId="07EE6915" w14:textId="77777777" w:rsidR="001D0823" w:rsidRDefault="001D0823">
            <w:pPr>
              <w:rPr>
                <w:rFonts w:ascii="Garamond" w:hAnsi="Garamond"/>
                <w:szCs w:val="24"/>
              </w:rPr>
            </w:pPr>
            <w:r>
              <w:rPr>
                <w:rFonts w:ascii="Garamond" w:hAnsi="Garamond"/>
                <w:szCs w:val="24"/>
              </w:rPr>
              <w:t>Silver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041F543"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5D6AF2BD" w14:textId="77777777" w:rsidR="001D0823" w:rsidRDefault="001D0823">
            <w:pPr>
              <w:rPr>
                <w:rFonts w:ascii="Garamond" w:hAnsi="Garamond"/>
                <w:szCs w:val="24"/>
              </w:rPr>
            </w:pPr>
            <w:r>
              <w:rPr>
                <w:rFonts w:ascii="Garamond" w:hAnsi="Garamond"/>
                <w:szCs w:val="24"/>
              </w:rPr>
              <w:t>0.06</w:t>
            </w:r>
          </w:p>
        </w:tc>
        <w:tc>
          <w:tcPr>
            <w:tcW w:w="1870" w:type="dxa"/>
            <w:tcBorders>
              <w:top w:val="single" w:sz="4" w:space="0" w:color="auto"/>
              <w:left w:val="single" w:sz="4" w:space="0" w:color="auto"/>
              <w:bottom w:val="single" w:sz="4" w:space="0" w:color="auto"/>
              <w:right w:val="single" w:sz="4" w:space="0" w:color="auto"/>
            </w:tcBorders>
            <w:hideMark/>
          </w:tcPr>
          <w:p w14:paraId="6AEF2FF9" w14:textId="77777777" w:rsidR="001D0823" w:rsidRDefault="001D0823">
            <w:pPr>
              <w:rPr>
                <w:rFonts w:ascii="Garamond" w:hAnsi="Garamond"/>
                <w:szCs w:val="24"/>
              </w:rPr>
            </w:pPr>
            <w:r>
              <w:rPr>
                <w:rFonts w:ascii="Garamond" w:hAnsi="Garamond"/>
                <w:szCs w:val="24"/>
              </w:rPr>
              <w:t>1.9</w:t>
            </w:r>
          </w:p>
        </w:tc>
        <w:tc>
          <w:tcPr>
            <w:tcW w:w="1870" w:type="dxa"/>
            <w:tcBorders>
              <w:top w:val="single" w:sz="4" w:space="0" w:color="auto"/>
              <w:left w:val="single" w:sz="4" w:space="0" w:color="auto"/>
              <w:bottom w:val="single" w:sz="4" w:space="0" w:color="auto"/>
              <w:right w:val="single" w:sz="4" w:space="0" w:color="auto"/>
            </w:tcBorders>
            <w:hideMark/>
          </w:tcPr>
          <w:p w14:paraId="75105233" w14:textId="77777777" w:rsidR="001D0823" w:rsidRDefault="001D0823">
            <w:pPr>
              <w:rPr>
                <w:rFonts w:ascii="Garamond" w:hAnsi="Garamond"/>
                <w:szCs w:val="24"/>
              </w:rPr>
            </w:pPr>
            <w:r>
              <w:rPr>
                <w:rFonts w:ascii="Garamond" w:hAnsi="Garamond"/>
                <w:szCs w:val="24"/>
              </w:rPr>
              <w:t>0.1</w:t>
            </w:r>
          </w:p>
        </w:tc>
      </w:tr>
      <w:tr w:rsidR="001D0823" w14:paraId="55D4E167" w14:textId="77777777" w:rsidTr="001D0823">
        <w:tc>
          <w:tcPr>
            <w:tcW w:w="1870" w:type="dxa"/>
            <w:tcBorders>
              <w:top w:val="single" w:sz="4" w:space="0" w:color="auto"/>
              <w:left w:val="single" w:sz="4" w:space="0" w:color="auto"/>
              <w:bottom w:val="single" w:sz="4" w:space="0" w:color="auto"/>
              <w:right w:val="single" w:sz="4" w:space="0" w:color="auto"/>
            </w:tcBorders>
            <w:hideMark/>
          </w:tcPr>
          <w:p w14:paraId="234CF0DC" w14:textId="77777777" w:rsidR="001D0823" w:rsidRDefault="001D0823">
            <w:pPr>
              <w:rPr>
                <w:rFonts w:ascii="Garamond" w:hAnsi="Garamond"/>
                <w:szCs w:val="24"/>
              </w:rPr>
            </w:pPr>
            <w:r>
              <w:rPr>
                <w:rFonts w:ascii="Garamond" w:hAnsi="Garamond"/>
                <w:szCs w:val="24"/>
              </w:rPr>
              <w:t>Zinc</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9C0EA4F"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8E9AFFD" w14:textId="77777777" w:rsidR="001D0823" w:rsidRDefault="001D0823">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18116E34" w14:textId="77777777" w:rsidR="001D0823" w:rsidRDefault="001D0823">
            <w:pPr>
              <w:rPr>
                <w:rFonts w:ascii="Garamond" w:hAnsi="Garamond"/>
                <w:szCs w:val="24"/>
              </w:rPr>
            </w:pPr>
            <w:r>
              <w:rPr>
                <w:rFonts w:ascii="Garamond" w:hAnsi="Garamond"/>
                <w:szCs w:val="24"/>
              </w:rPr>
              <w:t>90</w:t>
            </w:r>
          </w:p>
        </w:tc>
        <w:tc>
          <w:tcPr>
            <w:tcW w:w="1870" w:type="dxa"/>
            <w:tcBorders>
              <w:top w:val="single" w:sz="4" w:space="0" w:color="auto"/>
              <w:left w:val="single" w:sz="4" w:space="0" w:color="auto"/>
              <w:bottom w:val="single" w:sz="4" w:space="0" w:color="auto"/>
              <w:right w:val="single" w:sz="4" w:space="0" w:color="auto"/>
            </w:tcBorders>
            <w:hideMark/>
          </w:tcPr>
          <w:p w14:paraId="6FBD8CF1" w14:textId="77777777" w:rsidR="001D0823" w:rsidRDefault="001D0823">
            <w:pPr>
              <w:rPr>
                <w:rFonts w:ascii="Garamond" w:hAnsi="Garamond"/>
                <w:szCs w:val="24"/>
              </w:rPr>
            </w:pPr>
            <w:r>
              <w:rPr>
                <w:rFonts w:ascii="Garamond" w:hAnsi="Garamond"/>
                <w:szCs w:val="24"/>
              </w:rPr>
              <w:t>81</w:t>
            </w:r>
          </w:p>
        </w:tc>
      </w:tr>
    </w:tbl>
    <w:p w14:paraId="62D7FCF7" w14:textId="77777777" w:rsidR="001D0823" w:rsidRDefault="001D0823" w:rsidP="001D0823">
      <w:pPr>
        <w:pStyle w:val="NoSpacing"/>
        <w:rPr>
          <w:rFonts w:ascii="Garamond" w:hAnsi="Garamond" w:cs="Times New Roman"/>
          <w:sz w:val="24"/>
          <w:szCs w:val="24"/>
        </w:rPr>
      </w:pPr>
    </w:p>
    <w:p w14:paraId="131073B0" w14:textId="77777777" w:rsidR="001D0823" w:rsidRDefault="001D0823" w:rsidP="001D0823">
      <w:pPr>
        <w:pStyle w:val="NoSpacing"/>
        <w:rPr>
          <w:rFonts w:ascii="Garamond" w:hAnsi="Garamond" w:cs="Times New Roman"/>
          <w:sz w:val="24"/>
          <w:szCs w:val="24"/>
        </w:rPr>
      </w:pPr>
      <w:r>
        <w:rPr>
          <w:rFonts w:ascii="Garamond" w:eastAsia="Times New Roman" w:hAnsi="Garamond" w:cs="Times New Roman"/>
          <w:sz w:val="24"/>
          <w:szCs w:val="24"/>
        </w:rPr>
        <w:t>Table 1 Notes:</w:t>
      </w:r>
    </w:p>
    <w:p w14:paraId="7932E640" w14:textId="77777777" w:rsidR="001D0823" w:rsidRDefault="001D0823" w:rsidP="001D0823">
      <w:pPr>
        <w:pStyle w:val="NoSpacing"/>
        <w:numPr>
          <w:ilvl w:val="0"/>
          <w:numId w:val="36"/>
        </w:numPr>
        <w:rPr>
          <w:rFonts w:ascii="Garamond" w:eastAsia="Times New Roman" w:hAnsi="Garamond" w:cs="Times New Roman"/>
          <w:sz w:val="24"/>
          <w:szCs w:val="24"/>
        </w:rPr>
      </w:pPr>
      <w:r>
        <w:rPr>
          <w:rFonts w:ascii="Garamond" w:eastAsia="Times New Roman" w:hAnsi="Garamond" w:cs="Times New Roman"/>
          <w:sz w:val="24"/>
          <w:szCs w:val="24"/>
        </w:rPr>
        <w:t>FW= Freshwater, SW= Saltwater</w:t>
      </w:r>
    </w:p>
    <w:p w14:paraId="30B811BF" w14:textId="77777777" w:rsidR="001D0823" w:rsidRDefault="001D0823" w:rsidP="001D0823">
      <w:pPr>
        <w:pStyle w:val="NoSpacing"/>
        <w:numPr>
          <w:ilvl w:val="0"/>
          <w:numId w:val="36"/>
        </w:numPr>
        <w:rPr>
          <w:rFonts w:ascii="Garamond" w:hAnsi="Garamond" w:cs="Times New Roman"/>
          <w:sz w:val="24"/>
          <w:szCs w:val="24"/>
        </w:rPr>
      </w:pPr>
      <w:r>
        <w:rPr>
          <w:rFonts w:ascii="Garamond" w:hAnsi="Garamond" w:cs="Times New Roman"/>
          <w:sz w:val="24"/>
          <w:szCs w:val="24"/>
          <w:highlight w:val="lightGray"/>
        </w:rPr>
        <w:t>Calculation</w:t>
      </w:r>
      <w:r>
        <w:rPr>
          <w:rFonts w:ascii="Garamond" w:hAnsi="Garamond" w:cs="Times New Roman"/>
          <w:sz w:val="24"/>
          <w:szCs w:val="24"/>
        </w:rPr>
        <w:t xml:space="preserve"> = Hardness dependent standard</w:t>
      </w:r>
    </w:p>
    <w:p w14:paraId="208DA6D4" w14:textId="77777777" w:rsidR="001D0823" w:rsidRDefault="001D0823" w:rsidP="001D0823">
      <w:pPr>
        <w:pStyle w:val="ListParagraph"/>
        <w:numPr>
          <w:ilvl w:val="0"/>
          <w:numId w:val="36"/>
        </w:numPr>
        <w:spacing w:after="160" w:line="252" w:lineRule="auto"/>
        <w:rPr>
          <w:rFonts w:ascii="Garamond" w:hAnsi="Garamond"/>
          <w:szCs w:val="24"/>
        </w:rPr>
      </w:pPr>
      <w:r>
        <w:rPr>
          <w:rFonts w:ascii="Garamond" w:hAnsi="Garamond"/>
          <w:szCs w:val="24"/>
        </w:rPr>
        <w:t xml:space="preserve">Only the aquatic life standards listed above are expressed in dissolved form.  Aquatic life standards for Mercury and selenium are still expressed as Total Recoverable Metals due to </w:t>
      </w:r>
      <w:proofErr w:type="spellStart"/>
      <w:r>
        <w:rPr>
          <w:rFonts w:ascii="Garamond" w:hAnsi="Garamond"/>
          <w:szCs w:val="24"/>
        </w:rPr>
        <w:t>bioaccumulative</w:t>
      </w:r>
      <w:proofErr w:type="spellEnd"/>
      <w:r>
        <w:rPr>
          <w:rFonts w:ascii="Garamond" w:hAnsi="Garamond"/>
          <w:szCs w:val="24"/>
        </w:rPr>
        <w:t xml:space="preserve"> concerns (as are all human health standards for all metals).  It is still necessary to evaluate total recoverable aquatic life and human health standards listed in 15A NCAC 2B.0200 (e.g., arsenic at 10 µg/l for human health protection; cyanide at 5 µg/L and fluoride at 1.8 mg/L for aquatic life protection).  </w:t>
      </w:r>
    </w:p>
    <w:p w14:paraId="7545CFB4" w14:textId="77777777" w:rsidR="001D0823" w:rsidRDefault="001D0823" w:rsidP="001D0823">
      <w:pPr>
        <w:pStyle w:val="ListParagraph"/>
        <w:rPr>
          <w:rFonts w:ascii="Garamond" w:hAnsi="Garamond"/>
          <w:szCs w:val="24"/>
        </w:rPr>
      </w:pPr>
    </w:p>
    <w:p w14:paraId="123E318B" w14:textId="77777777" w:rsidR="001D0823" w:rsidRDefault="001D0823" w:rsidP="001D0823">
      <w:pPr>
        <w:pStyle w:val="NoSpacing"/>
        <w:rPr>
          <w:rFonts w:ascii="Garamond" w:hAnsi="Garamond" w:cs="Times New Roman"/>
          <w:b/>
          <w:sz w:val="24"/>
          <w:szCs w:val="24"/>
        </w:rPr>
      </w:pPr>
      <w:r>
        <w:rPr>
          <w:rFonts w:ascii="Garamond" w:eastAsia="Times New Roman" w:hAnsi="Garamond" w:cs="Times New Roman"/>
          <w:b/>
          <w:bCs/>
          <w:sz w:val="24"/>
          <w:szCs w:val="24"/>
        </w:rPr>
        <w:t>Table 2. Dissolved Freshwater Standards for Hardness-Dependent Metals</w:t>
      </w:r>
    </w:p>
    <w:p w14:paraId="76FF4C6D" w14:textId="77777777" w:rsidR="001D0823" w:rsidRDefault="001D0823" w:rsidP="001D0823">
      <w:pPr>
        <w:pStyle w:val="NoSpacing"/>
        <w:ind w:left="1440"/>
        <w:rPr>
          <w:rFonts w:ascii="Garamond" w:hAnsi="Garamond" w:cs="Times New Roman"/>
          <w:sz w:val="24"/>
          <w:szCs w:val="24"/>
        </w:rPr>
      </w:pPr>
      <w:r>
        <w:rPr>
          <w:rFonts w:ascii="Garamond" w:eastAsia="Times New Roman" w:hAnsi="Garamond" w:cs="Times New Roman"/>
          <w:sz w:val="24"/>
          <w:szCs w:val="24"/>
        </w:rPr>
        <w:t>The Water Effects Ratio (WER) is equal to one unless determined otherwise under 15A NCAC 02B .0211 Subparagraph (11)(d)</w:t>
      </w:r>
    </w:p>
    <w:p w14:paraId="3B23F4DF" w14:textId="77777777" w:rsidR="001D0823" w:rsidRDefault="001D0823" w:rsidP="001D0823">
      <w:pPr>
        <w:pStyle w:val="NoSpacing"/>
        <w:rPr>
          <w:rFonts w:ascii="Garamond" w:hAnsi="Garamond" w:cs="Times New Roman"/>
          <w:sz w:val="24"/>
          <w:szCs w:val="24"/>
        </w:rPr>
      </w:pP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660"/>
      </w:tblGrid>
      <w:tr w:rsidR="001D0823" w14:paraId="01F8F512"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75F1D7" w14:textId="77777777" w:rsidR="001D0823" w:rsidRDefault="001D0823">
            <w:pPr>
              <w:rPr>
                <w:rFonts w:ascii="Garamond" w:hAnsi="Garamond"/>
                <w:szCs w:val="24"/>
              </w:rPr>
            </w:pPr>
            <w:r>
              <w:rPr>
                <w:rFonts w:ascii="Garamond" w:hAnsi="Garamond"/>
                <w:szCs w:val="24"/>
              </w:rPr>
              <w:t xml:space="preserve">Metal </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CBB559" w14:textId="77777777" w:rsidR="001D0823" w:rsidRDefault="001D0823">
            <w:pPr>
              <w:rPr>
                <w:rFonts w:ascii="Garamond" w:hAnsi="Garamond"/>
                <w:sz w:val="20"/>
                <w:szCs w:val="24"/>
              </w:rPr>
            </w:pPr>
            <w:r>
              <w:rPr>
                <w:rFonts w:ascii="Garamond" w:hAnsi="Garamond"/>
                <w:szCs w:val="24"/>
              </w:rPr>
              <w:t>NC Dissolved Standard, µg/l</w:t>
            </w:r>
          </w:p>
        </w:tc>
      </w:tr>
      <w:tr w:rsidR="001D0823" w14:paraId="5F38B301"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DE6FEE"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Cadmium,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78E6BC"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WER*{1.136672-[</w:t>
            </w:r>
            <w:r>
              <w:rPr>
                <w:rFonts w:ascii="Garamond" w:hAnsi="Garamond"/>
                <w:i/>
                <w:iCs/>
                <w:sz w:val="24"/>
                <w:szCs w:val="24"/>
              </w:rPr>
              <w:t>ln</w:t>
            </w:r>
            <w:r>
              <w:rPr>
                <w:rFonts w:ascii="Garamond" w:hAnsi="Garamond"/>
                <w:sz w:val="24"/>
                <w:szCs w:val="24"/>
              </w:rPr>
              <w:t xml:space="preserve"> hardness](0.041838)}</w:t>
            </w:r>
            <w:r>
              <w:rPr>
                <w:rFonts w:ascii="Garamond" w:hAnsi="Garamond"/>
                <w:i/>
                <w:iCs/>
                <w:sz w:val="24"/>
                <w:szCs w:val="24"/>
              </w:rPr>
              <w:t xml:space="preserve"> ∙ e</w:t>
            </w:r>
            <w:r>
              <w:rPr>
                <w:rFonts w:ascii="Garamond" w:hAnsi="Garamond"/>
                <w:sz w:val="24"/>
                <w:szCs w:val="24"/>
              </w:rPr>
              <w:t>^{0.9151 [</w:t>
            </w:r>
            <w:r>
              <w:rPr>
                <w:rFonts w:ascii="Garamond" w:hAnsi="Garamond"/>
                <w:i/>
                <w:iCs/>
                <w:sz w:val="24"/>
                <w:szCs w:val="24"/>
              </w:rPr>
              <w:t>ln</w:t>
            </w:r>
            <w:r>
              <w:rPr>
                <w:rFonts w:ascii="Garamond" w:hAnsi="Garamond"/>
                <w:sz w:val="24"/>
                <w:szCs w:val="24"/>
              </w:rPr>
              <w:t xml:space="preserve"> hardness]-3.1485}  </w:t>
            </w:r>
          </w:p>
        </w:tc>
      </w:tr>
      <w:tr w:rsidR="001D0823" w14:paraId="71AD8BD2"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381F1B"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Cadmium, Acute Trout waters</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0E1E50"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WER*{1.136672-[</w:t>
            </w:r>
            <w:r>
              <w:rPr>
                <w:rFonts w:ascii="Garamond" w:hAnsi="Garamond"/>
                <w:i/>
                <w:iCs/>
                <w:sz w:val="24"/>
                <w:szCs w:val="24"/>
              </w:rPr>
              <w:t>ln</w:t>
            </w:r>
            <w:r>
              <w:rPr>
                <w:rFonts w:ascii="Garamond" w:hAnsi="Garamond"/>
                <w:sz w:val="24"/>
                <w:szCs w:val="24"/>
              </w:rPr>
              <w:t xml:space="preserve"> hardness](0.041838)} </w:t>
            </w:r>
            <w:r>
              <w:rPr>
                <w:rFonts w:ascii="Garamond" w:hAnsi="Garamond"/>
                <w:i/>
                <w:iCs/>
                <w:sz w:val="24"/>
                <w:szCs w:val="24"/>
              </w:rPr>
              <w:t>∙</w:t>
            </w:r>
            <w:r>
              <w:rPr>
                <w:rFonts w:ascii="Garamond" w:hAnsi="Garamond"/>
                <w:sz w:val="24"/>
                <w:szCs w:val="24"/>
              </w:rPr>
              <w:t xml:space="preserve"> </w:t>
            </w:r>
            <w:r>
              <w:rPr>
                <w:rFonts w:ascii="Garamond" w:hAnsi="Garamond"/>
                <w:i/>
                <w:iCs/>
                <w:sz w:val="24"/>
                <w:szCs w:val="24"/>
              </w:rPr>
              <w:t>e</w:t>
            </w:r>
            <w:r>
              <w:rPr>
                <w:rFonts w:ascii="Garamond" w:hAnsi="Garamond"/>
                <w:sz w:val="24"/>
                <w:szCs w:val="24"/>
              </w:rPr>
              <w:t>^{0.9151[</w:t>
            </w:r>
            <w:r>
              <w:rPr>
                <w:rFonts w:ascii="Garamond" w:hAnsi="Garamond"/>
                <w:i/>
                <w:iCs/>
                <w:sz w:val="24"/>
                <w:szCs w:val="24"/>
              </w:rPr>
              <w:t>ln</w:t>
            </w:r>
            <w:r>
              <w:rPr>
                <w:rFonts w:ascii="Garamond" w:hAnsi="Garamond"/>
                <w:sz w:val="24"/>
                <w:szCs w:val="24"/>
              </w:rPr>
              <w:t xml:space="preserve"> hardness]-3.6236}</w:t>
            </w:r>
          </w:p>
        </w:tc>
      </w:tr>
      <w:tr w:rsidR="001D0823" w14:paraId="604D0F2B"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D9F04D"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Cadmium, Chronic </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E47AF0"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WER*{1.101672-[</w:t>
            </w:r>
            <w:r>
              <w:rPr>
                <w:rFonts w:ascii="Garamond" w:hAnsi="Garamond"/>
                <w:i/>
                <w:iCs/>
                <w:sz w:val="24"/>
                <w:szCs w:val="24"/>
              </w:rPr>
              <w:t>ln</w:t>
            </w:r>
            <w:r>
              <w:rPr>
                <w:rFonts w:ascii="Garamond" w:hAnsi="Garamond"/>
                <w:sz w:val="24"/>
                <w:szCs w:val="24"/>
              </w:rPr>
              <w:t xml:space="preserve"> hardness](0.041838)} </w:t>
            </w:r>
            <w:r>
              <w:rPr>
                <w:rFonts w:ascii="Garamond" w:hAnsi="Garamond"/>
                <w:i/>
                <w:iCs/>
                <w:sz w:val="24"/>
                <w:szCs w:val="24"/>
              </w:rPr>
              <w:t>∙</w:t>
            </w:r>
            <w:r>
              <w:rPr>
                <w:rFonts w:ascii="Garamond" w:hAnsi="Garamond"/>
                <w:sz w:val="24"/>
                <w:szCs w:val="24"/>
              </w:rPr>
              <w:t xml:space="preserve"> </w:t>
            </w:r>
            <w:r>
              <w:rPr>
                <w:rFonts w:ascii="Garamond" w:hAnsi="Garamond"/>
                <w:i/>
                <w:iCs/>
                <w:sz w:val="24"/>
                <w:szCs w:val="24"/>
              </w:rPr>
              <w:t>e</w:t>
            </w:r>
            <w:r>
              <w:rPr>
                <w:rFonts w:ascii="Garamond" w:hAnsi="Garamond"/>
                <w:sz w:val="24"/>
                <w:szCs w:val="24"/>
              </w:rPr>
              <w:t>^{0.7998[</w:t>
            </w:r>
            <w:r>
              <w:rPr>
                <w:rFonts w:ascii="Garamond" w:hAnsi="Garamond"/>
                <w:i/>
                <w:iCs/>
                <w:sz w:val="24"/>
                <w:szCs w:val="24"/>
              </w:rPr>
              <w:t>ln</w:t>
            </w:r>
            <w:r>
              <w:rPr>
                <w:rFonts w:ascii="Garamond" w:hAnsi="Garamond"/>
                <w:sz w:val="24"/>
                <w:szCs w:val="24"/>
              </w:rPr>
              <w:t xml:space="preserve"> hardness]-4.4451} </w:t>
            </w:r>
          </w:p>
        </w:tc>
      </w:tr>
      <w:tr w:rsidR="001D0823" w14:paraId="43D25D01"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4BD77D"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lastRenderedPageBreak/>
              <w:t>Chromium III,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969B59"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WER*0.316 </w:t>
            </w:r>
            <w:r>
              <w:rPr>
                <w:rFonts w:ascii="Garamond" w:hAnsi="Garamond"/>
                <w:i/>
                <w:iCs/>
                <w:sz w:val="24"/>
                <w:szCs w:val="24"/>
              </w:rPr>
              <w:t>∙</w:t>
            </w:r>
            <w:r>
              <w:rPr>
                <w:rFonts w:ascii="Garamond" w:hAnsi="Garamond"/>
                <w:sz w:val="24"/>
                <w:szCs w:val="24"/>
              </w:rPr>
              <w:t xml:space="preserve"> </w:t>
            </w:r>
            <w:r>
              <w:rPr>
                <w:rFonts w:ascii="Garamond" w:hAnsi="Garamond"/>
                <w:i/>
                <w:iCs/>
                <w:sz w:val="24"/>
                <w:szCs w:val="24"/>
              </w:rPr>
              <w:t>e</w:t>
            </w:r>
            <w:r>
              <w:rPr>
                <w:rFonts w:ascii="Garamond" w:hAnsi="Garamond"/>
                <w:sz w:val="24"/>
                <w:szCs w:val="24"/>
              </w:rPr>
              <w:t>^{0.8190[</w:t>
            </w:r>
            <w:r>
              <w:rPr>
                <w:rFonts w:ascii="Garamond" w:hAnsi="Garamond"/>
                <w:i/>
                <w:iCs/>
                <w:sz w:val="24"/>
                <w:szCs w:val="24"/>
              </w:rPr>
              <w:t>ln</w:t>
            </w:r>
            <w:r>
              <w:rPr>
                <w:rFonts w:ascii="Garamond" w:hAnsi="Garamond"/>
                <w:sz w:val="24"/>
                <w:szCs w:val="24"/>
              </w:rPr>
              <w:t xml:space="preserve"> hardness]+3.7256}</w:t>
            </w:r>
          </w:p>
        </w:tc>
      </w:tr>
      <w:tr w:rsidR="001D0823" w14:paraId="1DF93B13"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46C7A0"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Chromium III,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654447"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WER*0.860 ∙ </w:t>
            </w:r>
            <w:r>
              <w:rPr>
                <w:rFonts w:ascii="Garamond" w:hAnsi="Garamond"/>
                <w:i/>
                <w:iCs/>
                <w:sz w:val="24"/>
                <w:szCs w:val="24"/>
              </w:rPr>
              <w:t>e</w:t>
            </w:r>
            <w:r>
              <w:rPr>
                <w:rFonts w:ascii="Garamond" w:hAnsi="Garamond"/>
                <w:sz w:val="24"/>
                <w:szCs w:val="24"/>
              </w:rPr>
              <w:t>^{0.8190[</w:t>
            </w:r>
            <w:r>
              <w:rPr>
                <w:rFonts w:ascii="Garamond" w:hAnsi="Garamond"/>
                <w:i/>
                <w:iCs/>
                <w:sz w:val="24"/>
                <w:szCs w:val="24"/>
              </w:rPr>
              <w:t>ln</w:t>
            </w:r>
            <w:r>
              <w:rPr>
                <w:rFonts w:ascii="Garamond" w:hAnsi="Garamond"/>
                <w:sz w:val="24"/>
                <w:szCs w:val="24"/>
              </w:rPr>
              <w:t xml:space="preserve"> hardness]+0.6848} </w:t>
            </w:r>
          </w:p>
        </w:tc>
      </w:tr>
      <w:tr w:rsidR="001D0823" w14:paraId="3AE73D63"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5C153A"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Copper,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A73D4B" w14:textId="77777777" w:rsidR="001D0823" w:rsidRDefault="001D0823">
            <w:pPr>
              <w:pStyle w:val="SubItemLvl2"/>
              <w:spacing w:line="360" w:lineRule="auto"/>
              <w:ind w:left="0" w:firstLine="0"/>
              <w:rPr>
                <w:rFonts w:ascii="Garamond" w:hAnsi="Garamond"/>
                <w:sz w:val="24"/>
                <w:szCs w:val="24"/>
              </w:rPr>
            </w:pPr>
            <w:r>
              <w:rPr>
                <w:rFonts w:ascii="Garamond" w:hAnsi="Garamond"/>
                <w:sz w:val="24"/>
                <w:szCs w:val="24"/>
              </w:rPr>
              <w:t xml:space="preserve">WER*0.960 ∙ </w:t>
            </w:r>
            <w:r>
              <w:rPr>
                <w:rFonts w:ascii="Garamond" w:hAnsi="Garamond"/>
                <w:i/>
                <w:iCs/>
                <w:sz w:val="24"/>
                <w:szCs w:val="24"/>
              </w:rPr>
              <w:t>e</w:t>
            </w:r>
            <w:r>
              <w:rPr>
                <w:rFonts w:ascii="Garamond" w:hAnsi="Garamond"/>
                <w:sz w:val="24"/>
                <w:szCs w:val="24"/>
              </w:rPr>
              <w:t>^{0.9422[</w:t>
            </w:r>
            <w:r>
              <w:rPr>
                <w:rFonts w:ascii="Garamond" w:hAnsi="Garamond"/>
                <w:i/>
                <w:iCs/>
                <w:sz w:val="24"/>
                <w:szCs w:val="24"/>
              </w:rPr>
              <w:t>ln</w:t>
            </w:r>
            <w:r>
              <w:rPr>
                <w:rFonts w:ascii="Garamond" w:hAnsi="Garamond"/>
                <w:sz w:val="24"/>
                <w:szCs w:val="24"/>
              </w:rPr>
              <w:t xml:space="preserve"> hardness]-1.700} </w:t>
            </w:r>
          </w:p>
        </w:tc>
      </w:tr>
      <w:tr w:rsidR="001D0823" w14:paraId="0A2964BC"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2AE252"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Copper,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393816"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WER*0.960 ∙ </w:t>
            </w:r>
            <w:r>
              <w:rPr>
                <w:rFonts w:ascii="Garamond" w:hAnsi="Garamond"/>
                <w:i/>
                <w:iCs/>
                <w:sz w:val="24"/>
                <w:szCs w:val="24"/>
              </w:rPr>
              <w:t>e</w:t>
            </w:r>
            <w:r>
              <w:rPr>
                <w:rFonts w:ascii="Garamond" w:hAnsi="Garamond"/>
                <w:sz w:val="24"/>
                <w:szCs w:val="24"/>
              </w:rPr>
              <w:t>^{0.8545[</w:t>
            </w:r>
            <w:r>
              <w:rPr>
                <w:rFonts w:ascii="Garamond" w:hAnsi="Garamond"/>
                <w:i/>
                <w:iCs/>
                <w:sz w:val="24"/>
                <w:szCs w:val="24"/>
              </w:rPr>
              <w:t>ln</w:t>
            </w:r>
            <w:r>
              <w:rPr>
                <w:rFonts w:ascii="Garamond" w:hAnsi="Garamond"/>
                <w:sz w:val="24"/>
                <w:szCs w:val="24"/>
              </w:rPr>
              <w:t xml:space="preserve"> hardness]-1.702}</w:t>
            </w:r>
          </w:p>
        </w:tc>
      </w:tr>
      <w:tr w:rsidR="001D0823" w14:paraId="54FD24FC"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0A315F"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Lead,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1508BE"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WER*{1.46203-[</w:t>
            </w:r>
            <w:r>
              <w:rPr>
                <w:rFonts w:ascii="Garamond" w:hAnsi="Garamond"/>
                <w:i/>
                <w:iCs/>
                <w:sz w:val="24"/>
                <w:szCs w:val="24"/>
              </w:rPr>
              <w:t>ln</w:t>
            </w:r>
            <w:r>
              <w:rPr>
                <w:rFonts w:ascii="Garamond" w:hAnsi="Garamond"/>
                <w:sz w:val="24"/>
                <w:szCs w:val="24"/>
              </w:rPr>
              <w:t xml:space="preserve"> hardness](0.145712)} ∙ </w:t>
            </w:r>
            <w:r>
              <w:rPr>
                <w:rFonts w:ascii="Garamond" w:hAnsi="Garamond"/>
                <w:i/>
                <w:iCs/>
                <w:sz w:val="24"/>
                <w:szCs w:val="24"/>
              </w:rPr>
              <w:t>e</w:t>
            </w:r>
            <w:r>
              <w:rPr>
                <w:rFonts w:ascii="Garamond" w:hAnsi="Garamond"/>
                <w:sz w:val="24"/>
                <w:szCs w:val="24"/>
              </w:rPr>
              <w:t>^{1.273[</w:t>
            </w:r>
            <w:r>
              <w:rPr>
                <w:rFonts w:ascii="Garamond" w:hAnsi="Garamond"/>
                <w:i/>
                <w:iCs/>
                <w:sz w:val="24"/>
                <w:szCs w:val="24"/>
              </w:rPr>
              <w:t>ln</w:t>
            </w:r>
            <w:r>
              <w:rPr>
                <w:rFonts w:ascii="Garamond" w:hAnsi="Garamond"/>
                <w:sz w:val="24"/>
                <w:szCs w:val="24"/>
              </w:rPr>
              <w:t xml:space="preserve"> hardness]-1.460} </w:t>
            </w:r>
          </w:p>
        </w:tc>
      </w:tr>
      <w:tr w:rsidR="001D0823" w14:paraId="72378EB5"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80A7B9"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Lead,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AF2551"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WER*{1.46203-[</w:t>
            </w:r>
            <w:r>
              <w:rPr>
                <w:rFonts w:ascii="Garamond" w:hAnsi="Garamond"/>
                <w:i/>
                <w:iCs/>
                <w:sz w:val="24"/>
                <w:szCs w:val="24"/>
              </w:rPr>
              <w:t xml:space="preserve">ln </w:t>
            </w:r>
            <w:r>
              <w:rPr>
                <w:rFonts w:ascii="Garamond" w:hAnsi="Garamond"/>
                <w:sz w:val="24"/>
                <w:szCs w:val="24"/>
              </w:rPr>
              <w:t xml:space="preserve">hardness](0.145712)} ∙ </w:t>
            </w:r>
            <w:r>
              <w:rPr>
                <w:rFonts w:ascii="Garamond" w:hAnsi="Garamond"/>
                <w:i/>
                <w:iCs/>
                <w:sz w:val="24"/>
                <w:szCs w:val="24"/>
              </w:rPr>
              <w:t>e</w:t>
            </w:r>
            <w:r>
              <w:rPr>
                <w:rFonts w:ascii="Garamond" w:hAnsi="Garamond"/>
                <w:sz w:val="24"/>
                <w:szCs w:val="24"/>
              </w:rPr>
              <w:t>^{1.273[</w:t>
            </w:r>
            <w:r>
              <w:rPr>
                <w:rFonts w:ascii="Garamond" w:hAnsi="Garamond"/>
                <w:i/>
                <w:iCs/>
                <w:sz w:val="24"/>
                <w:szCs w:val="24"/>
              </w:rPr>
              <w:t>ln</w:t>
            </w:r>
            <w:r>
              <w:rPr>
                <w:rFonts w:ascii="Garamond" w:hAnsi="Garamond"/>
                <w:sz w:val="24"/>
                <w:szCs w:val="24"/>
              </w:rPr>
              <w:t xml:space="preserve"> hardness]-4.705} </w:t>
            </w:r>
          </w:p>
        </w:tc>
      </w:tr>
      <w:tr w:rsidR="001D0823" w14:paraId="058A0A9A"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6AA060"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Nickel,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976F00"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WER*0.998 ∙ </w:t>
            </w:r>
            <w:r>
              <w:rPr>
                <w:rFonts w:ascii="Garamond" w:hAnsi="Garamond"/>
                <w:i/>
                <w:iCs/>
                <w:sz w:val="24"/>
                <w:szCs w:val="24"/>
              </w:rPr>
              <w:t>e</w:t>
            </w:r>
            <w:r>
              <w:rPr>
                <w:rFonts w:ascii="Garamond" w:hAnsi="Garamond"/>
                <w:sz w:val="24"/>
                <w:szCs w:val="24"/>
              </w:rPr>
              <w:t>^{0.8460[</w:t>
            </w:r>
            <w:r>
              <w:rPr>
                <w:rFonts w:ascii="Garamond" w:hAnsi="Garamond"/>
                <w:i/>
                <w:iCs/>
                <w:sz w:val="24"/>
                <w:szCs w:val="24"/>
              </w:rPr>
              <w:t>ln</w:t>
            </w:r>
            <w:r>
              <w:rPr>
                <w:rFonts w:ascii="Garamond" w:hAnsi="Garamond"/>
                <w:sz w:val="24"/>
                <w:szCs w:val="24"/>
              </w:rPr>
              <w:t xml:space="preserve"> hardness]+2.255}</w:t>
            </w:r>
          </w:p>
        </w:tc>
      </w:tr>
      <w:tr w:rsidR="001D0823" w14:paraId="0AE1E724"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C560E2"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Nickel,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2274A5"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WER*0.997 ∙ </w:t>
            </w:r>
            <w:r>
              <w:rPr>
                <w:rFonts w:ascii="Garamond" w:hAnsi="Garamond"/>
                <w:i/>
                <w:iCs/>
                <w:sz w:val="24"/>
                <w:szCs w:val="24"/>
              </w:rPr>
              <w:t>e</w:t>
            </w:r>
            <w:r>
              <w:rPr>
                <w:rFonts w:ascii="Garamond" w:hAnsi="Garamond"/>
                <w:sz w:val="24"/>
                <w:szCs w:val="24"/>
              </w:rPr>
              <w:t>^{0.8460[</w:t>
            </w:r>
            <w:r>
              <w:rPr>
                <w:rFonts w:ascii="Garamond" w:hAnsi="Garamond"/>
                <w:i/>
                <w:iCs/>
                <w:sz w:val="24"/>
                <w:szCs w:val="24"/>
              </w:rPr>
              <w:t>ln</w:t>
            </w:r>
            <w:r>
              <w:rPr>
                <w:rFonts w:ascii="Garamond" w:hAnsi="Garamond"/>
                <w:sz w:val="24"/>
                <w:szCs w:val="24"/>
              </w:rPr>
              <w:t xml:space="preserve"> hardness]+0.0584} </w:t>
            </w:r>
          </w:p>
        </w:tc>
      </w:tr>
      <w:tr w:rsidR="001D0823" w14:paraId="50AE7C8B"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6CF3AC"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Silver,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CCCBAD"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WER*0.85 ∙ </w:t>
            </w:r>
            <w:r>
              <w:rPr>
                <w:rFonts w:ascii="Garamond" w:hAnsi="Garamond"/>
                <w:i/>
                <w:iCs/>
                <w:sz w:val="24"/>
                <w:szCs w:val="24"/>
              </w:rPr>
              <w:t>e</w:t>
            </w:r>
            <w:r>
              <w:rPr>
                <w:rFonts w:ascii="Garamond" w:hAnsi="Garamond"/>
                <w:sz w:val="24"/>
                <w:szCs w:val="24"/>
              </w:rPr>
              <w:t>^{1.72[</w:t>
            </w:r>
            <w:r>
              <w:rPr>
                <w:rFonts w:ascii="Garamond" w:hAnsi="Garamond"/>
                <w:i/>
                <w:iCs/>
                <w:sz w:val="24"/>
                <w:szCs w:val="24"/>
              </w:rPr>
              <w:t>ln</w:t>
            </w:r>
            <w:r>
              <w:rPr>
                <w:rFonts w:ascii="Garamond" w:hAnsi="Garamond"/>
                <w:sz w:val="24"/>
                <w:szCs w:val="24"/>
              </w:rPr>
              <w:t xml:space="preserve"> hardness]-6.59}</w:t>
            </w:r>
          </w:p>
        </w:tc>
      </w:tr>
      <w:tr w:rsidR="001D0823" w14:paraId="1FB91F4D"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ECD263"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Silver,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4FFD67"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Not applicable</w:t>
            </w:r>
          </w:p>
        </w:tc>
      </w:tr>
      <w:tr w:rsidR="001D0823" w14:paraId="66098396"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F2A05F"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Zinc,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FF165B"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WER*0.978 ∙ </w:t>
            </w:r>
            <w:r>
              <w:rPr>
                <w:rFonts w:ascii="Garamond" w:hAnsi="Garamond"/>
                <w:i/>
                <w:iCs/>
                <w:sz w:val="24"/>
                <w:szCs w:val="24"/>
              </w:rPr>
              <w:t>e</w:t>
            </w:r>
            <w:r>
              <w:rPr>
                <w:rFonts w:ascii="Garamond" w:hAnsi="Garamond"/>
                <w:sz w:val="24"/>
                <w:szCs w:val="24"/>
              </w:rPr>
              <w:t>^{0.8473[</w:t>
            </w:r>
            <w:r>
              <w:rPr>
                <w:rFonts w:ascii="Garamond" w:hAnsi="Garamond"/>
                <w:i/>
                <w:iCs/>
                <w:sz w:val="24"/>
                <w:szCs w:val="24"/>
              </w:rPr>
              <w:t>ln</w:t>
            </w:r>
            <w:r>
              <w:rPr>
                <w:rFonts w:ascii="Garamond" w:hAnsi="Garamond"/>
                <w:sz w:val="24"/>
                <w:szCs w:val="24"/>
              </w:rPr>
              <w:t xml:space="preserve"> hardness]+0.884}</w:t>
            </w:r>
          </w:p>
        </w:tc>
      </w:tr>
      <w:tr w:rsidR="001D0823" w14:paraId="4E86A99D" w14:textId="77777777" w:rsidTr="001D0823">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0A0C3A"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Zinc,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83D4C8" w14:textId="77777777" w:rsidR="001D0823" w:rsidRDefault="001D0823">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WER*0.986 ∙ </w:t>
            </w:r>
            <w:r>
              <w:rPr>
                <w:rFonts w:ascii="Garamond" w:hAnsi="Garamond"/>
                <w:i/>
                <w:iCs/>
                <w:sz w:val="24"/>
                <w:szCs w:val="24"/>
              </w:rPr>
              <w:t>e</w:t>
            </w:r>
            <w:r>
              <w:rPr>
                <w:rFonts w:ascii="Garamond" w:hAnsi="Garamond"/>
                <w:sz w:val="24"/>
                <w:szCs w:val="24"/>
              </w:rPr>
              <w:t>^{0.8473[</w:t>
            </w:r>
            <w:r>
              <w:rPr>
                <w:rFonts w:ascii="Garamond" w:hAnsi="Garamond"/>
                <w:i/>
                <w:iCs/>
                <w:sz w:val="24"/>
                <w:szCs w:val="24"/>
              </w:rPr>
              <w:t>ln</w:t>
            </w:r>
            <w:r>
              <w:rPr>
                <w:rFonts w:ascii="Garamond" w:hAnsi="Garamond"/>
                <w:sz w:val="24"/>
                <w:szCs w:val="24"/>
              </w:rPr>
              <w:t xml:space="preserve"> hardness]+0.884} </w:t>
            </w:r>
          </w:p>
        </w:tc>
      </w:tr>
    </w:tbl>
    <w:p w14:paraId="1F25C547" w14:textId="77777777" w:rsidR="001D0823" w:rsidRDefault="001D0823" w:rsidP="001D0823">
      <w:pPr>
        <w:pStyle w:val="NoSpacing"/>
        <w:rPr>
          <w:rFonts w:ascii="Garamond" w:hAnsi="Garamond" w:cs="Times New Roman"/>
          <w:sz w:val="24"/>
          <w:szCs w:val="24"/>
        </w:rPr>
      </w:pPr>
    </w:p>
    <w:p w14:paraId="070DF516" w14:textId="77777777" w:rsidR="001D0823" w:rsidRDefault="001D0823" w:rsidP="001D0823">
      <w:pPr>
        <w:pStyle w:val="Heading1"/>
        <w:spacing w:after="160" w:line="254" w:lineRule="auto"/>
        <w:ind w:left="360" w:hanging="360"/>
        <w:rPr>
          <w:rFonts w:ascii="Garamond" w:hAnsi="Garamond"/>
          <w:sz w:val="24"/>
          <w:szCs w:val="24"/>
          <w:u w:val="single"/>
        </w:rPr>
      </w:pPr>
      <w:r>
        <w:rPr>
          <w:szCs w:val="24"/>
          <w:u w:val="single"/>
        </w:rPr>
        <w:t>General Information on the Reasonable Potential Analysis (RPA)</w:t>
      </w:r>
    </w:p>
    <w:p w14:paraId="3D7FFAA0" w14:textId="77777777" w:rsidR="001D0823" w:rsidRDefault="001D0823" w:rsidP="001D0823">
      <w:pPr>
        <w:pStyle w:val="wqBodyText0"/>
        <w:rPr>
          <w:rFonts w:ascii="Garamond" w:hAnsi="Garamond"/>
          <w:sz w:val="24"/>
          <w:szCs w:val="24"/>
        </w:rPr>
      </w:pPr>
      <w:r>
        <w:rPr>
          <w:rFonts w:ascii="Garamond" w:hAnsi="Garamond"/>
          <w:sz w:val="24"/>
          <w:szCs w:val="24"/>
        </w:rPr>
        <w:t xml:space="preserve">The RPA process itself did not change as the result of the new metals standards. However, application of the dissolved and hardness-dependent standards requires additional consideration in order to establish the numeric standard for each metal of concern of each individual discharge. </w:t>
      </w:r>
    </w:p>
    <w:p w14:paraId="71BE975A" w14:textId="77777777" w:rsidR="001D0823" w:rsidRDefault="001D0823" w:rsidP="001D0823">
      <w:pPr>
        <w:pStyle w:val="wqBodyText0"/>
        <w:rPr>
          <w:rFonts w:ascii="Garamond" w:hAnsi="Garamond"/>
          <w:sz w:val="24"/>
          <w:szCs w:val="24"/>
        </w:rPr>
      </w:pPr>
      <w:r>
        <w:rPr>
          <w:rFonts w:ascii="Garamond" w:hAnsi="Garamond"/>
          <w:sz w:val="24"/>
          <w:szCs w:val="24"/>
        </w:rPr>
        <w:t>The hardness-based standards require some knowledge of the effluent and instream (upstream) hardness and so must be calculated case-by-case for each discharge.</w:t>
      </w:r>
    </w:p>
    <w:p w14:paraId="37C13F9F" w14:textId="77777777" w:rsidR="001D0823" w:rsidRDefault="001D0823" w:rsidP="001D0823">
      <w:pPr>
        <w:pStyle w:val="wqBodyText0"/>
        <w:rPr>
          <w:rFonts w:ascii="Garamond" w:hAnsi="Garamond"/>
          <w:sz w:val="24"/>
          <w:szCs w:val="24"/>
        </w:rPr>
      </w:pPr>
      <w:r>
        <w:rPr>
          <w:rFonts w:ascii="Garamond" w:hAnsi="Garamond"/>
          <w:sz w:val="24"/>
          <w:szCs w:val="24"/>
        </w:rPr>
        <w:t>Metals limits must be expressed as ‘total recoverable’ metals in accordance with 40 CFR 122.45(c). The discharge-specific standards must be converted to the equivalent total values for use in the RPA calculations. We will generally rely on default translator values developed for each metal (more on that below), but it is also possible to consider case-specific translators developed in accordance with established methodology.</w:t>
      </w:r>
    </w:p>
    <w:p w14:paraId="0BB28E35" w14:textId="77777777" w:rsidR="001D0823" w:rsidRDefault="001D0823" w:rsidP="001D0823">
      <w:pPr>
        <w:pStyle w:val="wqBodyText0"/>
        <w:rPr>
          <w:rFonts w:ascii="Garamond" w:hAnsi="Garamond"/>
          <w:sz w:val="24"/>
          <w:szCs w:val="24"/>
        </w:rPr>
      </w:pPr>
      <w:r>
        <w:rPr>
          <w:rFonts w:ascii="Garamond" w:hAnsi="Garamond"/>
          <w:sz w:val="24"/>
          <w:szCs w:val="24"/>
        </w:rPr>
        <w:t xml:space="preserve">  </w:t>
      </w:r>
    </w:p>
    <w:p w14:paraId="5C0639C1" w14:textId="77777777" w:rsidR="001D0823" w:rsidRDefault="001D0823" w:rsidP="001D0823">
      <w:pPr>
        <w:rPr>
          <w:rFonts w:ascii="Garamond" w:hAnsi="Garamond"/>
          <w:b/>
          <w:szCs w:val="24"/>
          <w:u w:val="single"/>
        </w:rPr>
      </w:pPr>
      <w:r>
        <w:rPr>
          <w:rFonts w:ascii="Garamond" w:hAnsi="Garamond"/>
          <w:b/>
          <w:bCs/>
          <w:color w:val="000000" w:themeColor="text1"/>
          <w:szCs w:val="24"/>
          <w:u w:val="single"/>
        </w:rPr>
        <w:t xml:space="preserve">RPA Permitting </w:t>
      </w:r>
      <w:r>
        <w:rPr>
          <w:rFonts w:ascii="Garamond" w:hAnsi="Garamond"/>
          <w:b/>
          <w:bCs/>
          <w:szCs w:val="24"/>
          <w:u w:val="single"/>
        </w:rPr>
        <w:t>Guidance/WQBELs for Hardness-Dependent Metals - Freshwater</w:t>
      </w:r>
    </w:p>
    <w:p w14:paraId="75E28B49" w14:textId="77777777" w:rsidR="001D0823" w:rsidRDefault="001D0823" w:rsidP="001D0823">
      <w:pPr>
        <w:rPr>
          <w:rFonts w:ascii="Garamond" w:hAnsi="Garamond"/>
          <w:sz w:val="20"/>
          <w:szCs w:val="24"/>
        </w:rPr>
      </w:pPr>
      <w:r>
        <w:rPr>
          <w:rFonts w:ascii="Garamond" w:hAnsi="Garamond"/>
          <w:szCs w:val="24"/>
        </w:rPr>
        <w:t>The RPA is designed to predict the maximum likely effluent concentrations for each metal of concern, based on recent effluent data, and calculate the allowable effluent concentrations, based on applicable standards and the critical low-flow values for the receiving stream.</w:t>
      </w:r>
    </w:p>
    <w:p w14:paraId="0F06581F" w14:textId="77777777" w:rsidR="001D0823" w:rsidRDefault="001D0823" w:rsidP="001D0823">
      <w:pPr>
        <w:pStyle w:val="wqBodyText0"/>
        <w:rPr>
          <w:rFonts w:ascii="Garamond" w:hAnsi="Garamond"/>
          <w:sz w:val="24"/>
          <w:szCs w:val="24"/>
        </w:rPr>
      </w:pPr>
      <w:r>
        <w:rPr>
          <w:rFonts w:ascii="Garamond" w:hAnsi="Garamond"/>
          <w:sz w:val="24"/>
          <w:szCs w:val="24"/>
        </w:rPr>
        <w:t xml:space="preserve">If the maximum predicted value is greater than the maximum allowed value (chronic or acute), the discharge has reasonable potential to exceed the standard, which warrants a permit limit in most cases. If monitoring for a particular pollutant indicates that the pollutant is not present (i.e. </w:t>
      </w:r>
      <w:r>
        <w:rPr>
          <w:rFonts w:ascii="Garamond" w:hAnsi="Garamond"/>
          <w:sz w:val="24"/>
          <w:szCs w:val="24"/>
        </w:rPr>
        <w:lastRenderedPageBreak/>
        <w:t>consistently below detection level), then the Division may remove the monitoring requirement in the reissued permit.</w:t>
      </w:r>
    </w:p>
    <w:p w14:paraId="016F669F" w14:textId="77777777" w:rsidR="001D0823" w:rsidRDefault="001D0823" w:rsidP="001D0823">
      <w:pPr>
        <w:pStyle w:val="ListParagraph"/>
        <w:numPr>
          <w:ilvl w:val="0"/>
          <w:numId w:val="37"/>
        </w:numPr>
        <w:spacing w:after="160" w:line="252" w:lineRule="auto"/>
        <w:rPr>
          <w:rFonts w:ascii="Garamond" w:hAnsi="Garamond"/>
          <w:szCs w:val="24"/>
        </w:rPr>
      </w:pPr>
      <w:r>
        <w:rPr>
          <w:rFonts w:ascii="Garamond" w:hAnsi="Garamond"/>
          <w:szCs w:val="24"/>
        </w:rPr>
        <w:t>To perform a RPA on the Freshwater hardness-dependent metals the Permit Writer compiles the following information:</w:t>
      </w:r>
    </w:p>
    <w:p w14:paraId="29C08E92" w14:textId="77777777" w:rsidR="001D0823" w:rsidRDefault="001D0823" w:rsidP="001D0823">
      <w:pPr>
        <w:pStyle w:val="ListParagraph"/>
        <w:numPr>
          <w:ilvl w:val="0"/>
          <w:numId w:val="38"/>
        </w:numPr>
        <w:spacing w:after="160" w:line="252" w:lineRule="auto"/>
        <w:rPr>
          <w:rFonts w:ascii="Garamond" w:hAnsi="Garamond"/>
          <w:szCs w:val="24"/>
        </w:rPr>
      </w:pPr>
      <w:r>
        <w:rPr>
          <w:rFonts w:ascii="Garamond" w:hAnsi="Garamond"/>
          <w:szCs w:val="24"/>
        </w:rPr>
        <w:t xml:space="preserve">Critical low flow of the receiving stream, 7Q10 (the spreadsheet automatically calculates the 1Q10 using the formula 1Q10 = 0.843 (s7Q10, </w:t>
      </w:r>
      <w:proofErr w:type="spellStart"/>
      <w:r>
        <w:rPr>
          <w:rFonts w:ascii="Garamond" w:hAnsi="Garamond"/>
          <w:szCs w:val="24"/>
        </w:rPr>
        <w:t>cfs</w:t>
      </w:r>
      <w:proofErr w:type="spellEnd"/>
      <w:r>
        <w:rPr>
          <w:rFonts w:ascii="Garamond" w:hAnsi="Garamond"/>
          <w:szCs w:val="24"/>
        </w:rPr>
        <w:t xml:space="preserve">) </w:t>
      </w:r>
      <w:r>
        <w:rPr>
          <w:rFonts w:ascii="Garamond" w:hAnsi="Garamond"/>
          <w:szCs w:val="24"/>
          <w:vertAlign w:val="superscript"/>
        </w:rPr>
        <w:t>0.993</w:t>
      </w:r>
    </w:p>
    <w:p w14:paraId="5B2A4258" w14:textId="77777777" w:rsidR="001D0823" w:rsidRDefault="001D0823" w:rsidP="001D0823">
      <w:pPr>
        <w:pStyle w:val="ListParagraph"/>
        <w:numPr>
          <w:ilvl w:val="0"/>
          <w:numId w:val="38"/>
        </w:numPr>
        <w:spacing w:after="160" w:line="252" w:lineRule="auto"/>
        <w:rPr>
          <w:rFonts w:ascii="Garamond" w:hAnsi="Garamond"/>
          <w:szCs w:val="24"/>
        </w:rPr>
      </w:pPr>
      <w:r>
        <w:rPr>
          <w:rFonts w:ascii="Garamond" w:hAnsi="Garamond"/>
          <w:szCs w:val="24"/>
        </w:rPr>
        <w:t>Effluent hardness and upstream hardness, site-specific data is preferred</w:t>
      </w:r>
    </w:p>
    <w:p w14:paraId="7F3FFDFF" w14:textId="77777777" w:rsidR="001D0823" w:rsidRDefault="001D0823" w:rsidP="001D0823">
      <w:pPr>
        <w:pStyle w:val="ListParagraph"/>
        <w:numPr>
          <w:ilvl w:val="0"/>
          <w:numId w:val="38"/>
        </w:numPr>
        <w:spacing w:after="160" w:line="252" w:lineRule="auto"/>
        <w:rPr>
          <w:rFonts w:ascii="Garamond" w:hAnsi="Garamond"/>
          <w:szCs w:val="24"/>
        </w:rPr>
      </w:pPr>
      <w:r>
        <w:rPr>
          <w:rFonts w:ascii="Garamond" w:hAnsi="Garamond"/>
          <w:szCs w:val="24"/>
        </w:rPr>
        <w:t>Permitted flow</w:t>
      </w:r>
    </w:p>
    <w:p w14:paraId="550027DB" w14:textId="77777777" w:rsidR="001D0823" w:rsidRDefault="001D0823" w:rsidP="001D0823">
      <w:pPr>
        <w:pStyle w:val="ListParagraph"/>
        <w:numPr>
          <w:ilvl w:val="0"/>
          <w:numId w:val="38"/>
        </w:numPr>
        <w:spacing w:after="160" w:line="252" w:lineRule="auto"/>
        <w:rPr>
          <w:rFonts w:ascii="Garamond" w:hAnsi="Garamond"/>
          <w:szCs w:val="24"/>
        </w:rPr>
      </w:pPr>
      <w:r>
        <w:rPr>
          <w:rFonts w:ascii="Garamond" w:hAnsi="Garamond"/>
          <w:szCs w:val="24"/>
        </w:rPr>
        <w:t>Receiving stream classification</w:t>
      </w:r>
    </w:p>
    <w:p w14:paraId="0205DF18" w14:textId="77777777" w:rsidR="001D0823" w:rsidRDefault="001D0823" w:rsidP="001D0823">
      <w:pPr>
        <w:pStyle w:val="ListParagraph"/>
        <w:rPr>
          <w:rFonts w:ascii="Garamond" w:hAnsi="Garamond"/>
          <w:szCs w:val="24"/>
        </w:rPr>
      </w:pPr>
    </w:p>
    <w:p w14:paraId="364C49BA" w14:textId="77777777" w:rsidR="001D0823" w:rsidRDefault="001D0823" w:rsidP="001D0823">
      <w:pPr>
        <w:pStyle w:val="ListParagraph"/>
        <w:numPr>
          <w:ilvl w:val="0"/>
          <w:numId w:val="37"/>
        </w:numPr>
        <w:spacing w:after="160" w:line="252" w:lineRule="auto"/>
        <w:rPr>
          <w:rFonts w:ascii="Garamond" w:hAnsi="Garamond"/>
          <w:szCs w:val="24"/>
        </w:rPr>
      </w:pPr>
      <w:r>
        <w:rPr>
          <w:rFonts w:ascii="Garamond" w:hAnsi="Garamond"/>
          <w:szCs w:val="24"/>
        </w:rPr>
        <w:t xml:space="preserve">In order to establish the numeric standard for each hardness-dependent metal of concern and for each individual discharge, the Permit Writer must first determine what effluent and instream (upstream) hardness values to use in the equations.  </w:t>
      </w:r>
    </w:p>
    <w:p w14:paraId="27B52C48" w14:textId="77777777" w:rsidR="001D0823" w:rsidRDefault="001D0823" w:rsidP="001D0823">
      <w:pPr>
        <w:pStyle w:val="ListParagraph"/>
        <w:rPr>
          <w:rFonts w:ascii="Garamond" w:hAnsi="Garamond"/>
          <w:szCs w:val="24"/>
        </w:rPr>
      </w:pPr>
    </w:p>
    <w:p w14:paraId="6C708A1D" w14:textId="77777777" w:rsidR="001D0823" w:rsidRDefault="001D0823" w:rsidP="001D0823">
      <w:pPr>
        <w:pStyle w:val="ListParagraph"/>
        <w:rPr>
          <w:rFonts w:ascii="Garamond" w:hAnsi="Garamond"/>
          <w:szCs w:val="24"/>
        </w:rPr>
      </w:pPr>
      <w:r>
        <w:rPr>
          <w:rFonts w:ascii="Garamond" w:hAnsi="Garamond"/>
          <w:szCs w:val="24"/>
        </w:rPr>
        <w:t xml:space="preserve">The permit writer reviews DMR’s, Effluent Pollutant Scans, and Toxicity Test results for any hardness data and contacts the Permittee to see if any additional data is available for instream hardness values, upstream of the discharge. </w:t>
      </w:r>
    </w:p>
    <w:p w14:paraId="346F7113" w14:textId="77777777" w:rsidR="001D0823" w:rsidRDefault="001D0823" w:rsidP="001D0823">
      <w:pPr>
        <w:pStyle w:val="ListParagraph"/>
        <w:rPr>
          <w:rFonts w:ascii="Garamond" w:eastAsia="Calibri" w:hAnsi="Garamond"/>
          <w:szCs w:val="24"/>
        </w:rPr>
      </w:pPr>
    </w:p>
    <w:p w14:paraId="3251A72B" w14:textId="77777777" w:rsidR="001D0823" w:rsidRDefault="001D0823" w:rsidP="001D0823">
      <w:pPr>
        <w:pStyle w:val="ListParagraph"/>
        <w:rPr>
          <w:rFonts w:ascii="Garamond" w:hAnsi="Garamond"/>
          <w:szCs w:val="24"/>
        </w:rPr>
      </w:pPr>
      <w:r>
        <w:rPr>
          <w:rFonts w:ascii="Garamond" w:hAnsi="Garamond"/>
          <w:szCs w:val="24"/>
        </w:rPr>
        <w:t xml:space="preserve">If no hardness data is available, the permit writer may choose to do an initial evaluation using a default hardness of 25 mg/L (CaCO3 or (Ca + Mg)).  Minimum and maximum limits on the hardness value used for water quality calculations are 25 mg/L and 400 mg/L, respectively. </w:t>
      </w:r>
    </w:p>
    <w:p w14:paraId="0186D81E" w14:textId="77777777" w:rsidR="001D0823" w:rsidRDefault="001D0823" w:rsidP="001D0823">
      <w:pPr>
        <w:pStyle w:val="ListParagraph"/>
        <w:rPr>
          <w:rFonts w:ascii="Garamond" w:hAnsi="Garamond"/>
          <w:szCs w:val="24"/>
        </w:rPr>
      </w:pPr>
    </w:p>
    <w:p w14:paraId="2D1DB2EB" w14:textId="77777777" w:rsidR="001D0823" w:rsidRDefault="001D0823" w:rsidP="001D0823">
      <w:pPr>
        <w:pStyle w:val="ListParagraph"/>
        <w:rPr>
          <w:rFonts w:ascii="Garamond" w:hAnsi="Garamond"/>
          <w:szCs w:val="24"/>
        </w:rPr>
      </w:pPr>
      <w:r>
        <w:rPr>
          <w:rFonts w:ascii="Garamond" w:hAnsi="Garamond"/>
          <w:szCs w:val="24"/>
        </w:rPr>
        <w:t>If the use of a default hardness value results in a hardness-dependent metal showing reasonable potential, the permit writer contacts the Permittee and requests 5 site-specific effluent and upstream hardness samples over a period of one week. The RPA is rerun using the new data.</w:t>
      </w:r>
    </w:p>
    <w:p w14:paraId="6765A7CE" w14:textId="77777777" w:rsidR="001D0823" w:rsidRDefault="001D0823" w:rsidP="001D0823">
      <w:pPr>
        <w:pStyle w:val="ListParagraph"/>
        <w:rPr>
          <w:rFonts w:ascii="Garamond" w:hAnsi="Garamond"/>
          <w:szCs w:val="24"/>
        </w:rPr>
      </w:pPr>
    </w:p>
    <w:p w14:paraId="41E36549" w14:textId="77777777" w:rsidR="001D0823" w:rsidRDefault="001D0823" w:rsidP="001D0823">
      <w:pPr>
        <w:ind w:left="720"/>
        <w:rPr>
          <w:rFonts w:ascii="Garamond" w:hAnsi="Garamond"/>
          <w:szCs w:val="24"/>
        </w:rPr>
      </w:pPr>
      <w:r>
        <w:rPr>
          <w:rFonts w:ascii="Garamond" w:hAnsi="Garamond"/>
          <w:szCs w:val="24"/>
        </w:rPr>
        <w:t xml:space="preserve">The overall hardness value used in the water quality calculations is calculated as follows: </w:t>
      </w:r>
    </w:p>
    <w:p w14:paraId="4BB182C7" w14:textId="77777777" w:rsidR="001D0823" w:rsidRDefault="001D0823" w:rsidP="001D0823">
      <w:pPr>
        <w:ind w:left="720"/>
        <w:rPr>
          <w:rFonts w:ascii="Garamond" w:hAnsi="Garamond"/>
          <w:sz w:val="20"/>
          <w:szCs w:val="24"/>
        </w:rPr>
      </w:pPr>
      <w:r>
        <w:rPr>
          <w:rFonts w:ascii="Garamond" w:hAnsi="Garamond"/>
          <w:szCs w:val="24"/>
        </w:rPr>
        <w:t xml:space="preserve">Combined Hardness (chronic) </w:t>
      </w:r>
    </w:p>
    <w:p w14:paraId="73F2DD4A" w14:textId="77777777" w:rsidR="001D0823" w:rsidRDefault="001D0823" w:rsidP="001D0823">
      <w:pPr>
        <w:ind w:left="720" w:right="-720"/>
        <w:rPr>
          <w:rFonts w:ascii="Garamond" w:hAnsi="Garamond"/>
          <w:szCs w:val="24"/>
          <w:u w:val="single"/>
        </w:rPr>
      </w:pPr>
      <w:r>
        <w:rPr>
          <w:rFonts w:ascii="Garamond" w:hAnsi="Garamond"/>
          <w:szCs w:val="24"/>
        </w:rPr>
        <w:t xml:space="preserve">= </w:t>
      </w:r>
      <w:r>
        <w:rPr>
          <w:rFonts w:ascii="Garamond" w:hAnsi="Garamond"/>
          <w:szCs w:val="24"/>
          <w:u w:val="single"/>
        </w:rPr>
        <w:t xml:space="preserve">(Permitted Flow, </w:t>
      </w:r>
      <w:proofErr w:type="spellStart"/>
      <w:r>
        <w:rPr>
          <w:rFonts w:ascii="Garamond" w:hAnsi="Garamond"/>
          <w:szCs w:val="24"/>
          <w:u w:val="single"/>
        </w:rPr>
        <w:t>cfs</w:t>
      </w:r>
      <w:proofErr w:type="spellEnd"/>
      <w:r>
        <w:rPr>
          <w:rFonts w:ascii="Garamond" w:hAnsi="Garamond"/>
          <w:szCs w:val="24"/>
          <w:u w:val="single"/>
        </w:rPr>
        <w:t xml:space="preserve"> *Avg. Effluent Hardness, mg/L) + (s7Q10, </w:t>
      </w:r>
      <w:proofErr w:type="spellStart"/>
      <w:r>
        <w:rPr>
          <w:rFonts w:ascii="Garamond" w:hAnsi="Garamond"/>
          <w:szCs w:val="24"/>
          <w:u w:val="single"/>
        </w:rPr>
        <w:t>cfs</w:t>
      </w:r>
      <w:proofErr w:type="spellEnd"/>
      <w:r>
        <w:rPr>
          <w:rFonts w:ascii="Garamond" w:hAnsi="Garamond"/>
          <w:szCs w:val="24"/>
          <w:u w:val="single"/>
        </w:rPr>
        <w:t xml:space="preserve"> *Avg. Upstream Hardness, mg/L)</w:t>
      </w:r>
    </w:p>
    <w:p w14:paraId="47204749" w14:textId="77777777" w:rsidR="001D0823" w:rsidRDefault="001D0823" w:rsidP="001D0823">
      <w:pPr>
        <w:ind w:left="720"/>
        <w:rPr>
          <w:rFonts w:ascii="Garamond" w:hAnsi="Garamond"/>
          <w:szCs w:val="24"/>
        </w:rPr>
      </w:pPr>
      <w:r>
        <w:rPr>
          <w:rFonts w:ascii="Garamond" w:hAnsi="Garamond"/>
          <w:szCs w:val="24"/>
        </w:rPr>
        <w:t xml:space="preserve">                                         </w:t>
      </w:r>
      <w:r>
        <w:rPr>
          <w:rFonts w:ascii="Garamond" w:hAnsi="Garamond"/>
          <w:szCs w:val="24"/>
        </w:rPr>
        <w:tab/>
        <w:t xml:space="preserve"> (Permitted Flow, </w:t>
      </w:r>
      <w:proofErr w:type="spellStart"/>
      <w:r>
        <w:rPr>
          <w:rFonts w:ascii="Garamond" w:hAnsi="Garamond"/>
          <w:szCs w:val="24"/>
        </w:rPr>
        <w:t>cfs</w:t>
      </w:r>
      <w:proofErr w:type="spellEnd"/>
      <w:r>
        <w:rPr>
          <w:rFonts w:ascii="Garamond" w:hAnsi="Garamond"/>
          <w:szCs w:val="24"/>
        </w:rPr>
        <w:t xml:space="preserve"> + s7Q10, </w:t>
      </w:r>
      <w:proofErr w:type="spellStart"/>
      <w:r>
        <w:rPr>
          <w:rFonts w:ascii="Garamond" w:hAnsi="Garamond"/>
          <w:szCs w:val="24"/>
        </w:rPr>
        <w:t>cfs</w:t>
      </w:r>
      <w:proofErr w:type="spellEnd"/>
      <w:r>
        <w:rPr>
          <w:rFonts w:ascii="Garamond" w:hAnsi="Garamond"/>
          <w:szCs w:val="24"/>
        </w:rPr>
        <w:t>)</w:t>
      </w:r>
    </w:p>
    <w:p w14:paraId="3C5B8879" w14:textId="77777777" w:rsidR="001D0823" w:rsidRDefault="001D0823" w:rsidP="001D0823">
      <w:pPr>
        <w:ind w:left="720"/>
        <w:rPr>
          <w:rFonts w:ascii="Garamond" w:hAnsi="Garamond"/>
          <w:szCs w:val="24"/>
        </w:rPr>
      </w:pPr>
      <w:r>
        <w:rPr>
          <w:rFonts w:ascii="Garamond" w:hAnsi="Garamond"/>
          <w:szCs w:val="24"/>
        </w:rPr>
        <w:t>The Combined Hardness for acute is the same but the calculation uses the 1Q10 flow.</w:t>
      </w:r>
    </w:p>
    <w:p w14:paraId="1E8F5257" w14:textId="77777777" w:rsidR="001D0823" w:rsidRDefault="001D0823" w:rsidP="001D0823">
      <w:pPr>
        <w:pStyle w:val="ListParagraph"/>
        <w:numPr>
          <w:ilvl w:val="0"/>
          <w:numId w:val="37"/>
        </w:numPr>
        <w:contextualSpacing w:val="0"/>
        <w:rPr>
          <w:rFonts w:ascii="Garamond" w:hAnsi="Garamond"/>
          <w:szCs w:val="24"/>
        </w:rPr>
      </w:pPr>
      <w:r>
        <w:rPr>
          <w:rFonts w:ascii="Garamond" w:hAnsi="Garamond"/>
          <w:szCs w:val="24"/>
        </w:rPr>
        <w:t>The permit writer converts the numeric standard for each metal of concern to a total recoverable metal, using the EPA Default Partition Coefficients (DPCs) or site-specific translators, if any have been developed using federally approved methodology.</w:t>
      </w:r>
    </w:p>
    <w:p w14:paraId="7B5698E9" w14:textId="77777777" w:rsidR="001D0823" w:rsidRDefault="001D0823" w:rsidP="001D0823">
      <w:pPr>
        <w:rPr>
          <w:rFonts w:ascii="Garamond" w:hAnsi="Garamond"/>
          <w:szCs w:val="24"/>
        </w:rPr>
      </w:pPr>
      <w:r>
        <w:rPr>
          <w:rFonts w:ascii="Times New Roman" w:hAnsi="Times New Roman"/>
          <w:noProof/>
          <w:sz w:val="20"/>
        </w:rPr>
        <w:lastRenderedPageBreak/>
        <mc:AlternateContent>
          <mc:Choice Requires="wps">
            <w:drawing>
              <wp:anchor distT="45720" distB="45720" distL="114300" distR="114300" simplePos="0" relativeHeight="251660288" behindDoc="0" locked="0" layoutInCell="1" allowOverlap="1" wp14:anchorId="74CD2C36" wp14:editId="7E260E1F">
                <wp:simplePos x="0" y="0"/>
                <wp:positionH relativeFrom="column">
                  <wp:posOffset>809625</wp:posOffset>
                </wp:positionH>
                <wp:positionV relativeFrom="paragraph">
                  <wp:posOffset>131445</wp:posOffset>
                </wp:positionV>
                <wp:extent cx="4943475" cy="290512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2905125"/>
                        </a:xfrm>
                        <a:prstGeom prst="rect">
                          <a:avLst/>
                        </a:prstGeom>
                        <a:solidFill>
                          <a:schemeClr val="bg1">
                            <a:lumMod val="95000"/>
                          </a:schemeClr>
                        </a:solidFill>
                        <a:ln w="9525">
                          <a:solidFill>
                            <a:srgbClr val="000000"/>
                          </a:solidFill>
                          <a:miter lim="800000"/>
                          <a:headEnd/>
                          <a:tailEnd/>
                        </a:ln>
                      </wps:spPr>
                      <wps:txbx>
                        <w:txbxContent>
                          <w:p w14:paraId="247493F8" w14:textId="77777777" w:rsidR="00943D53" w:rsidRDefault="00943D53" w:rsidP="001D0823">
                            <w: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Pr>
                                <w:i/>
                                <w:iCs/>
                              </w:rPr>
                              <w:t>The Metals Translator:  Guidance for Calculating a Total Recoverable Permit Limit from a Dissolved Criterion</w:t>
                            </w:r>
                            <w:r>
                              <w:t xml:space="preserve"> (EPA 823-B-96-007, June 1996) and the equation:</w:t>
                            </w:r>
                          </w:p>
                          <w:p w14:paraId="275D6949" w14:textId="77777777" w:rsidR="00943D53" w:rsidRDefault="00943D53" w:rsidP="001D0823">
                            <w:pPr>
                              <w:ind w:left="4320" w:firstLine="720"/>
                            </w:pPr>
                            <w:r>
                              <w:rPr>
                                <w:vertAlign w:val="subscript"/>
                              </w:rPr>
                              <w:tab/>
                            </w:r>
                            <w:r>
                              <w:rPr>
                                <w:vertAlign w:val="subscript"/>
                              </w:rPr>
                              <w:tab/>
                            </w:r>
                          </w:p>
                          <w:p w14:paraId="459CE757" w14:textId="77777777" w:rsidR="00943D53" w:rsidRDefault="00943D53" w:rsidP="001D0823">
                            <w:pPr>
                              <w:ind w:left="2160" w:firstLine="720"/>
                              <w:rPr>
                                <w:u w:val="single"/>
                              </w:rPr>
                            </w:pPr>
                            <w:r>
                              <w:rPr>
                                <w:u w:val="single"/>
                                <w:vertAlign w:val="subscript"/>
                              </w:rPr>
                              <w:t>_</w:t>
                            </w:r>
                            <w:proofErr w:type="spellStart"/>
                            <w:r>
                              <w:rPr>
                                <w:u w:val="single"/>
                              </w:rPr>
                              <w:t>C</w:t>
                            </w:r>
                            <w:r>
                              <w:rPr>
                                <w:szCs w:val="24"/>
                                <w:u w:val="single"/>
                                <w:vertAlign w:val="subscript"/>
                              </w:rPr>
                              <w:t>diss</w:t>
                            </w:r>
                            <w:proofErr w:type="spellEnd"/>
                            <w:r>
                              <w:rPr>
                                <w:u w:val="single"/>
                                <w:vertAlign w:val="subscript"/>
                              </w:rPr>
                              <w:t xml:space="preserve">__ = </w:t>
                            </w:r>
                            <w:r>
                              <w:rPr>
                                <w:u w:val="single"/>
                              </w:rPr>
                              <w:t xml:space="preserve">_______1_______________      </w:t>
                            </w:r>
                          </w:p>
                          <w:p w14:paraId="2F63DBEF" w14:textId="77777777" w:rsidR="00943D53" w:rsidRDefault="00943D53" w:rsidP="001D0823">
                            <w:pPr>
                              <w:ind w:left="2160" w:firstLine="720"/>
                            </w:pPr>
                            <w:r>
                              <w:t xml:space="preserve"> </w:t>
                            </w:r>
                            <w:proofErr w:type="spellStart"/>
                            <w:r>
                              <w:t>C</w:t>
                            </w:r>
                            <w:r>
                              <w:rPr>
                                <w:szCs w:val="24"/>
                                <w:vertAlign w:val="subscript"/>
                              </w:rPr>
                              <w:t>total</w:t>
                            </w:r>
                            <w:proofErr w:type="spellEnd"/>
                            <w:r>
                              <w:rPr>
                                <w:szCs w:val="24"/>
                                <w:vertAlign w:val="subscript"/>
                              </w:rPr>
                              <w:t xml:space="preserve">   </w:t>
                            </w:r>
                            <w:r>
                              <w:rPr>
                                <w:vertAlign w:val="subscript"/>
                              </w:rPr>
                              <w:t xml:space="preserve">          </w:t>
                            </w:r>
                            <w:r>
                              <w:t xml:space="preserve">1 + </w:t>
                            </w:r>
                            <w:proofErr w:type="gramStart"/>
                            <w:r>
                              <w:t>{ [</w:t>
                            </w:r>
                            <w:proofErr w:type="spellStart"/>
                            <w:proofErr w:type="gramEnd"/>
                            <w:r>
                              <w:t>K</w:t>
                            </w:r>
                            <w:r>
                              <w:rPr>
                                <w:vertAlign w:val="subscript"/>
                              </w:rPr>
                              <w:t>po</w:t>
                            </w:r>
                            <w:proofErr w:type="spellEnd"/>
                            <w:r>
                              <w:t>] [ss</w:t>
                            </w:r>
                            <w:r>
                              <w:rPr>
                                <w:vertAlign w:val="superscript"/>
                              </w:rPr>
                              <w:t>(1+a)</w:t>
                            </w:r>
                            <w:r>
                              <w:t>] [10</w:t>
                            </w:r>
                            <w:r>
                              <w:rPr>
                                <w:vertAlign w:val="superscript"/>
                              </w:rPr>
                              <w:t>-6</w:t>
                            </w:r>
                            <w:r>
                              <w:t>] }</w:t>
                            </w:r>
                          </w:p>
                          <w:p w14:paraId="24F925CF" w14:textId="77777777" w:rsidR="00943D53" w:rsidRDefault="00943D53" w:rsidP="001D0823">
                            <w:pPr>
                              <w:ind w:left="720" w:firstLine="720"/>
                              <w:jc w:val="center"/>
                            </w:pPr>
                          </w:p>
                          <w:p w14:paraId="052C42B4" w14:textId="77777777" w:rsidR="00943D53" w:rsidRDefault="00943D53" w:rsidP="001D0823">
                            <w:r>
                              <w:t xml:space="preserve">Where: </w:t>
                            </w:r>
                          </w:p>
                          <w:p w14:paraId="0E07B854" w14:textId="77777777" w:rsidR="00943D53" w:rsidRDefault="00943D53" w:rsidP="001D0823">
                            <w:pPr>
                              <w:spacing w:after="40"/>
                            </w:pPr>
                            <w:r>
                              <w:t>ss = in-stream suspended solids concentration [mg/l], minimum of 10 mg/L used, and</w:t>
                            </w:r>
                          </w:p>
                          <w:p w14:paraId="59372630" w14:textId="77777777" w:rsidR="00943D53" w:rsidRDefault="00943D53" w:rsidP="001D0823">
                            <w:pPr>
                              <w:spacing w:after="100" w:afterAutospacing="1"/>
                              <w:rPr>
                                <w:rFonts w:cs="Times"/>
                              </w:rPr>
                            </w:pPr>
                            <w:proofErr w:type="spellStart"/>
                            <w:r>
                              <w:t>Kpo</w:t>
                            </w:r>
                            <w:proofErr w:type="spellEnd"/>
                            <w:r>
                              <w:t xml:space="preserve"> and </w:t>
                            </w:r>
                            <w:r>
                              <w:rPr>
                                <w:i/>
                              </w:rPr>
                              <w:t>a</w:t>
                            </w:r>
                            <w:r>
                              <w:t xml:space="preserve"> = constants that express the equilibrium relationship between dissolved and adsorbed forms of metals. A list of constants used for each hardness-dependent metal can also be found in the RPA program under a sheet labeled DPCs.</w:t>
                            </w:r>
                          </w:p>
                          <w:p w14:paraId="33C0D7B4" w14:textId="77777777" w:rsidR="00943D53" w:rsidRDefault="00943D53" w:rsidP="001D0823">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63.75pt;margin-top:10.35pt;width:389.25pt;height:22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" fillcolor="#f2f2f2 [3052]">
                <v:textbox>
                  <w:txbxContent>
                    <w:p w:rsidR="00943D53" w:rsidRDefault="00943D53" w:rsidP="001D0823">
                      <w: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Pr>
                          <w:i/>
                          <w:iCs/>
                        </w:rPr>
                        <w:t>The Metals Translator:  Guidance for Calculating a Total Recoverable Permit Limit from a Dissolved Criterion</w:t>
                      </w:r>
                      <w:r>
                        <w:t xml:space="preserve"> (EPA 823-B-96-007, June 1996) and the equation:</w:t>
                      </w:r>
                    </w:p>
                    <w:p w:rsidR="00943D53" w:rsidRDefault="00943D53" w:rsidP="001D0823">
                      <w:pPr>
                        <w:ind w:left="4320" w:firstLine="720"/>
                      </w:pPr>
                      <w:r>
                        <w:rPr>
                          <w:vertAlign w:val="subscript"/>
                        </w:rPr>
                        <w:tab/>
                      </w:r>
                      <w:r>
                        <w:rPr>
                          <w:vertAlign w:val="subscript"/>
                        </w:rPr>
                        <w:tab/>
                      </w:r>
                    </w:p>
                    <w:p w:rsidR="00943D53" w:rsidRDefault="00943D53" w:rsidP="001D0823">
                      <w:pPr>
                        <w:ind w:left="2160" w:firstLine="720"/>
                        <w:rPr>
                          <w:u w:val="single"/>
                        </w:rPr>
                      </w:pPr>
                      <w:r>
                        <w:rPr>
                          <w:u w:val="single"/>
                          <w:vertAlign w:val="subscript"/>
                        </w:rPr>
                        <w:t>_</w:t>
                      </w:r>
                      <w:proofErr w:type="spellStart"/>
                      <w:r>
                        <w:rPr>
                          <w:u w:val="single"/>
                        </w:rPr>
                        <w:t>C</w:t>
                      </w:r>
                      <w:r>
                        <w:rPr>
                          <w:szCs w:val="24"/>
                          <w:u w:val="single"/>
                          <w:vertAlign w:val="subscript"/>
                        </w:rPr>
                        <w:t>diss</w:t>
                      </w:r>
                      <w:proofErr w:type="spellEnd"/>
                      <w:r>
                        <w:rPr>
                          <w:u w:val="single"/>
                          <w:vertAlign w:val="subscript"/>
                        </w:rPr>
                        <w:t xml:space="preserve">__ = </w:t>
                      </w:r>
                      <w:r>
                        <w:rPr>
                          <w:u w:val="single"/>
                        </w:rPr>
                        <w:t xml:space="preserve">_______1_______________      </w:t>
                      </w:r>
                    </w:p>
                    <w:p w:rsidR="00943D53" w:rsidRDefault="00943D53" w:rsidP="001D0823">
                      <w:pPr>
                        <w:ind w:left="2160" w:firstLine="720"/>
                      </w:pPr>
                      <w:r>
                        <w:t xml:space="preserve"> </w:t>
                      </w:r>
                      <w:proofErr w:type="spellStart"/>
                      <w:r>
                        <w:t>C</w:t>
                      </w:r>
                      <w:r>
                        <w:rPr>
                          <w:szCs w:val="24"/>
                          <w:vertAlign w:val="subscript"/>
                        </w:rPr>
                        <w:t>total</w:t>
                      </w:r>
                      <w:proofErr w:type="spellEnd"/>
                      <w:r>
                        <w:rPr>
                          <w:szCs w:val="24"/>
                          <w:vertAlign w:val="subscript"/>
                        </w:rPr>
                        <w:t xml:space="preserve">   </w:t>
                      </w:r>
                      <w:r>
                        <w:rPr>
                          <w:vertAlign w:val="subscript"/>
                        </w:rPr>
                        <w:t xml:space="preserve">          </w:t>
                      </w:r>
                      <w:r>
                        <w:t xml:space="preserve">1 + </w:t>
                      </w:r>
                      <w:proofErr w:type="gramStart"/>
                      <w:r>
                        <w:t>{ [</w:t>
                      </w:r>
                      <w:proofErr w:type="spellStart"/>
                      <w:proofErr w:type="gramEnd"/>
                      <w:r>
                        <w:t>K</w:t>
                      </w:r>
                      <w:r>
                        <w:rPr>
                          <w:vertAlign w:val="subscript"/>
                        </w:rPr>
                        <w:t>po</w:t>
                      </w:r>
                      <w:proofErr w:type="spellEnd"/>
                      <w:r>
                        <w:t>] [</w:t>
                      </w:r>
                      <w:proofErr w:type="spellStart"/>
                      <w:r>
                        <w:t>ss</w:t>
                      </w:r>
                      <w:proofErr w:type="spellEnd"/>
                      <w:r>
                        <w:rPr>
                          <w:vertAlign w:val="superscript"/>
                        </w:rPr>
                        <w:t>(1+a)</w:t>
                      </w:r>
                      <w:r>
                        <w:t>] [10</w:t>
                      </w:r>
                      <w:r>
                        <w:rPr>
                          <w:vertAlign w:val="superscript"/>
                        </w:rPr>
                        <w:t>-6</w:t>
                      </w:r>
                      <w:r>
                        <w:t>] }</w:t>
                      </w:r>
                    </w:p>
                    <w:p w:rsidR="00943D53" w:rsidRDefault="00943D53" w:rsidP="001D0823">
                      <w:pPr>
                        <w:ind w:left="720" w:firstLine="720"/>
                        <w:jc w:val="center"/>
                      </w:pPr>
                    </w:p>
                    <w:p w:rsidR="00943D53" w:rsidRDefault="00943D53" w:rsidP="001D0823">
                      <w:r>
                        <w:t xml:space="preserve">Where: </w:t>
                      </w:r>
                    </w:p>
                    <w:p w:rsidR="00943D53" w:rsidRDefault="00943D53" w:rsidP="001D0823">
                      <w:pPr>
                        <w:spacing w:after="40"/>
                      </w:pPr>
                      <w:proofErr w:type="spellStart"/>
                      <w:r>
                        <w:t>ss</w:t>
                      </w:r>
                      <w:proofErr w:type="spellEnd"/>
                      <w:r>
                        <w:t xml:space="preserve"> = in-stream suspended solids concentration [mg/l], minimum of 10 mg/L used, and</w:t>
                      </w:r>
                    </w:p>
                    <w:p w:rsidR="00943D53" w:rsidRDefault="00943D53" w:rsidP="001D0823">
                      <w:pPr>
                        <w:spacing w:after="100" w:afterAutospacing="1"/>
                        <w:rPr>
                          <w:rFonts w:cs="Times"/>
                        </w:rPr>
                      </w:pPr>
                      <w:proofErr w:type="spellStart"/>
                      <w:r>
                        <w:t>Kpo</w:t>
                      </w:r>
                      <w:proofErr w:type="spellEnd"/>
                      <w:r>
                        <w:t xml:space="preserve"> and </w:t>
                      </w:r>
                      <w:r>
                        <w:rPr>
                          <w:i/>
                        </w:rPr>
                        <w:t>a</w:t>
                      </w:r>
                      <w:r>
                        <w:t xml:space="preserve"> = constants that express the equilibrium relationship between dissolved and adsorbed forms of metals. A list of constants used for each hardness-dependent metal can also be found in the RPA program under a sheet labeled DPCs.</w:t>
                      </w:r>
                    </w:p>
                    <w:p w:rsidR="00943D53" w:rsidRDefault="00943D53" w:rsidP="001D0823">
                      <w:pPr>
                        <w:rPr>
                          <w:rFonts w:ascii="Times New Roman" w:hAnsi="Times New Roman"/>
                        </w:rPr>
                      </w:pPr>
                    </w:p>
                  </w:txbxContent>
                </v:textbox>
                <w10:wrap type="square"/>
              </v:shape>
            </w:pict>
          </mc:Fallback>
        </mc:AlternateContent>
      </w:r>
    </w:p>
    <w:p w14:paraId="44352385" w14:textId="77777777" w:rsidR="001D0823" w:rsidRDefault="001D0823" w:rsidP="001D0823">
      <w:pPr>
        <w:rPr>
          <w:rFonts w:ascii="Garamond" w:hAnsi="Garamond"/>
          <w:sz w:val="20"/>
          <w:szCs w:val="24"/>
        </w:rPr>
      </w:pPr>
    </w:p>
    <w:p w14:paraId="45A08F57" w14:textId="77777777" w:rsidR="001D0823" w:rsidRDefault="001D0823" w:rsidP="001D0823">
      <w:pPr>
        <w:rPr>
          <w:rFonts w:ascii="Garamond" w:hAnsi="Garamond"/>
          <w:szCs w:val="24"/>
        </w:rPr>
      </w:pPr>
    </w:p>
    <w:p w14:paraId="3BA7D745" w14:textId="77777777" w:rsidR="001D0823" w:rsidRDefault="001D0823" w:rsidP="001D0823">
      <w:pPr>
        <w:rPr>
          <w:rFonts w:ascii="Garamond" w:hAnsi="Garamond"/>
          <w:szCs w:val="24"/>
        </w:rPr>
      </w:pPr>
    </w:p>
    <w:p w14:paraId="30FA43AA" w14:textId="77777777" w:rsidR="001D0823" w:rsidRDefault="001D0823" w:rsidP="001D0823">
      <w:pPr>
        <w:rPr>
          <w:rFonts w:ascii="Garamond" w:hAnsi="Garamond"/>
          <w:szCs w:val="24"/>
        </w:rPr>
      </w:pPr>
    </w:p>
    <w:p w14:paraId="0C02A32F" w14:textId="77777777" w:rsidR="001D0823" w:rsidRDefault="001D0823" w:rsidP="001D0823">
      <w:pPr>
        <w:rPr>
          <w:rFonts w:ascii="Garamond" w:hAnsi="Garamond"/>
          <w:szCs w:val="24"/>
        </w:rPr>
      </w:pPr>
    </w:p>
    <w:p w14:paraId="5C3AEE0E" w14:textId="77777777" w:rsidR="001D0823" w:rsidRDefault="001D0823" w:rsidP="001D0823">
      <w:pPr>
        <w:rPr>
          <w:rFonts w:ascii="Garamond" w:hAnsi="Garamond"/>
          <w:szCs w:val="24"/>
        </w:rPr>
      </w:pPr>
    </w:p>
    <w:p w14:paraId="5BCB80D3" w14:textId="77777777" w:rsidR="001D0823" w:rsidRDefault="001D0823" w:rsidP="001D0823">
      <w:pPr>
        <w:rPr>
          <w:rFonts w:ascii="Garamond" w:hAnsi="Garamond"/>
          <w:szCs w:val="24"/>
        </w:rPr>
      </w:pPr>
    </w:p>
    <w:p w14:paraId="291A1484" w14:textId="77777777" w:rsidR="001D0823" w:rsidRDefault="001D0823" w:rsidP="001D0823">
      <w:pPr>
        <w:rPr>
          <w:rFonts w:ascii="Garamond" w:hAnsi="Garamond"/>
          <w:szCs w:val="24"/>
        </w:rPr>
      </w:pPr>
    </w:p>
    <w:p w14:paraId="6891DB13" w14:textId="77777777" w:rsidR="001D0823" w:rsidRDefault="001D0823" w:rsidP="001D0823">
      <w:pPr>
        <w:rPr>
          <w:rFonts w:ascii="Garamond" w:hAnsi="Garamond"/>
          <w:szCs w:val="24"/>
        </w:rPr>
      </w:pPr>
    </w:p>
    <w:p w14:paraId="3E8E60E9" w14:textId="77777777" w:rsidR="001D0823" w:rsidRDefault="001D0823" w:rsidP="001D0823">
      <w:pPr>
        <w:rPr>
          <w:rFonts w:ascii="Garamond" w:hAnsi="Garamond"/>
          <w:szCs w:val="24"/>
        </w:rPr>
      </w:pPr>
    </w:p>
    <w:p w14:paraId="7728B1E5" w14:textId="77777777" w:rsidR="001D0823" w:rsidRDefault="001D0823" w:rsidP="001D0823">
      <w:pPr>
        <w:rPr>
          <w:rFonts w:ascii="Garamond" w:hAnsi="Garamond"/>
          <w:szCs w:val="24"/>
        </w:rPr>
      </w:pPr>
    </w:p>
    <w:p w14:paraId="6F3D8391" w14:textId="77777777" w:rsidR="001D0823" w:rsidRDefault="001D0823" w:rsidP="001D0823">
      <w:pPr>
        <w:pStyle w:val="ListParagraph"/>
        <w:numPr>
          <w:ilvl w:val="0"/>
          <w:numId w:val="37"/>
        </w:numPr>
        <w:spacing w:after="160" w:line="252" w:lineRule="auto"/>
        <w:rPr>
          <w:rFonts w:ascii="Garamond" w:hAnsi="Garamond"/>
          <w:szCs w:val="24"/>
        </w:rPr>
      </w:pPr>
      <w:r>
        <w:rPr>
          <w:rFonts w:ascii="Garamond" w:hAnsi="Garamond"/>
          <w:szCs w:val="24"/>
        </w:rPr>
        <w:t xml:space="preserve">The numeric standard for each metal of concern is divided by the default partition coefficient (or site-specific translator) to obtain a Total Recoverable Metal at ambient conditions.  </w:t>
      </w:r>
    </w:p>
    <w:p w14:paraId="25ED48BD" w14:textId="77777777" w:rsidR="001D0823" w:rsidRDefault="001D0823" w:rsidP="001D0823">
      <w:pPr>
        <w:pStyle w:val="ListParagraph"/>
        <w:rPr>
          <w:rFonts w:ascii="Garamond" w:hAnsi="Garamond"/>
          <w:szCs w:val="24"/>
        </w:rPr>
      </w:pPr>
    </w:p>
    <w:p w14:paraId="1B0C4644" w14:textId="77777777" w:rsidR="001D0823" w:rsidRDefault="001D0823" w:rsidP="001D0823">
      <w:pPr>
        <w:pStyle w:val="ListParagraph"/>
        <w:rPr>
          <w:rFonts w:ascii="Garamond" w:hAnsi="Garamond"/>
          <w:szCs w:val="24"/>
        </w:rPr>
      </w:pPr>
      <w:r>
        <w:rPr>
          <w:rFonts w:ascii="Garamond" w:hAnsi="Garamond"/>
          <w:szCs w:val="24"/>
        </w:rPr>
        <w:t>In some cases, where an EPA default partition coefficient translator does not exist (</w:t>
      </w:r>
      <w:proofErr w:type="spellStart"/>
      <w:r>
        <w:rPr>
          <w:rFonts w:ascii="Garamond" w:hAnsi="Garamond"/>
          <w:szCs w:val="24"/>
        </w:rPr>
        <w:t>ie</w:t>
      </w:r>
      <w:proofErr w:type="spellEnd"/>
      <w:r>
        <w:rPr>
          <w:rFonts w:ascii="Garamond" w:hAnsi="Garamond"/>
          <w:szCs w:val="24"/>
        </w:rPr>
        <w:t xml:space="preserve">. silver), the dissolved numeric standard for each metal of concern is divided by the EPA conversion factor to obtain a Total Recoverable Metal at ambient conditions. This method presumes that the metal is dissolved to the same extent as it was during EPA’s criteria development for metals. For more information on conversion factors see the June, 1996 EPA Translator Guidance Document.   </w:t>
      </w:r>
    </w:p>
    <w:p w14:paraId="40F05CBE" w14:textId="77777777" w:rsidR="001D0823" w:rsidRDefault="001D0823" w:rsidP="001D0823">
      <w:pPr>
        <w:pStyle w:val="ListParagraph"/>
        <w:rPr>
          <w:rFonts w:ascii="Garamond" w:hAnsi="Garamond"/>
          <w:szCs w:val="24"/>
        </w:rPr>
      </w:pPr>
    </w:p>
    <w:p w14:paraId="6022CE25" w14:textId="77777777" w:rsidR="001D0823" w:rsidRDefault="001D0823" w:rsidP="001D0823">
      <w:pPr>
        <w:pStyle w:val="ListParagraph"/>
        <w:numPr>
          <w:ilvl w:val="0"/>
          <w:numId w:val="37"/>
        </w:numPr>
        <w:spacing w:after="160" w:line="252" w:lineRule="auto"/>
        <w:rPr>
          <w:rFonts w:ascii="Garamond" w:hAnsi="Garamond"/>
          <w:szCs w:val="24"/>
        </w:rPr>
      </w:pPr>
      <w:r>
        <w:rPr>
          <w:rFonts w:ascii="Garamond" w:hAnsi="Garamond"/>
          <w:szCs w:val="24"/>
        </w:rPr>
        <w:t>The RPA spreadsheet uses a mass balance equation to determine the total allowable concentration (permit limits) for each pollutant using the following equation:</w:t>
      </w:r>
    </w:p>
    <w:p w14:paraId="324B5B93" w14:textId="77777777" w:rsidR="001D0823" w:rsidRDefault="001D0823" w:rsidP="001D0823">
      <w:pPr>
        <w:pStyle w:val="ListParagraph"/>
        <w:rPr>
          <w:rFonts w:ascii="Garamond" w:eastAsia="Calibri" w:hAnsi="Garamond"/>
          <w:szCs w:val="24"/>
        </w:rPr>
      </w:pPr>
    </w:p>
    <w:p w14:paraId="1004F318" w14:textId="77777777" w:rsidR="001D0823" w:rsidRDefault="001D0823" w:rsidP="001D0823">
      <w:pPr>
        <w:pStyle w:val="ListParagraph"/>
        <w:rPr>
          <w:rFonts w:ascii="Garamond" w:hAnsi="Garamond"/>
          <w:szCs w:val="24"/>
          <w:u w:val="single"/>
        </w:rPr>
      </w:pPr>
      <w:r>
        <w:rPr>
          <w:rFonts w:ascii="Garamond" w:hAnsi="Garamond"/>
          <w:szCs w:val="24"/>
        </w:rPr>
        <w:t xml:space="preserve">Ca = </w:t>
      </w:r>
      <w:r>
        <w:rPr>
          <w:rFonts w:ascii="Garamond" w:hAnsi="Garamond"/>
          <w:szCs w:val="24"/>
          <w:u w:val="single"/>
        </w:rPr>
        <w:t xml:space="preserve">(s7Q10 + </w:t>
      </w:r>
      <w:proofErr w:type="spellStart"/>
      <w:r>
        <w:rPr>
          <w:rFonts w:ascii="Garamond" w:hAnsi="Garamond"/>
          <w:szCs w:val="24"/>
          <w:u w:val="single"/>
        </w:rPr>
        <w:t>Qw</w:t>
      </w:r>
      <w:proofErr w:type="spellEnd"/>
      <w:r>
        <w:rPr>
          <w:rFonts w:ascii="Garamond" w:hAnsi="Garamond"/>
          <w:szCs w:val="24"/>
          <w:u w:val="single"/>
        </w:rPr>
        <w:t>) (</w:t>
      </w:r>
      <w:proofErr w:type="spellStart"/>
      <w:r>
        <w:rPr>
          <w:rFonts w:ascii="Garamond" w:hAnsi="Garamond"/>
          <w:szCs w:val="24"/>
          <w:u w:val="single"/>
        </w:rPr>
        <w:t>Cwqs</w:t>
      </w:r>
      <w:proofErr w:type="spellEnd"/>
      <w:r>
        <w:rPr>
          <w:rFonts w:ascii="Garamond" w:hAnsi="Garamond"/>
          <w:szCs w:val="24"/>
          <w:u w:val="single"/>
        </w:rPr>
        <w:t>) – (s7Q10) (</w:t>
      </w:r>
      <w:proofErr w:type="spellStart"/>
      <w:r>
        <w:rPr>
          <w:rFonts w:ascii="Garamond" w:hAnsi="Garamond"/>
          <w:szCs w:val="24"/>
          <w:u w:val="single"/>
        </w:rPr>
        <w:t>Cb</w:t>
      </w:r>
      <w:proofErr w:type="spellEnd"/>
      <w:r>
        <w:rPr>
          <w:rFonts w:ascii="Garamond" w:hAnsi="Garamond"/>
          <w:szCs w:val="24"/>
          <w:u w:val="single"/>
        </w:rPr>
        <w:t>)</w:t>
      </w:r>
    </w:p>
    <w:p w14:paraId="28EE8748" w14:textId="77777777" w:rsidR="001D0823" w:rsidRDefault="001D0823" w:rsidP="001D0823">
      <w:pPr>
        <w:ind w:left="2160"/>
        <w:rPr>
          <w:rFonts w:ascii="Garamond" w:hAnsi="Garamond"/>
          <w:szCs w:val="24"/>
        </w:rPr>
      </w:pPr>
      <w:r>
        <w:rPr>
          <w:rFonts w:ascii="Garamond" w:hAnsi="Garamond"/>
          <w:szCs w:val="24"/>
        </w:rPr>
        <w:tab/>
      </w:r>
      <w:proofErr w:type="spellStart"/>
      <w:r>
        <w:rPr>
          <w:rFonts w:ascii="Garamond" w:hAnsi="Garamond"/>
          <w:szCs w:val="24"/>
        </w:rPr>
        <w:t>Qw</w:t>
      </w:r>
      <w:proofErr w:type="spellEnd"/>
    </w:p>
    <w:p w14:paraId="61C8AB66" w14:textId="77777777" w:rsidR="001D0823" w:rsidRDefault="001D0823" w:rsidP="001D0823">
      <w:pPr>
        <w:ind w:left="450" w:firstLine="270"/>
        <w:rPr>
          <w:rFonts w:ascii="Garamond" w:hAnsi="Garamond"/>
          <w:sz w:val="20"/>
          <w:szCs w:val="24"/>
        </w:rPr>
      </w:pPr>
      <w:r>
        <w:rPr>
          <w:rFonts w:ascii="Garamond" w:hAnsi="Garamond"/>
          <w:szCs w:val="24"/>
        </w:rPr>
        <w:t xml:space="preserve">Where: Ca = allowable effluent concentration (µg/L or mg/L) </w:t>
      </w:r>
    </w:p>
    <w:p w14:paraId="6A644484" w14:textId="77777777" w:rsidR="001D0823" w:rsidRDefault="001D0823" w:rsidP="001D0823">
      <w:pPr>
        <w:ind w:left="1170" w:firstLine="270"/>
        <w:rPr>
          <w:rFonts w:ascii="Garamond" w:hAnsi="Garamond"/>
          <w:szCs w:val="24"/>
        </w:rPr>
      </w:pPr>
      <w:proofErr w:type="spellStart"/>
      <w:r>
        <w:rPr>
          <w:rFonts w:ascii="Garamond" w:hAnsi="Garamond"/>
          <w:szCs w:val="24"/>
        </w:rPr>
        <w:t>Cwqs</w:t>
      </w:r>
      <w:proofErr w:type="spellEnd"/>
      <w:r>
        <w:rPr>
          <w:rFonts w:ascii="Garamond" w:hAnsi="Garamond"/>
          <w:szCs w:val="24"/>
        </w:rPr>
        <w:t xml:space="preserve"> = NC Water Quality Standard or federal criteria (µg/L or mg/L) </w:t>
      </w:r>
    </w:p>
    <w:p w14:paraId="23A55B57" w14:textId="77777777" w:rsidR="001D0823" w:rsidRDefault="001D0823" w:rsidP="001D0823">
      <w:pPr>
        <w:ind w:left="1260" w:right="-180" w:firstLine="180"/>
        <w:rPr>
          <w:rFonts w:ascii="Garamond" w:hAnsi="Garamond"/>
          <w:szCs w:val="24"/>
        </w:rPr>
      </w:pPr>
      <w:proofErr w:type="spellStart"/>
      <w:r>
        <w:rPr>
          <w:rFonts w:ascii="Garamond" w:hAnsi="Garamond"/>
          <w:szCs w:val="24"/>
        </w:rPr>
        <w:t>Cb</w:t>
      </w:r>
      <w:proofErr w:type="spellEnd"/>
      <w:r>
        <w:rPr>
          <w:rFonts w:ascii="Garamond" w:hAnsi="Garamond"/>
          <w:szCs w:val="24"/>
        </w:rPr>
        <w:t xml:space="preserve"> = background concentration: assume zero for all toxicants except NH</w:t>
      </w:r>
      <w:r>
        <w:rPr>
          <w:rFonts w:ascii="Garamond" w:hAnsi="Garamond"/>
          <w:szCs w:val="24"/>
          <w:vertAlign w:val="subscript"/>
        </w:rPr>
        <w:t>3</w:t>
      </w:r>
      <w:r>
        <w:rPr>
          <w:rFonts w:ascii="Garamond" w:hAnsi="Garamond"/>
          <w:szCs w:val="24"/>
        </w:rPr>
        <w:t>* (µg/L or mg/L)</w:t>
      </w:r>
    </w:p>
    <w:p w14:paraId="19ADD4DA" w14:textId="77777777" w:rsidR="001D0823" w:rsidRDefault="001D0823" w:rsidP="001D0823">
      <w:pPr>
        <w:ind w:left="720" w:firstLine="720"/>
        <w:rPr>
          <w:rFonts w:ascii="Garamond" w:hAnsi="Garamond"/>
          <w:szCs w:val="24"/>
        </w:rPr>
      </w:pPr>
      <w:proofErr w:type="spellStart"/>
      <w:r>
        <w:rPr>
          <w:rFonts w:ascii="Garamond" w:hAnsi="Garamond"/>
          <w:szCs w:val="24"/>
        </w:rPr>
        <w:t>Qw</w:t>
      </w:r>
      <w:proofErr w:type="spellEnd"/>
      <w:r>
        <w:rPr>
          <w:rFonts w:ascii="Garamond" w:hAnsi="Garamond"/>
          <w:szCs w:val="24"/>
        </w:rPr>
        <w:t xml:space="preserve"> = permitted effluent flow (</w:t>
      </w:r>
      <w:proofErr w:type="spellStart"/>
      <w:r>
        <w:rPr>
          <w:rFonts w:ascii="Garamond" w:hAnsi="Garamond"/>
          <w:szCs w:val="24"/>
        </w:rPr>
        <w:t>cfs</w:t>
      </w:r>
      <w:proofErr w:type="spellEnd"/>
      <w:r>
        <w:rPr>
          <w:rFonts w:ascii="Garamond" w:hAnsi="Garamond"/>
          <w:szCs w:val="24"/>
        </w:rPr>
        <w:t xml:space="preserve">, match s7Q10) </w:t>
      </w:r>
    </w:p>
    <w:p w14:paraId="3CCB642C" w14:textId="77777777" w:rsidR="001D0823" w:rsidRDefault="001D0823" w:rsidP="001D0823">
      <w:pPr>
        <w:ind w:left="1440" w:right="-360"/>
        <w:rPr>
          <w:rFonts w:ascii="Garamond" w:hAnsi="Garamond"/>
          <w:szCs w:val="24"/>
        </w:rPr>
      </w:pPr>
      <w:r>
        <w:rPr>
          <w:rFonts w:ascii="Garamond" w:hAnsi="Garamond"/>
          <w:szCs w:val="24"/>
        </w:rPr>
        <w:t>s7Q10 = summer low flow used to protect aquatic life from chronic toxicity and human health through the consumption of water, fish, and shellfish from noncarcinogens (</w:t>
      </w:r>
      <w:proofErr w:type="spellStart"/>
      <w:r>
        <w:rPr>
          <w:rFonts w:ascii="Garamond" w:hAnsi="Garamond"/>
          <w:szCs w:val="24"/>
        </w:rPr>
        <w:t>cfs</w:t>
      </w:r>
      <w:proofErr w:type="spellEnd"/>
      <w:r>
        <w:rPr>
          <w:rFonts w:ascii="Garamond" w:hAnsi="Garamond"/>
          <w:szCs w:val="24"/>
        </w:rPr>
        <w:t>)</w:t>
      </w:r>
    </w:p>
    <w:p w14:paraId="61CEAF91" w14:textId="77777777" w:rsidR="001D0823" w:rsidRDefault="001D0823" w:rsidP="001D0823">
      <w:pPr>
        <w:ind w:left="1170"/>
        <w:rPr>
          <w:rFonts w:ascii="Garamond" w:hAnsi="Garamond"/>
          <w:szCs w:val="24"/>
        </w:rPr>
      </w:pPr>
      <w:r>
        <w:rPr>
          <w:rFonts w:ascii="Garamond" w:hAnsi="Garamond"/>
          <w:szCs w:val="24"/>
        </w:rPr>
        <w:t xml:space="preserve">   </w:t>
      </w:r>
      <w:r>
        <w:rPr>
          <w:rFonts w:ascii="Garamond" w:hAnsi="Garamond"/>
          <w:szCs w:val="24"/>
        </w:rPr>
        <w:tab/>
        <w:t xml:space="preserve">* Discussions are on-going with EPA on how best to address background concentrations </w:t>
      </w:r>
    </w:p>
    <w:p w14:paraId="513247BC" w14:textId="77777777" w:rsidR="001D0823" w:rsidRDefault="001D0823" w:rsidP="001D0823">
      <w:pPr>
        <w:ind w:left="1170"/>
        <w:rPr>
          <w:rFonts w:ascii="Garamond" w:hAnsi="Garamond"/>
          <w:szCs w:val="24"/>
        </w:rPr>
      </w:pPr>
    </w:p>
    <w:p w14:paraId="10F6CD05" w14:textId="77777777" w:rsidR="001D0823" w:rsidRDefault="001D0823" w:rsidP="001D0823">
      <w:pPr>
        <w:ind w:left="720"/>
        <w:rPr>
          <w:rFonts w:ascii="Garamond" w:hAnsi="Garamond"/>
          <w:szCs w:val="24"/>
        </w:rPr>
      </w:pPr>
      <w:r>
        <w:rPr>
          <w:rFonts w:ascii="Garamond" w:eastAsia="Calibri" w:hAnsi="Garamond" w:cs="Calibri"/>
          <w:szCs w:val="24"/>
        </w:rPr>
        <w:t xml:space="preserve"> </w:t>
      </w:r>
      <w:r>
        <w:rPr>
          <w:rFonts w:ascii="Garamond" w:hAnsi="Garamond"/>
          <w:szCs w:val="24"/>
        </w:rPr>
        <w:t xml:space="preserve">Flows other than s7Q10 may be incorporated as applicable: </w:t>
      </w:r>
    </w:p>
    <w:p w14:paraId="6723E47F" w14:textId="77777777" w:rsidR="001D0823" w:rsidRDefault="001D0823" w:rsidP="001D0823">
      <w:pPr>
        <w:ind w:left="450" w:firstLine="990"/>
        <w:rPr>
          <w:rFonts w:ascii="Garamond" w:hAnsi="Garamond"/>
          <w:szCs w:val="24"/>
        </w:rPr>
      </w:pPr>
      <w:r>
        <w:rPr>
          <w:rFonts w:ascii="Garamond" w:hAnsi="Garamond"/>
          <w:szCs w:val="24"/>
        </w:rPr>
        <w:t xml:space="preserve">1Q10 = used in the equation to protect aquatic life from acute toxicity  </w:t>
      </w:r>
    </w:p>
    <w:p w14:paraId="6701D85E" w14:textId="77777777" w:rsidR="001D0823" w:rsidRDefault="001D0823" w:rsidP="001D0823">
      <w:pPr>
        <w:ind w:left="1440"/>
        <w:rPr>
          <w:rFonts w:ascii="Garamond" w:hAnsi="Garamond"/>
          <w:szCs w:val="24"/>
        </w:rPr>
      </w:pPr>
      <w:r>
        <w:rPr>
          <w:rFonts w:ascii="Garamond" w:hAnsi="Garamond"/>
          <w:szCs w:val="24"/>
        </w:rPr>
        <w:t xml:space="preserve">QA = used in the equation to protect human health through the consumption of water, fish, and shellfish from carcinogens </w:t>
      </w:r>
    </w:p>
    <w:p w14:paraId="4CD66E22" w14:textId="77777777" w:rsidR="001D0823" w:rsidRDefault="001D0823" w:rsidP="001D0823">
      <w:pPr>
        <w:ind w:left="450" w:firstLine="990"/>
        <w:rPr>
          <w:rFonts w:ascii="Garamond" w:hAnsi="Garamond"/>
          <w:szCs w:val="24"/>
        </w:rPr>
      </w:pPr>
      <w:r>
        <w:rPr>
          <w:rFonts w:ascii="Garamond" w:hAnsi="Garamond"/>
          <w:szCs w:val="24"/>
        </w:rPr>
        <w:lastRenderedPageBreak/>
        <w:t xml:space="preserve">30Q2 = used in the equation to protect aesthetic quality </w:t>
      </w:r>
    </w:p>
    <w:p w14:paraId="594BDBFA" w14:textId="77777777" w:rsidR="001D0823" w:rsidRDefault="001D0823" w:rsidP="001D0823">
      <w:pPr>
        <w:pStyle w:val="SubItemLvl2"/>
        <w:ind w:left="0" w:firstLine="0"/>
        <w:contextualSpacing/>
        <w:jc w:val="left"/>
        <w:rPr>
          <w:rFonts w:ascii="Garamond" w:hAnsi="Garamond"/>
          <w:sz w:val="24"/>
          <w:szCs w:val="24"/>
        </w:rPr>
      </w:pPr>
    </w:p>
    <w:p w14:paraId="4E42E68D" w14:textId="77777777" w:rsidR="001D0823" w:rsidRDefault="001D0823" w:rsidP="001D0823">
      <w:pPr>
        <w:pStyle w:val="Heading2"/>
        <w:keepNext w:val="0"/>
        <w:numPr>
          <w:ilvl w:val="0"/>
          <w:numId w:val="37"/>
        </w:numPr>
        <w:ind w:right="0"/>
        <w:rPr>
          <w:rFonts w:ascii="Garamond" w:hAnsi="Garamond"/>
          <w:szCs w:val="24"/>
        </w:rPr>
      </w:pPr>
      <w:r>
        <w:rPr>
          <w:rStyle w:val="Heading2Char"/>
          <w:szCs w:val="24"/>
        </w:rPr>
        <w:t>The permit writer enters the most recent 2-3 years of effluent data for each pollutant of concern. Data entered must have been taken within four and one-half years prior to the date of the permit application (40 CFR 122.21).  The RPA spreadsheet estimates the 95th percentile upper concentration of each pollutant.  The Predicted Max concentrations are compared to the Total allowable concentrations to determine if a permit limit is necessary. If the predicted max exceeds the acute or chronic Total allowable concentrations, the discharge is considered to show reasonable potential to violate the water quality standard, and a permit limit (Total allowable concentration) is included in the permit</w:t>
      </w:r>
      <w:r>
        <w:rPr>
          <w:szCs w:val="24"/>
        </w:rPr>
        <w:t xml:space="preserve"> in accordance with the U.S. EPA Technical Support Document for Water Quality-Based Toxics Control published in 1991. </w:t>
      </w:r>
    </w:p>
    <w:p w14:paraId="77939C2A" w14:textId="77777777" w:rsidR="001D0823" w:rsidRDefault="001D0823" w:rsidP="001D0823">
      <w:pPr>
        <w:pStyle w:val="ListParagraph"/>
        <w:rPr>
          <w:rFonts w:ascii="Garamond" w:hAnsi="Garamond"/>
          <w:szCs w:val="24"/>
        </w:rPr>
      </w:pPr>
    </w:p>
    <w:p w14:paraId="74DAFB81" w14:textId="77777777" w:rsidR="001D0823" w:rsidRDefault="001D0823" w:rsidP="001D0823">
      <w:pPr>
        <w:pStyle w:val="ListParagraph"/>
        <w:numPr>
          <w:ilvl w:val="0"/>
          <w:numId w:val="37"/>
        </w:numPr>
        <w:contextualSpacing w:val="0"/>
        <w:rPr>
          <w:rFonts w:ascii="Garamond" w:hAnsi="Garamond"/>
          <w:szCs w:val="24"/>
        </w:rPr>
      </w:pPr>
      <w:r>
        <w:rPr>
          <w:rFonts w:ascii="Garamond" w:hAnsi="Garamond"/>
          <w:szCs w:val="24"/>
        </w:rPr>
        <w:t>When appropriate, permit writers develop facility specific compliance schedules in accordance with the EPA Headquarters Memo dated May 10, 2007 from James Hanlon to Alexis Strauss on 40 CFR 122.47 Compliance Schedule Requirements.</w:t>
      </w:r>
    </w:p>
    <w:p w14:paraId="0FEF74A2" w14:textId="77777777" w:rsidR="001D0823" w:rsidRDefault="001D0823" w:rsidP="001D0823">
      <w:pPr>
        <w:pStyle w:val="ListParagraph"/>
        <w:rPr>
          <w:rFonts w:ascii="Garamond" w:hAnsi="Garamond"/>
          <w:szCs w:val="24"/>
        </w:rPr>
      </w:pPr>
    </w:p>
    <w:p w14:paraId="705A2C90" w14:textId="77777777" w:rsidR="001D0823" w:rsidRDefault="001D0823" w:rsidP="001D0823">
      <w:pPr>
        <w:pStyle w:val="ListParagraph"/>
        <w:numPr>
          <w:ilvl w:val="0"/>
          <w:numId w:val="37"/>
        </w:numPr>
        <w:spacing w:after="160" w:line="252" w:lineRule="auto"/>
        <w:rPr>
          <w:rFonts w:ascii="Garamond" w:hAnsi="Garamond"/>
          <w:szCs w:val="24"/>
        </w:rPr>
      </w:pPr>
      <w:r>
        <w:rPr>
          <w:rFonts w:ascii="Garamond" w:hAnsi="Garamond"/>
          <w:szCs w:val="24"/>
        </w:rPr>
        <w:t xml:space="preserve">The Total Chromium NC WQS was removed and replaced with trivalent chromium and hexavalent chromium Water Quality Standards. As a cost savings measure, total chromium data results may be used as a conservative surrogate in cases where there are no analytical results based on chromium III or VI. In these cases, the projected maximum concentration (95th %) for total chromium will be compared against water quality standards for chromium III </w:t>
      </w:r>
      <w:proofErr w:type="gramStart"/>
      <w:r>
        <w:rPr>
          <w:rFonts w:ascii="Garamond" w:hAnsi="Garamond"/>
          <w:szCs w:val="24"/>
        </w:rPr>
        <w:t>and  chromium</w:t>
      </w:r>
      <w:proofErr w:type="gramEnd"/>
      <w:r>
        <w:rPr>
          <w:rFonts w:ascii="Garamond" w:hAnsi="Garamond"/>
          <w:szCs w:val="24"/>
        </w:rPr>
        <w:t xml:space="preserve"> VI. </w:t>
      </w:r>
    </w:p>
    <w:p w14:paraId="4E6C759D" w14:textId="77777777" w:rsidR="001D0823" w:rsidRDefault="001D0823" w:rsidP="001D0823">
      <w:pPr>
        <w:pStyle w:val="ListParagraph"/>
        <w:rPr>
          <w:rFonts w:ascii="Garamond" w:hAnsi="Garamond"/>
          <w:szCs w:val="24"/>
        </w:rPr>
      </w:pPr>
    </w:p>
    <w:p w14:paraId="31E8F80E" w14:textId="77777777" w:rsidR="001D0823" w:rsidRDefault="001D0823" w:rsidP="001D0823">
      <w:pPr>
        <w:pStyle w:val="ListParagraph"/>
        <w:numPr>
          <w:ilvl w:val="0"/>
          <w:numId w:val="37"/>
        </w:numPr>
        <w:contextualSpacing w:val="0"/>
        <w:rPr>
          <w:rFonts w:ascii="Garamond" w:hAnsi="Garamond"/>
          <w:szCs w:val="24"/>
        </w:rPr>
      </w:pPr>
      <w:r>
        <w:rPr>
          <w:rFonts w:ascii="Garamond" w:hAnsi="Garamond"/>
          <w:szCs w:val="24"/>
        </w:rPr>
        <w:t>Effluent hardness sampling and instream hardness sampling, upstream of the discharge, are inserted into all permits with facilities monitoring for hardness-dependent metals to ensure the accuracy of the permit limits and to build a more robust hardness dataset.</w:t>
      </w:r>
    </w:p>
    <w:p w14:paraId="5180F9C4" w14:textId="77777777" w:rsidR="001D0823" w:rsidRDefault="001D0823" w:rsidP="001D0823">
      <w:pPr>
        <w:pStyle w:val="ListParagraph"/>
        <w:rPr>
          <w:rFonts w:ascii="Garamond" w:eastAsia="Calibri" w:hAnsi="Garamond"/>
          <w:szCs w:val="24"/>
        </w:rPr>
      </w:pPr>
    </w:p>
    <w:p w14:paraId="5BFAB562" w14:textId="77777777" w:rsidR="001D0823" w:rsidRDefault="001D0823" w:rsidP="001D0823">
      <w:pPr>
        <w:pStyle w:val="ListParagraph"/>
        <w:rPr>
          <w:rFonts w:ascii="Garamond" w:hAnsi="Garamond"/>
          <w:szCs w:val="24"/>
        </w:rPr>
      </w:pPr>
    </w:p>
    <w:p w14:paraId="3C0D60FF" w14:textId="77777777" w:rsidR="001D0823" w:rsidRDefault="001D0823" w:rsidP="001D0823">
      <w:pPr>
        <w:pStyle w:val="ListParagraph"/>
        <w:numPr>
          <w:ilvl w:val="0"/>
          <w:numId w:val="37"/>
        </w:numPr>
        <w:spacing w:after="160" w:line="252" w:lineRule="auto"/>
        <w:rPr>
          <w:rFonts w:ascii="Garamond" w:hAnsi="Garamond"/>
          <w:szCs w:val="24"/>
        </w:rPr>
      </w:pPr>
      <w:r>
        <w:rPr>
          <w:rFonts w:ascii="Garamond" w:hAnsi="Garamond"/>
          <w:szCs w:val="24"/>
        </w:rPr>
        <w:t>Hardness and flow values used in the Reasonable Potential Analysis for this permit included:</w:t>
      </w:r>
    </w:p>
    <w:tbl>
      <w:tblPr>
        <w:tblStyle w:val="TableGrid"/>
        <w:tblW w:w="0" w:type="auto"/>
        <w:tblInd w:w="720" w:type="dxa"/>
        <w:tblLook w:val="04A0" w:firstRow="1" w:lastRow="0" w:firstColumn="1" w:lastColumn="0" w:noHBand="0" w:noVBand="1"/>
        <w:tblCaption w:val=""/>
        <w:tblDescription w:val=""/>
      </w:tblPr>
      <w:tblGrid>
        <w:gridCol w:w="3505"/>
        <w:gridCol w:w="1440"/>
        <w:gridCol w:w="3420"/>
      </w:tblGrid>
      <w:tr w:rsidR="001D0823" w14:paraId="69DEC604" w14:textId="77777777" w:rsidTr="001D0823">
        <w:tc>
          <w:tcPr>
            <w:tcW w:w="3505" w:type="dxa"/>
            <w:tcBorders>
              <w:top w:val="single" w:sz="4" w:space="0" w:color="auto"/>
              <w:left w:val="single" w:sz="4" w:space="0" w:color="auto"/>
              <w:bottom w:val="single" w:sz="4" w:space="0" w:color="auto"/>
              <w:right w:val="single" w:sz="4" w:space="0" w:color="auto"/>
            </w:tcBorders>
            <w:hideMark/>
          </w:tcPr>
          <w:p w14:paraId="684EDBCB" w14:textId="77777777" w:rsidR="001D0823" w:rsidRDefault="001D0823">
            <w:pPr>
              <w:pStyle w:val="ListParagraph"/>
              <w:ind w:left="0"/>
              <w:rPr>
                <w:rFonts w:ascii="Garamond" w:eastAsia="Calibri" w:hAnsi="Garamond"/>
                <w:b/>
                <w:szCs w:val="24"/>
              </w:rPr>
            </w:pPr>
            <w:r>
              <w:rPr>
                <w:rFonts w:ascii="Garamond" w:hAnsi="Garamond"/>
                <w:b/>
                <w:bCs/>
                <w:szCs w:val="24"/>
              </w:rPr>
              <w:t>Parameter</w:t>
            </w:r>
          </w:p>
        </w:tc>
        <w:tc>
          <w:tcPr>
            <w:tcW w:w="1440" w:type="dxa"/>
            <w:tcBorders>
              <w:top w:val="single" w:sz="4" w:space="0" w:color="auto"/>
              <w:left w:val="single" w:sz="4" w:space="0" w:color="auto"/>
              <w:bottom w:val="single" w:sz="4" w:space="0" w:color="auto"/>
              <w:right w:val="single" w:sz="4" w:space="0" w:color="auto"/>
            </w:tcBorders>
            <w:hideMark/>
          </w:tcPr>
          <w:p w14:paraId="3452EDB0" w14:textId="77777777" w:rsidR="001D0823" w:rsidRDefault="001D0823">
            <w:pPr>
              <w:pStyle w:val="ListParagraph"/>
              <w:ind w:left="0"/>
              <w:rPr>
                <w:rFonts w:ascii="Garamond" w:hAnsi="Garamond"/>
                <w:b/>
                <w:szCs w:val="24"/>
              </w:rPr>
            </w:pPr>
            <w:r>
              <w:rPr>
                <w:rFonts w:ascii="Garamond" w:hAnsi="Garamond"/>
                <w:b/>
                <w:bCs/>
                <w:szCs w:val="24"/>
              </w:rPr>
              <w:t>Value</w:t>
            </w:r>
          </w:p>
        </w:tc>
        <w:tc>
          <w:tcPr>
            <w:tcW w:w="3420" w:type="dxa"/>
            <w:tcBorders>
              <w:top w:val="single" w:sz="4" w:space="0" w:color="auto"/>
              <w:left w:val="single" w:sz="4" w:space="0" w:color="auto"/>
              <w:bottom w:val="single" w:sz="4" w:space="0" w:color="auto"/>
              <w:right w:val="single" w:sz="4" w:space="0" w:color="auto"/>
            </w:tcBorders>
            <w:hideMark/>
          </w:tcPr>
          <w:p w14:paraId="6C7544D6" w14:textId="77777777" w:rsidR="001D0823" w:rsidRDefault="001D0823">
            <w:pPr>
              <w:pStyle w:val="ListParagraph"/>
              <w:ind w:left="0"/>
              <w:rPr>
                <w:rFonts w:ascii="Garamond" w:hAnsi="Garamond"/>
                <w:b/>
                <w:szCs w:val="24"/>
              </w:rPr>
            </w:pPr>
            <w:r>
              <w:rPr>
                <w:rFonts w:ascii="Garamond" w:hAnsi="Garamond"/>
                <w:b/>
                <w:bCs/>
                <w:szCs w:val="24"/>
              </w:rPr>
              <w:t>Comments (Data Source)</w:t>
            </w:r>
          </w:p>
        </w:tc>
      </w:tr>
      <w:tr w:rsidR="001D0823" w14:paraId="3ED930F3" w14:textId="77777777" w:rsidTr="001D0823">
        <w:tc>
          <w:tcPr>
            <w:tcW w:w="3505" w:type="dxa"/>
            <w:tcBorders>
              <w:top w:val="single" w:sz="4" w:space="0" w:color="auto"/>
              <w:left w:val="single" w:sz="4" w:space="0" w:color="auto"/>
              <w:bottom w:val="single" w:sz="4" w:space="0" w:color="auto"/>
              <w:right w:val="single" w:sz="4" w:space="0" w:color="auto"/>
            </w:tcBorders>
            <w:hideMark/>
          </w:tcPr>
          <w:p w14:paraId="225F8675" w14:textId="77777777" w:rsidR="001D0823" w:rsidRDefault="001D0823">
            <w:pPr>
              <w:pStyle w:val="ListParagraph"/>
              <w:ind w:left="0"/>
              <w:rPr>
                <w:rFonts w:ascii="Garamond" w:hAnsi="Garamond"/>
                <w:szCs w:val="24"/>
              </w:rPr>
            </w:pPr>
            <w:r>
              <w:rPr>
                <w:rFonts w:ascii="Garamond" w:hAnsi="Garamond"/>
                <w:szCs w:val="24"/>
              </w:rPr>
              <w:t>Average Effluent Hardness (mg/L)</w:t>
            </w:r>
          </w:p>
          <w:p w14:paraId="45B60BC6" w14:textId="77777777" w:rsidR="001D0823" w:rsidRDefault="001D0823">
            <w:pPr>
              <w:pStyle w:val="ListParagraph"/>
              <w:ind w:left="0"/>
              <w:rPr>
                <w:rFonts w:ascii="Garamond" w:hAnsi="Garamond"/>
                <w:szCs w:val="24"/>
              </w:rPr>
            </w:pPr>
            <w:r>
              <w:rPr>
                <w:rFonts w:ascii="Garamond" w:hAnsi="Garamond"/>
                <w:szCs w:val="24"/>
              </w:rPr>
              <w:t>[Total as, CaCO</w:t>
            </w:r>
            <w:r>
              <w:rPr>
                <w:rFonts w:ascii="Garamond" w:hAnsi="Garamond"/>
                <w:szCs w:val="24"/>
                <w:vertAlign w:val="subscript"/>
              </w:rPr>
              <w:t>3</w:t>
            </w:r>
            <w:r>
              <w:rPr>
                <w:rFonts w:ascii="Garamond" w:hAnsi="Garamond"/>
                <w:szCs w:val="24"/>
              </w:rPr>
              <w:t xml:space="preserve"> or (</w:t>
            </w:r>
            <w:proofErr w:type="spellStart"/>
            <w:r>
              <w:rPr>
                <w:rFonts w:ascii="Garamond" w:hAnsi="Garamond"/>
                <w:szCs w:val="24"/>
              </w:rPr>
              <w:t>Ca+Mg</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EE7987" w14:textId="77777777" w:rsidR="001D0823" w:rsidRDefault="001D0823">
            <w:pPr>
              <w:pStyle w:val="ListParagraph"/>
              <w:ind w:left="0"/>
              <w:jc w:val="center"/>
              <w:rPr>
                <w:rFonts w:ascii="Garamond" w:hAnsi="Garamond"/>
                <w:szCs w:val="24"/>
              </w:rPr>
            </w:pPr>
            <w:r>
              <w:rPr>
                <w:rFonts w:ascii="Garamond" w:hAnsi="Garamond"/>
                <w:szCs w:val="24"/>
              </w:rPr>
              <w:t>25.0</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EB91EA4" w14:textId="77777777" w:rsidR="001D0823" w:rsidRDefault="001D0823">
            <w:pPr>
              <w:pStyle w:val="ListParagraph"/>
              <w:ind w:left="0"/>
              <w:jc w:val="center"/>
              <w:rPr>
                <w:rFonts w:ascii="Garamond" w:hAnsi="Garamond"/>
                <w:szCs w:val="24"/>
              </w:rPr>
            </w:pPr>
            <w:r>
              <w:rPr>
                <w:rFonts w:ascii="Garamond" w:hAnsi="Garamond"/>
                <w:szCs w:val="24"/>
              </w:rPr>
              <w:t>Default value</w:t>
            </w:r>
          </w:p>
        </w:tc>
      </w:tr>
      <w:tr w:rsidR="001D0823" w14:paraId="6BCA8A19" w14:textId="77777777" w:rsidTr="001D0823">
        <w:tc>
          <w:tcPr>
            <w:tcW w:w="3505" w:type="dxa"/>
            <w:tcBorders>
              <w:top w:val="single" w:sz="4" w:space="0" w:color="auto"/>
              <w:left w:val="single" w:sz="4" w:space="0" w:color="auto"/>
              <w:bottom w:val="single" w:sz="4" w:space="0" w:color="auto"/>
              <w:right w:val="single" w:sz="4" w:space="0" w:color="auto"/>
            </w:tcBorders>
            <w:hideMark/>
          </w:tcPr>
          <w:p w14:paraId="2D37BD09" w14:textId="77777777" w:rsidR="001D0823" w:rsidRDefault="001D0823">
            <w:pPr>
              <w:pStyle w:val="ListParagraph"/>
              <w:ind w:left="0"/>
              <w:rPr>
                <w:rFonts w:ascii="Garamond" w:hAnsi="Garamond"/>
                <w:szCs w:val="24"/>
              </w:rPr>
            </w:pPr>
            <w:r>
              <w:rPr>
                <w:rFonts w:ascii="Garamond" w:hAnsi="Garamond"/>
                <w:szCs w:val="24"/>
              </w:rPr>
              <w:t>Average Upstream Hardness (mg/L)</w:t>
            </w:r>
          </w:p>
          <w:p w14:paraId="4E5BC52E" w14:textId="77777777" w:rsidR="001D0823" w:rsidRDefault="001D0823">
            <w:pPr>
              <w:pStyle w:val="ListParagraph"/>
              <w:ind w:left="0"/>
              <w:rPr>
                <w:rFonts w:ascii="Garamond" w:hAnsi="Garamond"/>
                <w:szCs w:val="24"/>
              </w:rPr>
            </w:pPr>
            <w:r>
              <w:rPr>
                <w:rFonts w:ascii="Garamond" w:hAnsi="Garamond"/>
                <w:szCs w:val="24"/>
              </w:rPr>
              <w:t>[Total as, CaCO</w:t>
            </w:r>
            <w:r>
              <w:rPr>
                <w:rFonts w:ascii="Garamond" w:hAnsi="Garamond"/>
                <w:szCs w:val="24"/>
                <w:vertAlign w:val="subscript"/>
              </w:rPr>
              <w:t>3</w:t>
            </w:r>
            <w:r>
              <w:rPr>
                <w:rFonts w:ascii="Garamond" w:hAnsi="Garamond"/>
                <w:szCs w:val="24"/>
              </w:rPr>
              <w:t xml:space="preserve"> or (</w:t>
            </w:r>
            <w:proofErr w:type="spellStart"/>
            <w:r>
              <w:rPr>
                <w:rFonts w:ascii="Garamond" w:hAnsi="Garamond"/>
                <w:szCs w:val="24"/>
              </w:rPr>
              <w:t>Ca+Mg</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1A8576B" w14:textId="77777777" w:rsidR="001D0823" w:rsidRDefault="001D0823">
            <w:pPr>
              <w:pStyle w:val="ListParagraph"/>
              <w:ind w:left="0"/>
              <w:jc w:val="center"/>
              <w:rPr>
                <w:rFonts w:ascii="Garamond" w:hAnsi="Garamond"/>
                <w:szCs w:val="24"/>
              </w:rPr>
            </w:pPr>
            <w:r>
              <w:rPr>
                <w:rFonts w:ascii="Garamond" w:hAnsi="Garamond"/>
                <w:szCs w:val="24"/>
              </w:rPr>
              <w:t>25.0</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22E7851" w14:textId="77777777" w:rsidR="001D0823" w:rsidRDefault="001D0823">
            <w:pPr>
              <w:pStyle w:val="ListParagraph"/>
              <w:ind w:left="0"/>
              <w:jc w:val="center"/>
              <w:rPr>
                <w:rFonts w:ascii="Garamond" w:hAnsi="Garamond"/>
                <w:szCs w:val="24"/>
              </w:rPr>
            </w:pPr>
            <w:r>
              <w:rPr>
                <w:rFonts w:ascii="Garamond" w:hAnsi="Garamond"/>
                <w:szCs w:val="24"/>
              </w:rPr>
              <w:t>Default value</w:t>
            </w:r>
          </w:p>
        </w:tc>
      </w:tr>
      <w:tr w:rsidR="001D0823" w14:paraId="5FEF971F" w14:textId="77777777" w:rsidTr="001D0823">
        <w:tc>
          <w:tcPr>
            <w:tcW w:w="3505" w:type="dxa"/>
            <w:tcBorders>
              <w:top w:val="single" w:sz="4" w:space="0" w:color="auto"/>
              <w:left w:val="single" w:sz="4" w:space="0" w:color="auto"/>
              <w:bottom w:val="single" w:sz="4" w:space="0" w:color="auto"/>
              <w:right w:val="single" w:sz="4" w:space="0" w:color="auto"/>
            </w:tcBorders>
            <w:hideMark/>
          </w:tcPr>
          <w:p w14:paraId="5420D6A5" w14:textId="77777777" w:rsidR="001D0823" w:rsidRDefault="001D0823">
            <w:pPr>
              <w:pStyle w:val="ListParagraph"/>
              <w:ind w:left="0"/>
              <w:rPr>
                <w:rFonts w:ascii="Garamond" w:hAnsi="Garamond"/>
                <w:szCs w:val="24"/>
              </w:rPr>
            </w:pPr>
            <w:r>
              <w:rPr>
                <w:rFonts w:ascii="Garamond" w:hAnsi="Garamond"/>
                <w:szCs w:val="24"/>
              </w:rPr>
              <w:t>7Q10 summer (</w:t>
            </w:r>
            <w:proofErr w:type="spellStart"/>
            <w:r>
              <w:rPr>
                <w:rFonts w:ascii="Garamond" w:hAnsi="Garamond"/>
                <w:szCs w:val="24"/>
              </w:rPr>
              <w:t>cfs</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AD751A2" w14:textId="77777777" w:rsidR="001D0823" w:rsidRDefault="001D0823">
            <w:pPr>
              <w:pStyle w:val="ListParagraph"/>
              <w:ind w:left="0"/>
              <w:jc w:val="center"/>
              <w:rPr>
                <w:rFonts w:ascii="Garamond" w:hAnsi="Garamond"/>
                <w:szCs w:val="24"/>
              </w:rPr>
            </w:pPr>
            <w:r>
              <w:rPr>
                <w:rFonts w:ascii="Garamond" w:hAnsi="Garamond"/>
                <w:szCs w:val="24"/>
              </w:rPr>
              <w:t>0</w:t>
            </w:r>
          </w:p>
        </w:tc>
        <w:tc>
          <w:tcPr>
            <w:tcW w:w="3420" w:type="dxa"/>
            <w:tcBorders>
              <w:top w:val="single" w:sz="4" w:space="0" w:color="auto"/>
              <w:left w:val="single" w:sz="4" w:space="0" w:color="auto"/>
              <w:bottom w:val="single" w:sz="4" w:space="0" w:color="auto"/>
              <w:right w:val="single" w:sz="4" w:space="0" w:color="auto"/>
            </w:tcBorders>
            <w:vAlign w:val="center"/>
            <w:hideMark/>
          </w:tcPr>
          <w:p w14:paraId="01637797" w14:textId="77777777" w:rsidR="001D0823" w:rsidRDefault="001D0823">
            <w:pPr>
              <w:pStyle w:val="ListParagraph"/>
              <w:ind w:left="0"/>
              <w:jc w:val="center"/>
              <w:rPr>
                <w:rFonts w:ascii="Garamond" w:hAnsi="Garamond"/>
                <w:szCs w:val="24"/>
              </w:rPr>
            </w:pPr>
            <w:r>
              <w:rPr>
                <w:rFonts w:ascii="Garamond" w:hAnsi="Garamond"/>
                <w:szCs w:val="24"/>
              </w:rPr>
              <w:t>Lake or Tidal</w:t>
            </w:r>
          </w:p>
        </w:tc>
      </w:tr>
      <w:tr w:rsidR="001D0823" w14:paraId="7C204DD0" w14:textId="77777777" w:rsidTr="001D0823">
        <w:tc>
          <w:tcPr>
            <w:tcW w:w="3505" w:type="dxa"/>
            <w:tcBorders>
              <w:top w:val="single" w:sz="4" w:space="0" w:color="auto"/>
              <w:left w:val="single" w:sz="4" w:space="0" w:color="auto"/>
              <w:bottom w:val="single" w:sz="4" w:space="0" w:color="auto"/>
              <w:right w:val="single" w:sz="4" w:space="0" w:color="auto"/>
            </w:tcBorders>
            <w:hideMark/>
          </w:tcPr>
          <w:p w14:paraId="0585741B" w14:textId="77777777" w:rsidR="001D0823" w:rsidRDefault="001D0823">
            <w:pPr>
              <w:pStyle w:val="ListParagraph"/>
              <w:ind w:left="0"/>
              <w:rPr>
                <w:rFonts w:ascii="Garamond" w:hAnsi="Garamond"/>
                <w:szCs w:val="24"/>
              </w:rPr>
            </w:pPr>
            <w:r>
              <w:rPr>
                <w:rFonts w:ascii="Garamond" w:hAnsi="Garamond"/>
                <w:szCs w:val="24"/>
              </w:rPr>
              <w:t>1Q10 (</w:t>
            </w:r>
            <w:proofErr w:type="spellStart"/>
            <w:r>
              <w:rPr>
                <w:rFonts w:ascii="Garamond" w:hAnsi="Garamond"/>
                <w:szCs w:val="24"/>
              </w:rPr>
              <w:t>cfs</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C3E7B4" w14:textId="77777777" w:rsidR="001D0823" w:rsidRDefault="001D0823">
            <w:pPr>
              <w:pStyle w:val="ListParagraph"/>
              <w:ind w:left="0"/>
              <w:jc w:val="center"/>
              <w:rPr>
                <w:rFonts w:ascii="Garamond" w:hAnsi="Garamond"/>
                <w:szCs w:val="24"/>
              </w:rPr>
            </w:pPr>
            <w:r>
              <w:rPr>
                <w:rFonts w:ascii="Garamond" w:hAnsi="Garamond"/>
                <w:szCs w:val="24"/>
              </w:rPr>
              <w:t>0</w:t>
            </w:r>
          </w:p>
        </w:tc>
        <w:tc>
          <w:tcPr>
            <w:tcW w:w="3420" w:type="dxa"/>
            <w:tcBorders>
              <w:top w:val="single" w:sz="4" w:space="0" w:color="auto"/>
              <w:left w:val="single" w:sz="4" w:space="0" w:color="auto"/>
              <w:bottom w:val="single" w:sz="4" w:space="0" w:color="auto"/>
              <w:right w:val="single" w:sz="4" w:space="0" w:color="auto"/>
            </w:tcBorders>
            <w:vAlign w:val="center"/>
            <w:hideMark/>
          </w:tcPr>
          <w:p w14:paraId="559CD18F" w14:textId="77777777" w:rsidR="001D0823" w:rsidRDefault="001D0823">
            <w:pPr>
              <w:pStyle w:val="ListParagraph"/>
              <w:ind w:left="0"/>
              <w:jc w:val="center"/>
              <w:rPr>
                <w:rFonts w:ascii="Garamond" w:hAnsi="Garamond"/>
                <w:szCs w:val="24"/>
              </w:rPr>
            </w:pPr>
            <w:r>
              <w:rPr>
                <w:rFonts w:ascii="Garamond" w:hAnsi="Garamond"/>
                <w:szCs w:val="24"/>
              </w:rPr>
              <w:t>Lake or Tidal</w:t>
            </w:r>
          </w:p>
        </w:tc>
      </w:tr>
      <w:tr w:rsidR="001D0823" w14:paraId="7FF88AB9" w14:textId="77777777" w:rsidTr="001D0823">
        <w:tc>
          <w:tcPr>
            <w:tcW w:w="3505" w:type="dxa"/>
            <w:tcBorders>
              <w:top w:val="single" w:sz="4" w:space="0" w:color="auto"/>
              <w:left w:val="single" w:sz="4" w:space="0" w:color="auto"/>
              <w:bottom w:val="single" w:sz="4" w:space="0" w:color="auto"/>
              <w:right w:val="single" w:sz="4" w:space="0" w:color="auto"/>
            </w:tcBorders>
            <w:hideMark/>
          </w:tcPr>
          <w:p w14:paraId="7E560FDB" w14:textId="77777777" w:rsidR="001D0823" w:rsidRDefault="001D0823">
            <w:pPr>
              <w:pStyle w:val="ListParagraph"/>
              <w:ind w:left="0"/>
              <w:rPr>
                <w:rFonts w:ascii="Garamond" w:hAnsi="Garamond"/>
                <w:szCs w:val="24"/>
              </w:rPr>
            </w:pPr>
            <w:r>
              <w:rPr>
                <w:rFonts w:ascii="Garamond" w:hAnsi="Garamond"/>
                <w:szCs w:val="24"/>
              </w:rPr>
              <w:t>Permitted Flow (MGD)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AB48F5" w14:textId="77777777" w:rsidR="001D0823" w:rsidRDefault="001D0823">
            <w:pPr>
              <w:pStyle w:val="ListParagraph"/>
              <w:ind w:left="0"/>
              <w:jc w:val="center"/>
              <w:rPr>
                <w:rFonts w:ascii="Garamond" w:hAnsi="Garamond"/>
                <w:szCs w:val="24"/>
              </w:rPr>
            </w:pPr>
            <w:r>
              <w:rPr>
                <w:rFonts w:ascii="Garamond" w:hAnsi="Garamond"/>
                <w:szCs w:val="24"/>
              </w:rPr>
              <w:t xml:space="preserve">2.1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41AB758" w14:textId="77777777" w:rsidR="001D0823" w:rsidRDefault="001D0823">
            <w:pPr>
              <w:pStyle w:val="ListParagraph"/>
              <w:ind w:left="0"/>
              <w:jc w:val="center"/>
              <w:rPr>
                <w:rFonts w:ascii="Garamond" w:hAnsi="Garamond"/>
                <w:szCs w:val="24"/>
              </w:rPr>
            </w:pPr>
            <w:r>
              <w:rPr>
                <w:rFonts w:ascii="Garamond" w:hAnsi="Garamond"/>
                <w:szCs w:val="24"/>
              </w:rPr>
              <w:t>For dewatering</w:t>
            </w:r>
          </w:p>
        </w:tc>
      </w:tr>
    </w:tbl>
    <w:p w14:paraId="7CEEE0A7" w14:textId="77777777" w:rsidR="001D0823" w:rsidRDefault="001D0823" w:rsidP="001D0823">
      <w:pPr>
        <w:rPr>
          <w:rFonts w:ascii="Garamond" w:hAnsi="Garamond"/>
          <w:szCs w:val="24"/>
        </w:rPr>
      </w:pPr>
    </w:p>
    <w:sectPr w:rsidR="001D0823" w:rsidSect="00A41BD3">
      <w:headerReference w:type="default" r:id="rId10"/>
      <w:footerReference w:type="default" r:id="rId11"/>
      <w:footerReference w:type="first" r:id="rId12"/>
      <w:type w:val="continuous"/>
      <w:pgSz w:w="12240" w:h="15840"/>
      <w:pgMar w:top="1066" w:right="1350" w:bottom="1008" w:left="1440" w:header="720" w:footer="5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390E" w14:textId="77777777" w:rsidR="00F158A3" w:rsidRDefault="00F158A3" w:rsidP="003B41A8">
      <w:r>
        <w:separator/>
      </w:r>
    </w:p>
  </w:endnote>
  <w:endnote w:type="continuationSeparator" w:id="0">
    <w:p w14:paraId="579BDC63" w14:textId="77777777" w:rsidR="00F158A3" w:rsidRDefault="00F158A3" w:rsidP="003B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dsor BT">
    <w:altName w:val="Bookman Old Style"/>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3B71" w14:textId="77777777" w:rsidR="00943D53" w:rsidRDefault="00943D53" w:rsidP="004E54B8">
    <w:pPr>
      <w:pStyle w:val="Header"/>
    </w:pPr>
  </w:p>
  <w:p w14:paraId="6BC7193E" w14:textId="77777777" w:rsidR="00943D53" w:rsidRDefault="00943D53" w:rsidP="004E54B8"/>
  <w:p w14:paraId="50204C65" w14:textId="77777777" w:rsidR="00943D53" w:rsidRDefault="00F158A3" w:rsidP="004E54B8">
    <w:pPr>
      <w:pStyle w:val="Footer"/>
      <w:jc w:val="center"/>
      <w:rPr>
        <w:sz w:val="20"/>
      </w:rPr>
    </w:pPr>
    <w:sdt>
      <w:sdtPr>
        <w:id w:val="1177770702"/>
        <w:docPartObj>
          <w:docPartGallery w:val="Page Numbers (Top of Page)"/>
          <w:docPartUnique/>
        </w:docPartObj>
      </w:sdtPr>
      <w:sdtEndPr/>
      <w:sdtContent>
        <w:r w:rsidR="00943D53">
          <w:t xml:space="preserve">Page </w:t>
        </w:r>
        <w:r w:rsidR="00943D53">
          <w:rPr>
            <w:b/>
            <w:bCs/>
            <w:szCs w:val="24"/>
          </w:rPr>
          <w:fldChar w:fldCharType="begin"/>
        </w:r>
        <w:r w:rsidR="00943D53">
          <w:rPr>
            <w:b/>
            <w:bCs/>
          </w:rPr>
          <w:instrText xml:space="preserve"> PAGE </w:instrText>
        </w:r>
        <w:r w:rsidR="00943D53">
          <w:rPr>
            <w:b/>
            <w:bCs/>
            <w:szCs w:val="24"/>
          </w:rPr>
          <w:fldChar w:fldCharType="separate"/>
        </w:r>
        <w:r w:rsidR="00644542">
          <w:rPr>
            <w:b/>
            <w:bCs/>
            <w:noProof/>
          </w:rPr>
          <w:t>8</w:t>
        </w:r>
        <w:r w:rsidR="00943D53">
          <w:rPr>
            <w:b/>
            <w:bCs/>
            <w:szCs w:val="24"/>
          </w:rPr>
          <w:fldChar w:fldCharType="end"/>
        </w:r>
        <w:r w:rsidR="00943D53">
          <w:t xml:space="preserve"> of </w:t>
        </w:r>
        <w:r w:rsidR="00943D53">
          <w:rPr>
            <w:b/>
            <w:bCs/>
            <w:szCs w:val="24"/>
          </w:rPr>
          <w:fldChar w:fldCharType="begin"/>
        </w:r>
        <w:r w:rsidR="00943D53">
          <w:rPr>
            <w:b/>
            <w:bCs/>
          </w:rPr>
          <w:instrText xml:space="preserve"> NUMPAGES  </w:instrText>
        </w:r>
        <w:r w:rsidR="00943D53">
          <w:rPr>
            <w:b/>
            <w:bCs/>
            <w:szCs w:val="24"/>
          </w:rPr>
          <w:fldChar w:fldCharType="separate"/>
        </w:r>
        <w:r w:rsidR="00644542">
          <w:rPr>
            <w:b/>
            <w:bCs/>
            <w:noProof/>
          </w:rPr>
          <w:t>12</w:t>
        </w:r>
        <w:r w:rsidR="00943D53">
          <w:rPr>
            <w:b/>
            <w:bCs/>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550548"/>
      <w:docPartObj>
        <w:docPartGallery w:val="Page Numbers (Bottom of Page)"/>
        <w:docPartUnique/>
      </w:docPartObj>
    </w:sdtPr>
    <w:sdtEndPr/>
    <w:sdtContent>
      <w:sdt>
        <w:sdtPr>
          <w:id w:val="1728636285"/>
          <w:docPartObj>
            <w:docPartGallery w:val="Page Numbers (Top of Page)"/>
            <w:docPartUnique/>
          </w:docPartObj>
        </w:sdtPr>
        <w:sdtEndPr/>
        <w:sdtContent>
          <w:p w14:paraId="10BE2FFF" w14:textId="77777777" w:rsidR="00943D53" w:rsidRDefault="00943D5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4454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44542">
              <w:rPr>
                <w:b/>
                <w:bCs/>
                <w:noProof/>
              </w:rPr>
              <w:t>12</w:t>
            </w:r>
            <w:r>
              <w:rPr>
                <w:b/>
                <w:bCs/>
                <w:szCs w:val="24"/>
              </w:rPr>
              <w:fldChar w:fldCharType="end"/>
            </w:r>
          </w:p>
        </w:sdtContent>
      </w:sdt>
    </w:sdtContent>
  </w:sdt>
  <w:p w14:paraId="6B43FFCF" w14:textId="77777777" w:rsidR="00943D53" w:rsidRDefault="0094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A0D8" w14:textId="77777777" w:rsidR="00F158A3" w:rsidRDefault="00F158A3" w:rsidP="003B41A8">
      <w:r>
        <w:separator/>
      </w:r>
    </w:p>
  </w:footnote>
  <w:footnote w:type="continuationSeparator" w:id="0">
    <w:p w14:paraId="764EC17A" w14:textId="77777777" w:rsidR="00F158A3" w:rsidRDefault="00F158A3" w:rsidP="003B4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FAD9" w14:textId="77777777" w:rsidR="00943D53" w:rsidRDefault="00943D53">
    <w:pPr>
      <w:pStyle w:val="Heading2"/>
      <w:tabs>
        <w:tab w:val="right" w:pos="9360"/>
      </w:tabs>
      <w:ind w:right="0"/>
    </w:pPr>
    <w:r>
      <w:t xml:space="preserve">NPDES PERMIT FACT SHEET </w:t>
    </w:r>
    <w:r>
      <w:tab/>
      <w:t xml:space="preserve">Duke Energy Progress </w:t>
    </w:r>
    <w:r>
      <w:rPr>
        <w:rFonts w:ascii="Bookman Old Style" w:hAnsi="Bookman Old Style"/>
        <w:snapToGrid w:val="0"/>
        <w:color w:val="0000FF"/>
        <w:sz w:val="22"/>
      </w:rPr>
      <w:t>- Mayo</w:t>
    </w:r>
  </w:p>
  <w:p w14:paraId="3E0E17B8" w14:textId="77777777" w:rsidR="00943D53" w:rsidRDefault="00943D53">
    <w:pPr>
      <w:pStyle w:val="Footer"/>
      <w:tabs>
        <w:tab w:val="clear" w:pos="4320"/>
        <w:tab w:val="clear" w:pos="8640"/>
        <w:tab w:val="right" w:pos="9360"/>
      </w:tabs>
      <w:rPr>
        <w:rFonts w:ascii="Times New Roman" w:hAnsi="Times New Roman"/>
      </w:rPr>
    </w:pPr>
    <w:r>
      <w:rPr>
        <w:rFonts w:ascii="Times New Roman" w:hAnsi="Times New Roman"/>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644542">
      <w:rPr>
        <w:rStyle w:val="PageNumber"/>
        <w:rFonts w:ascii="Times New Roman" w:hAnsi="Times New Roman"/>
        <w:noProof/>
      </w:rPr>
      <w:t>8</w:t>
    </w:r>
    <w:r>
      <w:rPr>
        <w:rStyle w:val="PageNumber"/>
        <w:rFonts w:ascii="Times New Roman" w:hAnsi="Times New Roman"/>
      </w:rPr>
      <w:fldChar w:fldCharType="end"/>
    </w:r>
    <w:r>
      <w:rPr>
        <w:rFonts w:ascii="Times New Roman" w:hAnsi="Times New Roman"/>
      </w:rPr>
      <w:tab/>
      <w:t xml:space="preserve">NPDES No. </w:t>
    </w:r>
    <w:r>
      <w:rPr>
        <w:rFonts w:ascii="Bookman Old Style" w:hAnsi="Bookman Old Style"/>
        <w:snapToGrid w:val="0"/>
        <w:color w:val="0000FF"/>
        <w:sz w:val="22"/>
      </w:rPr>
      <w:t>NC0038377</w:t>
    </w:r>
  </w:p>
  <w:p w14:paraId="3DB0D339" w14:textId="77777777" w:rsidR="00943D53" w:rsidRDefault="00943D5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7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4D5E77"/>
    <w:multiLevelType w:val="hybridMultilevel"/>
    <w:tmpl w:val="6710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55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A87BBE"/>
    <w:multiLevelType w:val="hybridMultilevel"/>
    <w:tmpl w:val="127C6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ED4BCE"/>
    <w:multiLevelType w:val="hybridMultilevel"/>
    <w:tmpl w:val="D98C7D2A"/>
    <w:lvl w:ilvl="0" w:tplc="56626C50">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790B14"/>
    <w:multiLevelType w:val="hybridMultilevel"/>
    <w:tmpl w:val="05CA79C4"/>
    <w:lvl w:ilvl="0" w:tplc="3EC69966">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257C6"/>
    <w:multiLevelType w:val="hybridMultilevel"/>
    <w:tmpl w:val="16F4F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622E8"/>
    <w:multiLevelType w:val="multilevel"/>
    <w:tmpl w:val="A9D616C8"/>
    <w:lvl w:ilvl="0">
      <w:start w:val="1"/>
      <w:numFmt w:val="decimal"/>
      <w:lvlText w:val="%1."/>
      <w:lvlJc w:val="lef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BCB72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B14F0D"/>
    <w:multiLevelType w:val="hybridMultilevel"/>
    <w:tmpl w:val="B3729E7C"/>
    <w:lvl w:ilvl="0" w:tplc="6B4817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F5B63"/>
    <w:multiLevelType w:val="hybridMultilevel"/>
    <w:tmpl w:val="D87C885C"/>
    <w:lvl w:ilvl="0" w:tplc="9552E2C4">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626D5E"/>
    <w:multiLevelType w:val="hybridMultilevel"/>
    <w:tmpl w:val="113EB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2B24078"/>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4797F9C"/>
    <w:multiLevelType w:val="hybridMultilevel"/>
    <w:tmpl w:val="BFDAC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7F3B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9D92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2B2EB6"/>
    <w:multiLevelType w:val="hybridMultilevel"/>
    <w:tmpl w:val="8C3087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855F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0DD4E4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3295E55"/>
    <w:multiLevelType w:val="hybridMultilevel"/>
    <w:tmpl w:val="2CE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E04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F8094A"/>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40793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4C0C9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BDF7176"/>
    <w:multiLevelType w:val="hybridMultilevel"/>
    <w:tmpl w:val="258825DA"/>
    <w:lvl w:ilvl="0" w:tplc="63D8E23A">
      <w:start w:val="3"/>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A26F58">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1AC7D0">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ED07A">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BC8C5A">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454B8">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129A98">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4C2866">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EE83A">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B559C4"/>
    <w:multiLevelType w:val="hybridMultilevel"/>
    <w:tmpl w:val="541C3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4710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2A53BC7"/>
    <w:multiLevelType w:val="hybridMultilevel"/>
    <w:tmpl w:val="6EAAE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0295E"/>
    <w:multiLevelType w:val="hybridMultilevel"/>
    <w:tmpl w:val="AE5A3990"/>
    <w:lvl w:ilvl="0" w:tplc="072EDE4C">
      <w:start w:val="1"/>
      <w:numFmt w:val="decimal"/>
      <w:lvlText w:val="%1)"/>
      <w:lvlJc w:val="left"/>
      <w:pPr>
        <w:ind w:left="720" w:hanging="360"/>
      </w:pPr>
      <w:rPr>
        <w:rFonts w:eastAsiaTheme="minorHAnsi" w:cstheme="minorBidi"/>
        <w:b w:val="0"/>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A4843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BD96646"/>
    <w:multiLevelType w:val="singleLevel"/>
    <w:tmpl w:val="65002EEC"/>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5DE14C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4C15A9"/>
    <w:multiLevelType w:val="hybridMultilevel"/>
    <w:tmpl w:val="650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CC4A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A300F1B"/>
    <w:multiLevelType w:val="hybridMultilevel"/>
    <w:tmpl w:val="B3729E7C"/>
    <w:lvl w:ilvl="0" w:tplc="6B4817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E5F97"/>
    <w:multiLevelType w:val="hybridMultilevel"/>
    <w:tmpl w:val="DFA09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2A232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7774FED"/>
    <w:multiLevelType w:val="singleLevel"/>
    <w:tmpl w:val="F41EB94E"/>
    <w:lvl w:ilvl="0">
      <w:start w:val="1"/>
      <w:numFmt w:val="decimalZero"/>
      <w:lvlText w:val="%1-"/>
      <w:lvlJc w:val="left"/>
      <w:pPr>
        <w:tabs>
          <w:tab w:val="num" w:pos="465"/>
        </w:tabs>
        <w:ind w:left="465" w:hanging="465"/>
      </w:pPr>
      <w:rPr>
        <w:rFonts w:hint="default"/>
      </w:rPr>
    </w:lvl>
  </w:abstractNum>
  <w:abstractNum w:abstractNumId="38" w15:restartNumberingAfterBreak="0">
    <w:nsid w:val="788A1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0F047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9"/>
  </w:num>
  <w:num w:numId="2">
    <w:abstractNumId w:val="29"/>
  </w:num>
  <w:num w:numId="3">
    <w:abstractNumId w:val="20"/>
  </w:num>
  <w:num w:numId="4">
    <w:abstractNumId w:val="2"/>
  </w:num>
  <w:num w:numId="5">
    <w:abstractNumId w:val="8"/>
  </w:num>
  <w:num w:numId="6">
    <w:abstractNumId w:val="22"/>
  </w:num>
  <w:num w:numId="7">
    <w:abstractNumId w:val="17"/>
  </w:num>
  <w:num w:numId="8">
    <w:abstractNumId w:val="23"/>
  </w:num>
  <w:num w:numId="9">
    <w:abstractNumId w:val="31"/>
  </w:num>
  <w:num w:numId="10">
    <w:abstractNumId w:val="0"/>
  </w:num>
  <w:num w:numId="11">
    <w:abstractNumId w:val="36"/>
  </w:num>
  <w:num w:numId="12">
    <w:abstractNumId w:val="37"/>
  </w:num>
  <w:num w:numId="13">
    <w:abstractNumId w:val="33"/>
  </w:num>
  <w:num w:numId="14">
    <w:abstractNumId w:val="14"/>
  </w:num>
  <w:num w:numId="15">
    <w:abstractNumId w:val="26"/>
  </w:num>
  <w:num w:numId="16">
    <w:abstractNumId w:val="18"/>
  </w:num>
  <w:num w:numId="17">
    <w:abstractNumId w:val="12"/>
  </w:num>
  <w:num w:numId="18">
    <w:abstractNumId w:val="38"/>
  </w:num>
  <w:num w:numId="19">
    <w:abstractNumId w:val="15"/>
  </w:num>
  <w:num w:numId="20">
    <w:abstractNumId w:val="16"/>
  </w:num>
  <w:num w:numId="21">
    <w:abstractNumId w:val="13"/>
  </w:num>
  <w:num w:numId="22">
    <w:abstractNumId w:val="6"/>
  </w:num>
  <w:num w:numId="23">
    <w:abstractNumId w:val="35"/>
  </w:num>
  <w:num w:numId="24">
    <w:abstractNumId w:val="32"/>
  </w:num>
  <w:num w:numId="25">
    <w:abstractNumId w:val="1"/>
  </w:num>
  <w:num w:numId="26">
    <w:abstractNumId w:val="21"/>
  </w:num>
  <w:num w:numId="27">
    <w:abstractNumId w:val="19"/>
  </w:num>
  <w:num w:numId="28">
    <w:abstractNumId w:val="27"/>
  </w:num>
  <w:num w:numId="29">
    <w:abstractNumId w:val="25"/>
  </w:num>
  <w:num w:numId="30">
    <w:abstractNumId w:val="30"/>
  </w:num>
  <w:num w:numId="31">
    <w:abstractNumId w:val="10"/>
  </w:num>
  <w:num w:numId="32">
    <w:abstractNumId w:val="4"/>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num>
  <w:num w:numId="36">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3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2"/>
    <w:rsid w:val="00002CEA"/>
    <w:rsid w:val="000059F3"/>
    <w:rsid w:val="00007DA5"/>
    <w:rsid w:val="00021DC6"/>
    <w:rsid w:val="00064453"/>
    <w:rsid w:val="00066C0C"/>
    <w:rsid w:val="00074C35"/>
    <w:rsid w:val="000934D1"/>
    <w:rsid w:val="000B6618"/>
    <w:rsid w:val="000C2A3F"/>
    <w:rsid w:val="000C3DBC"/>
    <w:rsid w:val="000C6DDE"/>
    <w:rsid w:val="000D6563"/>
    <w:rsid w:val="000D69CF"/>
    <w:rsid w:val="000D7FE6"/>
    <w:rsid w:val="00117678"/>
    <w:rsid w:val="00117CE1"/>
    <w:rsid w:val="00125A5A"/>
    <w:rsid w:val="00130BE5"/>
    <w:rsid w:val="001323CB"/>
    <w:rsid w:val="00141258"/>
    <w:rsid w:val="00145950"/>
    <w:rsid w:val="00146689"/>
    <w:rsid w:val="00172209"/>
    <w:rsid w:val="00175DD2"/>
    <w:rsid w:val="001833A0"/>
    <w:rsid w:val="001A0051"/>
    <w:rsid w:val="001A6098"/>
    <w:rsid w:val="001B42FC"/>
    <w:rsid w:val="001B7491"/>
    <w:rsid w:val="001C2012"/>
    <w:rsid w:val="001C46C4"/>
    <w:rsid w:val="001C7FD5"/>
    <w:rsid w:val="001D0823"/>
    <w:rsid w:val="001D46C0"/>
    <w:rsid w:val="001D751E"/>
    <w:rsid w:val="001F3F6D"/>
    <w:rsid w:val="00200D6B"/>
    <w:rsid w:val="00202E2F"/>
    <w:rsid w:val="00205F98"/>
    <w:rsid w:val="00214A6D"/>
    <w:rsid w:val="00216D78"/>
    <w:rsid w:val="00240712"/>
    <w:rsid w:val="00251B5A"/>
    <w:rsid w:val="002736CE"/>
    <w:rsid w:val="00275E92"/>
    <w:rsid w:val="00287C58"/>
    <w:rsid w:val="00291000"/>
    <w:rsid w:val="0029126A"/>
    <w:rsid w:val="002974B3"/>
    <w:rsid w:val="002B6CEF"/>
    <w:rsid w:val="002C4B69"/>
    <w:rsid w:val="002C7384"/>
    <w:rsid w:val="002D55BF"/>
    <w:rsid w:val="002D753D"/>
    <w:rsid w:val="002E0EB7"/>
    <w:rsid w:val="002E4797"/>
    <w:rsid w:val="002F228F"/>
    <w:rsid w:val="002F2860"/>
    <w:rsid w:val="002F640D"/>
    <w:rsid w:val="00335472"/>
    <w:rsid w:val="00343796"/>
    <w:rsid w:val="00374C7F"/>
    <w:rsid w:val="003832A0"/>
    <w:rsid w:val="00383CF6"/>
    <w:rsid w:val="00383D91"/>
    <w:rsid w:val="003A10FC"/>
    <w:rsid w:val="003B41A8"/>
    <w:rsid w:val="003D60AF"/>
    <w:rsid w:val="003E680E"/>
    <w:rsid w:val="003E6FD3"/>
    <w:rsid w:val="0043091D"/>
    <w:rsid w:val="00435B4D"/>
    <w:rsid w:val="0044183C"/>
    <w:rsid w:val="00452E6A"/>
    <w:rsid w:val="00453660"/>
    <w:rsid w:val="004757D6"/>
    <w:rsid w:val="00492339"/>
    <w:rsid w:val="0049314E"/>
    <w:rsid w:val="004B118A"/>
    <w:rsid w:val="004B5F59"/>
    <w:rsid w:val="004C0754"/>
    <w:rsid w:val="004C3322"/>
    <w:rsid w:val="004E54B8"/>
    <w:rsid w:val="004F75E5"/>
    <w:rsid w:val="0051173F"/>
    <w:rsid w:val="00527CC1"/>
    <w:rsid w:val="00530F2D"/>
    <w:rsid w:val="00535D62"/>
    <w:rsid w:val="00541714"/>
    <w:rsid w:val="00547F20"/>
    <w:rsid w:val="00565D99"/>
    <w:rsid w:val="0057144C"/>
    <w:rsid w:val="005738E8"/>
    <w:rsid w:val="00591F0F"/>
    <w:rsid w:val="00595CB6"/>
    <w:rsid w:val="005A2C90"/>
    <w:rsid w:val="005C0AE1"/>
    <w:rsid w:val="005C3D36"/>
    <w:rsid w:val="005C3F91"/>
    <w:rsid w:val="005C5F78"/>
    <w:rsid w:val="005E21D3"/>
    <w:rsid w:val="005F4D65"/>
    <w:rsid w:val="00632272"/>
    <w:rsid w:val="00632EED"/>
    <w:rsid w:val="00644542"/>
    <w:rsid w:val="0064545E"/>
    <w:rsid w:val="00662448"/>
    <w:rsid w:val="006B0F73"/>
    <w:rsid w:val="006E457A"/>
    <w:rsid w:val="00723C77"/>
    <w:rsid w:val="007344ED"/>
    <w:rsid w:val="00747D6D"/>
    <w:rsid w:val="00747E36"/>
    <w:rsid w:val="00751305"/>
    <w:rsid w:val="0075480E"/>
    <w:rsid w:val="007602D0"/>
    <w:rsid w:val="00770B0B"/>
    <w:rsid w:val="0079343B"/>
    <w:rsid w:val="007A40C8"/>
    <w:rsid w:val="007E5E44"/>
    <w:rsid w:val="00820DE2"/>
    <w:rsid w:val="008276F6"/>
    <w:rsid w:val="00840B25"/>
    <w:rsid w:val="00847F08"/>
    <w:rsid w:val="00850340"/>
    <w:rsid w:val="00852355"/>
    <w:rsid w:val="00854D24"/>
    <w:rsid w:val="008A3511"/>
    <w:rsid w:val="008A7CCA"/>
    <w:rsid w:val="008C180F"/>
    <w:rsid w:val="008D0857"/>
    <w:rsid w:val="008E1FC3"/>
    <w:rsid w:val="008F5016"/>
    <w:rsid w:val="00923B3E"/>
    <w:rsid w:val="009276A1"/>
    <w:rsid w:val="00943D53"/>
    <w:rsid w:val="00947DEA"/>
    <w:rsid w:val="00950E1F"/>
    <w:rsid w:val="00955E6B"/>
    <w:rsid w:val="00980C49"/>
    <w:rsid w:val="00984B8B"/>
    <w:rsid w:val="00986442"/>
    <w:rsid w:val="00991D47"/>
    <w:rsid w:val="00993E0F"/>
    <w:rsid w:val="009A1AD9"/>
    <w:rsid w:val="009B1432"/>
    <w:rsid w:val="009B6C1B"/>
    <w:rsid w:val="009C7BAE"/>
    <w:rsid w:val="009F29E3"/>
    <w:rsid w:val="009F4EEA"/>
    <w:rsid w:val="009F6E96"/>
    <w:rsid w:val="00A00612"/>
    <w:rsid w:val="00A0494F"/>
    <w:rsid w:val="00A159C7"/>
    <w:rsid w:val="00A17CF7"/>
    <w:rsid w:val="00A20C6D"/>
    <w:rsid w:val="00A241D0"/>
    <w:rsid w:val="00A3005F"/>
    <w:rsid w:val="00A3733B"/>
    <w:rsid w:val="00A41BD3"/>
    <w:rsid w:val="00A42A57"/>
    <w:rsid w:val="00A56151"/>
    <w:rsid w:val="00A60C65"/>
    <w:rsid w:val="00A738B6"/>
    <w:rsid w:val="00A74D39"/>
    <w:rsid w:val="00A9213D"/>
    <w:rsid w:val="00AA36E5"/>
    <w:rsid w:val="00AA4428"/>
    <w:rsid w:val="00AC1168"/>
    <w:rsid w:val="00AC19E5"/>
    <w:rsid w:val="00AD301C"/>
    <w:rsid w:val="00B07E5F"/>
    <w:rsid w:val="00B112DA"/>
    <w:rsid w:val="00B138AD"/>
    <w:rsid w:val="00B14C5B"/>
    <w:rsid w:val="00B23B27"/>
    <w:rsid w:val="00B26A1E"/>
    <w:rsid w:val="00B27E9A"/>
    <w:rsid w:val="00B41D66"/>
    <w:rsid w:val="00B41F29"/>
    <w:rsid w:val="00B56B40"/>
    <w:rsid w:val="00B65EBF"/>
    <w:rsid w:val="00B673FD"/>
    <w:rsid w:val="00B9350B"/>
    <w:rsid w:val="00BA60CC"/>
    <w:rsid w:val="00BA638E"/>
    <w:rsid w:val="00BB0F95"/>
    <w:rsid w:val="00BB3CE7"/>
    <w:rsid w:val="00BB717B"/>
    <w:rsid w:val="00BC1176"/>
    <w:rsid w:val="00BC1DAF"/>
    <w:rsid w:val="00BC58F5"/>
    <w:rsid w:val="00BE1717"/>
    <w:rsid w:val="00BE7106"/>
    <w:rsid w:val="00BF04ED"/>
    <w:rsid w:val="00BF0679"/>
    <w:rsid w:val="00BF63FE"/>
    <w:rsid w:val="00C044AC"/>
    <w:rsid w:val="00C31F2E"/>
    <w:rsid w:val="00C401F9"/>
    <w:rsid w:val="00C41624"/>
    <w:rsid w:val="00C47DA8"/>
    <w:rsid w:val="00C50DC8"/>
    <w:rsid w:val="00C54A52"/>
    <w:rsid w:val="00C73152"/>
    <w:rsid w:val="00C96E25"/>
    <w:rsid w:val="00CA1572"/>
    <w:rsid w:val="00CB0945"/>
    <w:rsid w:val="00CB0B62"/>
    <w:rsid w:val="00CC2318"/>
    <w:rsid w:val="00CC693E"/>
    <w:rsid w:val="00CE2223"/>
    <w:rsid w:val="00D054A7"/>
    <w:rsid w:val="00D077E6"/>
    <w:rsid w:val="00D07C10"/>
    <w:rsid w:val="00D14544"/>
    <w:rsid w:val="00D23841"/>
    <w:rsid w:val="00D33649"/>
    <w:rsid w:val="00D544E7"/>
    <w:rsid w:val="00D60BB3"/>
    <w:rsid w:val="00D77824"/>
    <w:rsid w:val="00D811DE"/>
    <w:rsid w:val="00D81E7E"/>
    <w:rsid w:val="00DD3CCD"/>
    <w:rsid w:val="00DD67D8"/>
    <w:rsid w:val="00DE01D9"/>
    <w:rsid w:val="00DE413D"/>
    <w:rsid w:val="00E1554A"/>
    <w:rsid w:val="00E3213D"/>
    <w:rsid w:val="00E3280D"/>
    <w:rsid w:val="00E35462"/>
    <w:rsid w:val="00E4590B"/>
    <w:rsid w:val="00E548B1"/>
    <w:rsid w:val="00E65713"/>
    <w:rsid w:val="00EA7DCB"/>
    <w:rsid w:val="00EC7DD6"/>
    <w:rsid w:val="00ED3C35"/>
    <w:rsid w:val="00ED5F8F"/>
    <w:rsid w:val="00EE06C2"/>
    <w:rsid w:val="00EE1B67"/>
    <w:rsid w:val="00EE3D84"/>
    <w:rsid w:val="00EF090F"/>
    <w:rsid w:val="00EF0A28"/>
    <w:rsid w:val="00EF69B0"/>
    <w:rsid w:val="00EF74C6"/>
    <w:rsid w:val="00EF7717"/>
    <w:rsid w:val="00F01399"/>
    <w:rsid w:val="00F158A3"/>
    <w:rsid w:val="00F20C15"/>
    <w:rsid w:val="00F259E7"/>
    <w:rsid w:val="00F32177"/>
    <w:rsid w:val="00F377E0"/>
    <w:rsid w:val="00F41CDB"/>
    <w:rsid w:val="00F460E2"/>
    <w:rsid w:val="00F53DEE"/>
    <w:rsid w:val="00F62A5A"/>
    <w:rsid w:val="00F6350A"/>
    <w:rsid w:val="00F636DC"/>
    <w:rsid w:val="00F671BE"/>
    <w:rsid w:val="00F71D08"/>
    <w:rsid w:val="00F74A62"/>
    <w:rsid w:val="00F82160"/>
    <w:rsid w:val="00F8683D"/>
    <w:rsid w:val="00FC449F"/>
    <w:rsid w:val="00FD01D1"/>
    <w:rsid w:val="00FD27A4"/>
    <w:rsid w:val="00FD3CB7"/>
    <w:rsid w:val="00FD5CF2"/>
    <w:rsid w:val="00FD633E"/>
    <w:rsid w:val="00FE4AC7"/>
    <w:rsid w:val="00FF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53C2B4"/>
  <w15:docId w15:val="{3E609C15-5C90-4FC0-983C-743ED5C5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6B"/>
    <w:rPr>
      <w:rFonts w:ascii="Times" w:hAnsi="Times"/>
      <w:sz w:val="24"/>
    </w:rPr>
  </w:style>
  <w:style w:type="paragraph" w:styleId="Heading1">
    <w:name w:val="heading 1"/>
    <w:basedOn w:val="Normal"/>
    <w:next w:val="Normal"/>
    <w:qFormat/>
    <w:rsid w:val="00200D6B"/>
    <w:pPr>
      <w:keepNext/>
      <w:tabs>
        <w:tab w:val="left" w:pos="2340"/>
      </w:tabs>
      <w:spacing w:before="600"/>
      <w:jc w:val="center"/>
      <w:outlineLvl w:val="0"/>
    </w:pPr>
    <w:rPr>
      <w:rFonts w:ascii="Times New Roman" w:hAnsi="Times New Roman"/>
      <w:b/>
      <w:sz w:val="18"/>
    </w:rPr>
  </w:style>
  <w:style w:type="paragraph" w:styleId="Heading2">
    <w:name w:val="heading 2"/>
    <w:basedOn w:val="Normal"/>
    <w:next w:val="Normal"/>
    <w:link w:val="Heading2Char"/>
    <w:qFormat/>
    <w:rsid w:val="00200D6B"/>
    <w:pPr>
      <w:keepNext/>
      <w:ind w:right="1080"/>
      <w:outlineLvl w:val="1"/>
    </w:pPr>
    <w:rPr>
      <w:rFonts w:ascii="Times New Roman" w:hAnsi="Times New Roman"/>
      <w:b/>
    </w:rPr>
  </w:style>
  <w:style w:type="paragraph" w:styleId="Heading3">
    <w:name w:val="heading 3"/>
    <w:basedOn w:val="Normal"/>
    <w:next w:val="Normal"/>
    <w:qFormat/>
    <w:rsid w:val="00200D6B"/>
    <w:pPr>
      <w:keepNext/>
      <w:outlineLvl w:val="2"/>
    </w:pPr>
    <w:rPr>
      <w:rFonts w:ascii="Garamond" w:hAnsi="Garamond"/>
      <w:b/>
      <w:color w:val="000000"/>
      <w:sz w:val="22"/>
      <w:u w:val="single"/>
    </w:rPr>
  </w:style>
  <w:style w:type="paragraph" w:styleId="Heading4">
    <w:name w:val="heading 4"/>
    <w:basedOn w:val="Normal"/>
    <w:next w:val="Normal"/>
    <w:qFormat/>
    <w:rsid w:val="00200D6B"/>
    <w:pPr>
      <w:keepNext/>
      <w:outlineLvl w:val="3"/>
    </w:pPr>
    <w:rPr>
      <w:rFonts w:ascii="Windsor BT" w:hAnsi="Windsor BT"/>
      <w:b/>
      <w:sz w:val="20"/>
      <w:u w:val="single"/>
    </w:rPr>
  </w:style>
  <w:style w:type="paragraph" w:styleId="Heading5">
    <w:name w:val="heading 5"/>
    <w:basedOn w:val="Normal"/>
    <w:next w:val="Normal"/>
    <w:qFormat/>
    <w:rsid w:val="00200D6B"/>
    <w:pPr>
      <w:keepNext/>
      <w:ind w:right="1080"/>
      <w:jc w:val="both"/>
      <w:outlineLvl w:val="4"/>
    </w:pPr>
    <w:rPr>
      <w:rFonts w:ascii="Windsor BT" w:hAnsi="Windsor BT"/>
      <w:smallCaps/>
      <w:sz w:val="20"/>
      <w:u w:val="single"/>
    </w:rPr>
  </w:style>
  <w:style w:type="paragraph" w:styleId="Heading6">
    <w:name w:val="heading 6"/>
    <w:basedOn w:val="Normal"/>
    <w:next w:val="Normal"/>
    <w:link w:val="Heading6Char"/>
    <w:qFormat/>
    <w:rsid w:val="00200D6B"/>
    <w:pPr>
      <w:keepNext/>
      <w:ind w:right="5"/>
      <w:jc w:val="both"/>
      <w:outlineLvl w:val="5"/>
    </w:pPr>
    <w:rPr>
      <w:rFonts w:ascii="Garamond" w:hAnsi="Garamond"/>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0D6B"/>
    <w:pPr>
      <w:tabs>
        <w:tab w:val="center" w:pos="4320"/>
        <w:tab w:val="right" w:pos="8640"/>
      </w:tabs>
    </w:pPr>
  </w:style>
  <w:style w:type="paragraph" w:styleId="Header">
    <w:name w:val="header"/>
    <w:basedOn w:val="Normal"/>
    <w:semiHidden/>
    <w:rsid w:val="00200D6B"/>
    <w:pPr>
      <w:tabs>
        <w:tab w:val="center" w:pos="4320"/>
        <w:tab w:val="right" w:pos="8640"/>
      </w:tabs>
    </w:pPr>
  </w:style>
  <w:style w:type="character" w:styleId="PageNumber">
    <w:name w:val="page number"/>
    <w:basedOn w:val="DefaultParagraphFont"/>
    <w:semiHidden/>
    <w:rsid w:val="00200D6B"/>
  </w:style>
  <w:style w:type="character" w:styleId="Hyperlink">
    <w:name w:val="Hyperlink"/>
    <w:basedOn w:val="DefaultParagraphFont"/>
    <w:semiHidden/>
    <w:rsid w:val="00200D6B"/>
    <w:rPr>
      <w:color w:val="0000FF"/>
      <w:u w:val="single"/>
    </w:rPr>
  </w:style>
  <w:style w:type="character" w:styleId="FollowedHyperlink">
    <w:name w:val="FollowedHyperlink"/>
    <w:basedOn w:val="DefaultParagraphFont"/>
    <w:semiHidden/>
    <w:rsid w:val="00200D6B"/>
    <w:rPr>
      <w:color w:val="800080"/>
      <w:u w:val="single"/>
    </w:rPr>
  </w:style>
  <w:style w:type="paragraph" w:styleId="BodyText">
    <w:name w:val="Body Text"/>
    <w:basedOn w:val="Normal"/>
    <w:semiHidden/>
    <w:rsid w:val="00200D6B"/>
    <w:rPr>
      <w:rFonts w:ascii="Times New Roman" w:hAnsi="Times New Roman"/>
      <w:i/>
      <w:color w:val="008000"/>
    </w:rPr>
  </w:style>
  <w:style w:type="paragraph" w:styleId="DocumentMap">
    <w:name w:val="Document Map"/>
    <w:basedOn w:val="Normal"/>
    <w:semiHidden/>
    <w:rsid w:val="00200D6B"/>
    <w:pPr>
      <w:shd w:val="clear" w:color="auto" w:fill="000080"/>
    </w:pPr>
    <w:rPr>
      <w:rFonts w:ascii="Tahoma" w:hAnsi="Tahoma"/>
    </w:rPr>
  </w:style>
  <w:style w:type="paragraph" w:styleId="Title">
    <w:name w:val="Title"/>
    <w:basedOn w:val="Normal"/>
    <w:qFormat/>
    <w:rsid w:val="00200D6B"/>
    <w:pPr>
      <w:ind w:right="-25"/>
      <w:jc w:val="center"/>
    </w:pPr>
    <w:rPr>
      <w:rFonts w:ascii="Windsor BT" w:hAnsi="Windsor BT"/>
      <w:b/>
    </w:rPr>
  </w:style>
  <w:style w:type="paragraph" w:styleId="BodyText3">
    <w:name w:val="Body Text 3"/>
    <w:basedOn w:val="Normal"/>
    <w:semiHidden/>
    <w:rsid w:val="00200D6B"/>
    <w:pPr>
      <w:ind w:right="-655"/>
      <w:jc w:val="both"/>
    </w:pPr>
    <w:rPr>
      <w:rFonts w:ascii="Bookman Old Style" w:hAnsi="Bookman Old Style"/>
      <w:sz w:val="22"/>
    </w:rPr>
  </w:style>
  <w:style w:type="paragraph" w:styleId="BodyText2">
    <w:name w:val="Body Text 2"/>
    <w:basedOn w:val="Normal"/>
    <w:semiHidden/>
    <w:rsid w:val="00200D6B"/>
    <w:pPr>
      <w:ind w:right="5"/>
      <w:jc w:val="both"/>
    </w:pPr>
    <w:rPr>
      <w:rFonts w:ascii="Bookman Old Style" w:hAnsi="Bookman Old Style"/>
      <w:sz w:val="22"/>
    </w:rPr>
  </w:style>
  <w:style w:type="paragraph" w:customStyle="1" w:styleId="Normal2">
    <w:name w:val="Normal2"/>
    <w:basedOn w:val="Normal"/>
    <w:rsid w:val="00200D6B"/>
    <w:pPr>
      <w:ind w:left="720" w:hanging="720"/>
    </w:pPr>
    <w:rPr>
      <w:rFonts w:ascii="Palatino" w:hAnsi="Palatino"/>
      <w:sz w:val="20"/>
    </w:rPr>
  </w:style>
  <w:style w:type="paragraph" w:styleId="ListParagraph">
    <w:name w:val="List Paragraph"/>
    <w:basedOn w:val="Normal"/>
    <w:uiPriority w:val="34"/>
    <w:qFormat/>
    <w:rsid w:val="005738E8"/>
    <w:pPr>
      <w:ind w:left="720"/>
      <w:contextualSpacing/>
    </w:pPr>
  </w:style>
  <w:style w:type="character" w:customStyle="1" w:styleId="Heading6Char">
    <w:name w:val="Heading 6 Char"/>
    <w:basedOn w:val="DefaultParagraphFont"/>
    <w:link w:val="Heading6"/>
    <w:rsid w:val="00492339"/>
    <w:rPr>
      <w:rFonts w:ascii="Garamond" w:hAnsi="Garamond"/>
      <w:sz w:val="22"/>
      <w:u w:val="single"/>
    </w:rPr>
  </w:style>
  <w:style w:type="table" w:styleId="TableGrid">
    <w:name w:val="Table Grid"/>
    <w:basedOn w:val="TableNormal"/>
    <w:uiPriority w:val="39"/>
    <w:rsid w:val="0049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927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uiPriority w:val="99"/>
    <w:rsid w:val="009276A1"/>
    <w:rPr>
      <w:rFonts w:ascii="Courier New" w:eastAsia="Courier New" w:hAnsi="Courier New" w:cs="Courier New"/>
    </w:rPr>
  </w:style>
  <w:style w:type="character" w:customStyle="1" w:styleId="FooterChar">
    <w:name w:val="Footer Char"/>
    <w:basedOn w:val="DefaultParagraphFont"/>
    <w:link w:val="Footer"/>
    <w:uiPriority w:val="99"/>
    <w:rsid w:val="004E54B8"/>
    <w:rPr>
      <w:rFonts w:ascii="Times" w:hAnsi="Times"/>
      <w:sz w:val="24"/>
    </w:rPr>
  </w:style>
  <w:style w:type="paragraph" w:styleId="BalloonText">
    <w:name w:val="Balloon Text"/>
    <w:basedOn w:val="Normal"/>
    <w:link w:val="BalloonTextChar"/>
    <w:uiPriority w:val="99"/>
    <w:semiHidden/>
    <w:unhideWhenUsed/>
    <w:rsid w:val="00F63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6DC"/>
    <w:rPr>
      <w:rFonts w:ascii="Segoe UI" w:hAnsi="Segoe UI" w:cs="Segoe UI"/>
      <w:sz w:val="18"/>
      <w:szCs w:val="18"/>
    </w:rPr>
  </w:style>
  <w:style w:type="character" w:customStyle="1" w:styleId="Heading2Char">
    <w:name w:val="Heading 2 Char"/>
    <w:basedOn w:val="DefaultParagraphFont"/>
    <w:link w:val="Heading2"/>
    <w:rsid w:val="001D0823"/>
    <w:rPr>
      <w:rFonts w:ascii="Times New Roman" w:hAnsi="Times New Roman"/>
      <w:b/>
      <w:sz w:val="24"/>
    </w:rPr>
  </w:style>
  <w:style w:type="paragraph" w:styleId="NoSpacing">
    <w:name w:val="No Spacing"/>
    <w:uiPriority w:val="1"/>
    <w:qFormat/>
    <w:rsid w:val="001D0823"/>
    <w:rPr>
      <w:rFonts w:asciiTheme="minorHAnsi" w:eastAsiaTheme="minorHAnsi" w:hAnsiTheme="minorHAnsi" w:cstheme="minorBidi"/>
      <w:sz w:val="22"/>
      <w:szCs w:val="22"/>
    </w:rPr>
  </w:style>
  <w:style w:type="paragraph" w:customStyle="1" w:styleId="SubItemLvl2">
    <w:name w:val="SubItem Lvl 2"/>
    <w:basedOn w:val="Normal"/>
    <w:rsid w:val="001D0823"/>
    <w:pPr>
      <w:ind w:left="2880" w:hanging="720"/>
      <w:jc w:val="both"/>
    </w:pPr>
    <w:rPr>
      <w:rFonts w:ascii="Times New Roman" w:hAnsi="Times New Roman"/>
      <w:sz w:val="20"/>
    </w:rPr>
  </w:style>
  <w:style w:type="paragraph" w:customStyle="1" w:styleId="wqBodyText0">
    <w:name w:val="wqBodyText0"/>
    <w:aliases w:val="bt0"/>
    <w:basedOn w:val="Normal"/>
    <w:rsid w:val="001D0823"/>
    <w:pPr>
      <w:spacing w:after="120"/>
    </w:pPr>
    <w:rPr>
      <w:rFonts w:ascii="Times New Roman" w:eastAsiaTheme="minorHAnsi"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5850">
      <w:bodyDiv w:val="1"/>
      <w:marLeft w:val="0"/>
      <w:marRight w:val="0"/>
      <w:marTop w:val="0"/>
      <w:marBottom w:val="0"/>
      <w:divBdr>
        <w:top w:val="none" w:sz="0" w:space="0" w:color="auto"/>
        <w:left w:val="none" w:sz="0" w:space="0" w:color="auto"/>
        <w:bottom w:val="none" w:sz="0" w:space="0" w:color="auto"/>
        <w:right w:val="none" w:sz="0" w:space="0" w:color="auto"/>
      </w:divBdr>
    </w:div>
    <w:div w:id="367030688">
      <w:bodyDiv w:val="1"/>
      <w:marLeft w:val="0"/>
      <w:marRight w:val="0"/>
      <w:marTop w:val="0"/>
      <w:marBottom w:val="0"/>
      <w:divBdr>
        <w:top w:val="none" w:sz="0" w:space="0" w:color="auto"/>
        <w:left w:val="none" w:sz="0" w:space="0" w:color="auto"/>
        <w:bottom w:val="none" w:sz="0" w:space="0" w:color="auto"/>
        <w:right w:val="none" w:sz="0" w:space="0" w:color="auto"/>
      </w:divBdr>
    </w:div>
    <w:div w:id="762187970">
      <w:bodyDiv w:val="1"/>
      <w:marLeft w:val="0"/>
      <w:marRight w:val="0"/>
      <w:marTop w:val="0"/>
      <w:marBottom w:val="0"/>
      <w:divBdr>
        <w:top w:val="none" w:sz="0" w:space="0" w:color="auto"/>
        <w:left w:val="none" w:sz="0" w:space="0" w:color="auto"/>
        <w:bottom w:val="none" w:sz="0" w:space="0" w:color="auto"/>
        <w:right w:val="none" w:sz="0" w:space="0" w:color="auto"/>
      </w:divBdr>
    </w:div>
    <w:div w:id="1126045240">
      <w:bodyDiv w:val="1"/>
      <w:marLeft w:val="0"/>
      <w:marRight w:val="0"/>
      <w:marTop w:val="0"/>
      <w:marBottom w:val="0"/>
      <w:divBdr>
        <w:top w:val="none" w:sz="0" w:space="0" w:color="auto"/>
        <w:left w:val="none" w:sz="0" w:space="0" w:color="auto"/>
        <w:bottom w:val="none" w:sz="0" w:space="0" w:color="auto"/>
        <w:right w:val="none" w:sz="0" w:space="0" w:color="auto"/>
      </w:divBdr>
    </w:div>
    <w:div w:id="1282418283">
      <w:bodyDiv w:val="1"/>
      <w:marLeft w:val="0"/>
      <w:marRight w:val="0"/>
      <w:marTop w:val="0"/>
      <w:marBottom w:val="0"/>
      <w:divBdr>
        <w:top w:val="none" w:sz="0" w:space="0" w:color="auto"/>
        <w:left w:val="none" w:sz="0" w:space="0" w:color="auto"/>
        <w:bottom w:val="none" w:sz="0" w:space="0" w:color="auto"/>
        <w:right w:val="none" w:sz="0" w:space="0" w:color="auto"/>
      </w:divBdr>
    </w:div>
    <w:div w:id="132608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1059F-407A-43BF-83B1-EBD3A196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4295</Words>
  <Characters>24483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DENR/DWQ</vt:lpstr>
    </vt:vector>
  </TitlesOfParts>
  <Company>NCDENR/ DWQ</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DENR/DWQ</dc:title>
  <dc:subject/>
  <dc:creator>DWQ User</dc:creator>
  <cp:keywords/>
  <cp:lastModifiedBy>Harris, Denise J</cp:lastModifiedBy>
  <cp:revision>2</cp:revision>
  <cp:lastPrinted>2018-07-11T12:19:00Z</cp:lastPrinted>
  <dcterms:created xsi:type="dcterms:W3CDTF">2021-12-15T16:51:00Z</dcterms:created>
  <dcterms:modified xsi:type="dcterms:W3CDTF">2021-12-15T16:51:00Z</dcterms:modified>
</cp:coreProperties>
</file>