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61A3C" w14:textId="77777777" w:rsidR="0007294E" w:rsidRPr="00FA4EF4" w:rsidRDefault="0007294E" w:rsidP="00E962DC">
      <w:pPr>
        <w:jc w:val="center"/>
        <w:rPr>
          <w:rFonts w:cs="Times New Roman"/>
          <w:b/>
          <w:bCs/>
        </w:rPr>
      </w:pPr>
    </w:p>
    <w:p w14:paraId="24B482EB" w14:textId="77777777" w:rsidR="0007294E" w:rsidRPr="00FA4EF4" w:rsidRDefault="0007294E" w:rsidP="00BB77F1">
      <w:pPr>
        <w:ind w:firstLine="0"/>
        <w:jc w:val="center"/>
        <w:rPr>
          <w:rFonts w:cs="Times New Roman"/>
          <w:b/>
          <w:bCs/>
        </w:rPr>
      </w:pPr>
    </w:p>
    <w:p w14:paraId="5E7ABA4F" w14:textId="77777777" w:rsidR="0007294E" w:rsidRPr="00FA4EF4" w:rsidRDefault="0007294E" w:rsidP="00BB77F1">
      <w:pPr>
        <w:ind w:firstLine="0"/>
        <w:jc w:val="center"/>
        <w:rPr>
          <w:rFonts w:cs="Times New Roman"/>
          <w:b/>
          <w:bCs/>
        </w:rPr>
      </w:pPr>
    </w:p>
    <w:p w14:paraId="19BF9373" w14:textId="77777777" w:rsidR="0007294E" w:rsidRPr="00FA4EF4" w:rsidRDefault="0007294E" w:rsidP="00BB77F1">
      <w:pPr>
        <w:ind w:firstLine="0"/>
        <w:jc w:val="center"/>
        <w:rPr>
          <w:rFonts w:cs="Times New Roman"/>
          <w:b/>
          <w:bCs/>
        </w:rPr>
      </w:pPr>
    </w:p>
    <w:p w14:paraId="563AAFB3" w14:textId="77777777" w:rsidR="0007294E" w:rsidRPr="00FA4EF4" w:rsidRDefault="0007294E" w:rsidP="00BB77F1">
      <w:pPr>
        <w:ind w:firstLine="0"/>
        <w:jc w:val="center"/>
        <w:rPr>
          <w:rFonts w:cs="Times New Roman"/>
          <w:b/>
          <w:bCs/>
        </w:rPr>
      </w:pPr>
    </w:p>
    <w:p w14:paraId="23DEF57C" w14:textId="77777777" w:rsidR="006B1D54" w:rsidRPr="00FA4EF4" w:rsidRDefault="006B1D54" w:rsidP="00BB77F1">
      <w:pPr>
        <w:ind w:firstLine="0"/>
        <w:jc w:val="center"/>
        <w:rPr>
          <w:rFonts w:cs="Times New Roman"/>
          <w:b/>
          <w:bCs/>
        </w:rPr>
      </w:pPr>
    </w:p>
    <w:p w14:paraId="4EBDC184" w14:textId="4E4482B8" w:rsidR="00E962DC" w:rsidRPr="00FA4EF4" w:rsidRDefault="00E962DC" w:rsidP="00BB77F1">
      <w:pPr>
        <w:ind w:firstLine="0"/>
        <w:jc w:val="center"/>
        <w:rPr>
          <w:rFonts w:cs="Times New Roman"/>
          <w:b/>
          <w:bCs/>
          <w:sz w:val="32"/>
          <w:szCs w:val="32"/>
        </w:rPr>
      </w:pPr>
      <w:r w:rsidRPr="00FA4EF4">
        <w:rPr>
          <w:rFonts w:cs="Times New Roman"/>
          <w:b/>
          <w:bCs/>
          <w:sz w:val="32"/>
          <w:szCs w:val="32"/>
        </w:rPr>
        <w:t xml:space="preserve">Critical Mineral Characterization of the Tungsten Queen Mine Tailings, </w:t>
      </w:r>
      <w:r w:rsidR="0029548E">
        <w:rPr>
          <w:rFonts w:cs="Times New Roman"/>
          <w:b/>
          <w:bCs/>
          <w:sz w:val="32"/>
          <w:szCs w:val="32"/>
        </w:rPr>
        <w:t xml:space="preserve">Vance County, </w:t>
      </w:r>
      <w:r w:rsidRPr="00FA4EF4">
        <w:rPr>
          <w:rFonts w:cs="Times New Roman"/>
          <w:b/>
          <w:bCs/>
          <w:sz w:val="32"/>
          <w:szCs w:val="32"/>
        </w:rPr>
        <w:t>North Carolina</w:t>
      </w:r>
    </w:p>
    <w:p w14:paraId="3FABEF76" w14:textId="77777777" w:rsidR="0007294E" w:rsidRPr="00FA4EF4" w:rsidRDefault="0007294E" w:rsidP="00BB77F1">
      <w:pPr>
        <w:ind w:firstLine="0"/>
        <w:jc w:val="center"/>
        <w:rPr>
          <w:rFonts w:cs="Times New Roman"/>
          <w:b/>
          <w:bCs/>
          <w:sz w:val="32"/>
          <w:szCs w:val="32"/>
        </w:rPr>
      </w:pPr>
    </w:p>
    <w:p w14:paraId="6B613674" w14:textId="0EA8078A" w:rsidR="007C28E5" w:rsidRPr="00815DDB" w:rsidRDefault="007C28E5" w:rsidP="00BB77F1">
      <w:pPr>
        <w:ind w:firstLine="0"/>
        <w:jc w:val="center"/>
        <w:rPr>
          <w:rFonts w:cs="Times New Roman"/>
          <w:szCs w:val="24"/>
        </w:rPr>
      </w:pPr>
      <w:r w:rsidRPr="00815DDB">
        <w:rPr>
          <w:rFonts w:cs="Times New Roman"/>
          <w:szCs w:val="24"/>
        </w:rPr>
        <w:t xml:space="preserve">Heather D. Hanna, </w:t>
      </w:r>
      <w:r w:rsidR="000B4C33" w:rsidRPr="00815DDB">
        <w:rPr>
          <w:rFonts w:cs="Times New Roman"/>
          <w:szCs w:val="24"/>
        </w:rPr>
        <w:t xml:space="preserve">Adam </w:t>
      </w:r>
      <w:r w:rsidR="00475231" w:rsidRPr="00815DDB">
        <w:rPr>
          <w:rFonts w:cs="Times New Roman"/>
          <w:szCs w:val="24"/>
        </w:rPr>
        <w:t xml:space="preserve">C. </w:t>
      </w:r>
      <w:r w:rsidR="000B4C33" w:rsidRPr="00815DDB">
        <w:rPr>
          <w:rFonts w:cs="Times New Roman"/>
          <w:szCs w:val="24"/>
        </w:rPr>
        <w:t>Curry,</w:t>
      </w:r>
      <w:r w:rsidR="00D90BE6" w:rsidRPr="00815DDB">
        <w:rPr>
          <w:rFonts w:cs="Times New Roman"/>
          <w:szCs w:val="24"/>
        </w:rPr>
        <w:t xml:space="preserve"> </w:t>
      </w:r>
      <w:r w:rsidRPr="00815DDB">
        <w:rPr>
          <w:rFonts w:cs="Times New Roman"/>
          <w:szCs w:val="24"/>
        </w:rPr>
        <w:t>James</w:t>
      </w:r>
      <w:r w:rsidR="004125DC" w:rsidRPr="00815DDB">
        <w:rPr>
          <w:rFonts w:cs="Times New Roman"/>
          <w:szCs w:val="24"/>
        </w:rPr>
        <w:t xml:space="preserve"> S.</w:t>
      </w:r>
      <w:r w:rsidRPr="00815DDB">
        <w:rPr>
          <w:rFonts w:cs="Times New Roman"/>
          <w:szCs w:val="24"/>
        </w:rPr>
        <w:t xml:space="preserve"> Chapman, Dwain </w:t>
      </w:r>
      <w:r w:rsidR="00475231" w:rsidRPr="00815DDB">
        <w:rPr>
          <w:rFonts w:cs="Times New Roman"/>
          <w:szCs w:val="24"/>
        </w:rPr>
        <w:t xml:space="preserve">M. </w:t>
      </w:r>
      <w:r w:rsidRPr="00815DDB">
        <w:rPr>
          <w:rFonts w:cs="Times New Roman"/>
          <w:szCs w:val="24"/>
        </w:rPr>
        <w:t>Veach, Katherine Pelt</w:t>
      </w:r>
    </w:p>
    <w:p w14:paraId="048EDEAA" w14:textId="77777777" w:rsidR="00BA44B7" w:rsidRPr="00815DDB" w:rsidRDefault="0007294E" w:rsidP="00BB77F1">
      <w:pPr>
        <w:ind w:firstLine="0"/>
        <w:jc w:val="center"/>
        <w:rPr>
          <w:rFonts w:cs="Times New Roman"/>
          <w:szCs w:val="24"/>
        </w:rPr>
      </w:pPr>
      <w:r w:rsidRPr="00815DDB">
        <w:rPr>
          <w:rFonts w:cs="Times New Roman"/>
          <w:szCs w:val="24"/>
        </w:rPr>
        <w:t>North Carolina Geological Survey</w:t>
      </w:r>
    </w:p>
    <w:p w14:paraId="548061C7" w14:textId="77777777" w:rsidR="002F4AB7" w:rsidRDefault="002F4AB7" w:rsidP="00BB77F1">
      <w:pPr>
        <w:ind w:firstLine="0"/>
        <w:jc w:val="center"/>
        <w:rPr>
          <w:rFonts w:cs="Times New Roman"/>
          <w:b/>
          <w:bCs/>
          <w:szCs w:val="24"/>
        </w:rPr>
      </w:pPr>
    </w:p>
    <w:p w14:paraId="6772A3B9" w14:textId="77777777" w:rsidR="00815DDB" w:rsidRDefault="00815DDB" w:rsidP="00BB77F1">
      <w:pPr>
        <w:ind w:firstLine="0"/>
        <w:jc w:val="center"/>
        <w:rPr>
          <w:rFonts w:cs="Times New Roman"/>
          <w:b/>
          <w:bCs/>
          <w:szCs w:val="24"/>
        </w:rPr>
      </w:pPr>
    </w:p>
    <w:p w14:paraId="4D641BF5" w14:textId="0FDE4476" w:rsidR="002F4AB7" w:rsidRDefault="00815DDB" w:rsidP="00BB77F1">
      <w:pPr>
        <w:ind w:firstLine="0"/>
        <w:jc w:val="center"/>
        <w:rPr>
          <w:rFonts w:cs="Times New Roman"/>
          <w:b/>
          <w:bCs/>
          <w:szCs w:val="24"/>
        </w:rPr>
      </w:pPr>
      <w:r>
        <w:rPr>
          <w:rFonts w:cs="Times New Roman"/>
          <w:b/>
          <w:bCs/>
          <w:szCs w:val="24"/>
        </w:rPr>
        <w:t>North Carolina Geological Survey</w:t>
      </w:r>
    </w:p>
    <w:p w14:paraId="42A3316A" w14:textId="0EFF8260" w:rsidR="00815DDB" w:rsidRDefault="00815DDB" w:rsidP="00BB77F1">
      <w:pPr>
        <w:ind w:firstLine="0"/>
        <w:jc w:val="center"/>
        <w:rPr>
          <w:rFonts w:cs="Times New Roman"/>
          <w:b/>
          <w:bCs/>
          <w:szCs w:val="24"/>
        </w:rPr>
      </w:pPr>
      <w:r>
        <w:rPr>
          <w:rFonts w:cs="Times New Roman"/>
          <w:b/>
          <w:bCs/>
          <w:szCs w:val="24"/>
        </w:rPr>
        <w:t>Bulletin 100</w:t>
      </w:r>
    </w:p>
    <w:p w14:paraId="7F228A75" w14:textId="77777777" w:rsidR="00E94988" w:rsidRDefault="00E94988" w:rsidP="00E94988">
      <w:pPr>
        <w:ind w:firstLine="0"/>
        <w:jc w:val="center"/>
        <w:rPr>
          <w:rFonts w:cs="Times New Roman"/>
          <w:b/>
          <w:bCs/>
          <w:szCs w:val="24"/>
        </w:rPr>
      </w:pPr>
    </w:p>
    <w:p w14:paraId="4777FC05" w14:textId="77777777" w:rsidR="00E94988" w:rsidRDefault="00E94988" w:rsidP="00E94988">
      <w:pPr>
        <w:ind w:firstLine="0"/>
        <w:jc w:val="center"/>
        <w:rPr>
          <w:rFonts w:cs="Times New Roman"/>
          <w:b/>
          <w:bCs/>
          <w:szCs w:val="24"/>
        </w:rPr>
      </w:pPr>
    </w:p>
    <w:p w14:paraId="27728DB5" w14:textId="1A34BD0A" w:rsidR="00E94988" w:rsidRDefault="00E94988" w:rsidP="00BB77F1">
      <w:pPr>
        <w:ind w:firstLine="0"/>
        <w:jc w:val="center"/>
        <w:rPr>
          <w:rFonts w:cs="Times New Roman"/>
          <w:b/>
          <w:bCs/>
          <w:szCs w:val="24"/>
        </w:rPr>
      </w:pPr>
      <w:r>
        <w:rPr>
          <w:rFonts w:cs="Times New Roman"/>
          <w:b/>
          <w:bCs/>
          <w:noProof/>
          <w:szCs w:val="24"/>
        </w:rPr>
        <w:drawing>
          <wp:inline distT="0" distB="0" distL="0" distR="0" wp14:anchorId="70D8CEB9" wp14:editId="62A85588">
            <wp:extent cx="2179109" cy="2166257"/>
            <wp:effectExtent l="0" t="0" r="0" b="5715"/>
            <wp:docPr id="18480316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84962" cy="2172076"/>
                    </a:xfrm>
                    <a:prstGeom prst="rect">
                      <a:avLst/>
                    </a:prstGeom>
                    <a:noFill/>
                    <a:ln>
                      <a:noFill/>
                    </a:ln>
                  </pic:spPr>
                </pic:pic>
              </a:graphicData>
            </a:graphic>
          </wp:inline>
        </w:drawing>
      </w:r>
    </w:p>
    <w:p w14:paraId="252488D7" w14:textId="77777777" w:rsidR="00E94988" w:rsidRDefault="00E94988" w:rsidP="00BB77F1">
      <w:pPr>
        <w:ind w:firstLine="0"/>
        <w:jc w:val="center"/>
        <w:rPr>
          <w:rFonts w:cs="Times New Roman"/>
          <w:b/>
          <w:bCs/>
          <w:szCs w:val="24"/>
        </w:rPr>
      </w:pPr>
    </w:p>
    <w:p w14:paraId="44C58F3E" w14:textId="77777777" w:rsidR="00E94988" w:rsidRDefault="00E94988" w:rsidP="00BB77F1">
      <w:pPr>
        <w:ind w:firstLine="0"/>
        <w:jc w:val="center"/>
        <w:rPr>
          <w:rFonts w:cs="Times New Roman"/>
          <w:b/>
          <w:bCs/>
          <w:szCs w:val="24"/>
        </w:rPr>
      </w:pPr>
    </w:p>
    <w:p w14:paraId="268A04FD" w14:textId="065AC0EF" w:rsidR="002F4AB7" w:rsidRPr="00E94988" w:rsidRDefault="00E94988" w:rsidP="00BB77F1">
      <w:pPr>
        <w:ind w:firstLine="0"/>
        <w:jc w:val="center"/>
        <w:rPr>
          <w:rFonts w:cs="Times New Roman"/>
          <w:szCs w:val="24"/>
        </w:rPr>
      </w:pPr>
      <w:r w:rsidRPr="00E94988">
        <w:rPr>
          <w:rFonts w:cs="Times New Roman"/>
          <w:szCs w:val="24"/>
        </w:rPr>
        <w:t>February 2026</w:t>
      </w:r>
    </w:p>
    <w:p w14:paraId="1ADE1754" w14:textId="77777777" w:rsidR="002F4AB7" w:rsidRDefault="002F4AB7" w:rsidP="00BB77F1">
      <w:pPr>
        <w:ind w:firstLine="0"/>
        <w:jc w:val="center"/>
        <w:rPr>
          <w:rFonts w:cs="Times New Roman"/>
          <w:b/>
          <w:bCs/>
          <w:szCs w:val="24"/>
        </w:rPr>
      </w:pPr>
    </w:p>
    <w:p w14:paraId="48652730" w14:textId="77777777" w:rsidR="00AB392B" w:rsidRDefault="00AB392B" w:rsidP="002F4AB7">
      <w:pPr>
        <w:rPr>
          <w:rFonts w:cs="Times New Roman"/>
          <w:b/>
          <w:bCs/>
          <w:szCs w:val="24"/>
        </w:rPr>
      </w:pPr>
    </w:p>
    <w:p w14:paraId="710ADF59" w14:textId="77777777" w:rsidR="004A7B54" w:rsidRDefault="004A7B54" w:rsidP="002F4AB7">
      <w:pPr>
        <w:rPr>
          <w:rFonts w:cs="Times New Roman"/>
          <w:b/>
          <w:bCs/>
          <w:szCs w:val="24"/>
        </w:rPr>
      </w:pPr>
    </w:p>
    <w:p w14:paraId="01BD3B52" w14:textId="77777777" w:rsidR="004A7B54" w:rsidRDefault="004A7B54" w:rsidP="002F4AB7">
      <w:pPr>
        <w:rPr>
          <w:rFonts w:cs="Times New Roman"/>
          <w:b/>
          <w:bCs/>
          <w:szCs w:val="24"/>
        </w:rPr>
      </w:pPr>
    </w:p>
    <w:p w14:paraId="415F4CEB" w14:textId="77777777" w:rsidR="004A7B54" w:rsidRDefault="004A7B54" w:rsidP="002F4AB7">
      <w:pPr>
        <w:rPr>
          <w:rFonts w:cs="Times New Roman"/>
          <w:b/>
          <w:bCs/>
          <w:szCs w:val="24"/>
        </w:rPr>
      </w:pPr>
    </w:p>
    <w:p w14:paraId="017E3C9A" w14:textId="77777777" w:rsidR="004A7B54" w:rsidRDefault="004A7B54" w:rsidP="002F4AB7">
      <w:pPr>
        <w:rPr>
          <w:rFonts w:cs="Times New Roman"/>
          <w:b/>
          <w:bCs/>
          <w:szCs w:val="24"/>
        </w:rPr>
      </w:pPr>
    </w:p>
    <w:p w14:paraId="6A90A43B" w14:textId="77777777" w:rsidR="004A7B54" w:rsidRDefault="004A7B54" w:rsidP="002F4AB7">
      <w:pPr>
        <w:rPr>
          <w:rFonts w:cs="Times New Roman"/>
          <w:b/>
          <w:bCs/>
          <w:szCs w:val="24"/>
        </w:rPr>
      </w:pPr>
    </w:p>
    <w:p w14:paraId="7BBDD645" w14:textId="77777777" w:rsidR="004A7B54" w:rsidRDefault="004A7B54" w:rsidP="002F4AB7">
      <w:pPr>
        <w:rPr>
          <w:rFonts w:cs="Times New Roman"/>
          <w:b/>
          <w:bCs/>
          <w:szCs w:val="24"/>
        </w:rPr>
      </w:pPr>
    </w:p>
    <w:p w14:paraId="3036C597" w14:textId="77777777" w:rsidR="004A7B54" w:rsidRDefault="004A7B54" w:rsidP="002F4AB7">
      <w:pPr>
        <w:rPr>
          <w:rFonts w:cs="Times New Roman"/>
          <w:b/>
          <w:bCs/>
          <w:szCs w:val="24"/>
        </w:rPr>
      </w:pPr>
    </w:p>
    <w:p w14:paraId="08A859EF" w14:textId="77777777" w:rsidR="00AB392B" w:rsidRDefault="00AB392B" w:rsidP="002F4AB7">
      <w:pPr>
        <w:rPr>
          <w:rFonts w:cs="Times New Roman"/>
          <w:b/>
          <w:bCs/>
          <w:szCs w:val="24"/>
        </w:rPr>
      </w:pPr>
    </w:p>
    <w:p w14:paraId="2E4418DA" w14:textId="42406ABB" w:rsidR="00AB392B" w:rsidRPr="00AB392B" w:rsidRDefault="00AB392B" w:rsidP="00AB392B">
      <w:pPr>
        <w:ind w:firstLine="0"/>
        <w:rPr>
          <w:rFonts w:cs="Times New Roman"/>
          <w:szCs w:val="24"/>
        </w:rPr>
      </w:pPr>
      <w:r w:rsidRPr="00AB392B">
        <w:rPr>
          <w:rFonts w:cs="Times New Roman"/>
          <w:szCs w:val="24"/>
        </w:rPr>
        <w:t xml:space="preserve">Suggested citation: </w:t>
      </w:r>
      <w:r>
        <w:rPr>
          <w:rFonts w:cs="Times New Roman"/>
          <w:szCs w:val="24"/>
        </w:rPr>
        <w:t xml:space="preserve">Hanna, H.D., Curry, A.C., Chapman, J.S., Veach, D.M., </w:t>
      </w:r>
      <w:r w:rsidR="00632E30">
        <w:rPr>
          <w:rFonts w:cs="Times New Roman"/>
          <w:szCs w:val="24"/>
        </w:rPr>
        <w:t>and Pelt, K.</w:t>
      </w:r>
      <w:r w:rsidRPr="00AB392B">
        <w:rPr>
          <w:rFonts w:cs="Times New Roman"/>
          <w:szCs w:val="24"/>
        </w:rPr>
        <w:t>, 202</w:t>
      </w:r>
      <w:r w:rsidR="00632E30">
        <w:rPr>
          <w:rFonts w:cs="Times New Roman"/>
          <w:szCs w:val="24"/>
        </w:rPr>
        <w:t>6</w:t>
      </w:r>
      <w:r w:rsidRPr="00AB392B">
        <w:rPr>
          <w:rFonts w:cs="Times New Roman"/>
          <w:szCs w:val="24"/>
        </w:rPr>
        <w:t xml:space="preserve">, </w:t>
      </w:r>
      <w:r w:rsidR="00632E30" w:rsidRPr="00632E30">
        <w:rPr>
          <w:rFonts w:cs="Times New Roman"/>
          <w:szCs w:val="24"/>
        </w:rPr>
        <w:t>Critical Mineral Characterization of the Tungsten Queen Mine Tailings, Vance County, North Carolina</w:t>
      </w:r>
      <w:r w:rsidRPr="00AB392B">
        <w:rPr>
          <w:rFonts w:cs="Times New Roman"/>
          <w:szCs w:val="24"/>
        </w:rPr>
        <w:t xml:space="preserve">, North Carolina Geological Survey, Bulletin </w:t>
      </w:r>
      <w:r w:rsidR="004A7B54">
        <w:rPr>
          <w:rFonts w:cs="Times New Roman"/>
          <w:szCs w:val="24"/>
        </w:rPr>
        <w:t>100</w:t>
      </w:r>
      <w:r w:rsidRPr="00AB392B">
        <w:rPr>
          <w:rFonts w:cs="Times New Roman"/>
          <w:szCs w:val="24"/>
        </w:rPr>
        <w:t xml:space="preserve">, </w:t>
      </w:r>
      <w:r w:rsidR="001D2DDE">
        <w:rPr>
          <w:rFonts w:cs="Times New Roman"/>
          <w:szCs w:val="24"/>
        </w:rPr>
        <w:t>43</w:t>
      </w:r>
      <w:r w:rsidRPr="00AB392B">
        <w:rPr>
          <w:rFonts w:cs="Times New Roman"/>
          <w:szCs w:val="24"/>
        </w:rPr>
        <w:t xml:space="preserve"> pages.</w:t>
      </w:r>
    </w:p>
    <w:sdt>
      <w:sdtPr>
        <w:rPr>
          <w:rFonts w:ascii="Times New Roman" w:eastAsiaTheme="minorHAnsi" w:hAnsi="Times New Roman" w:cstheme="minorBidi"/>
          <w:color w:val="auto"/>
          <w:sz w:val="24"/>
          <w:szCs w:val="22"/>
        </w:rPr>
        <w:id w:val="2002077736"/>
        <w:docPartObj>
          <w:docPartGallery w:val="Table of Contents"/>
          <w:docPartUnique/>
        </w:docPartObj>
      </w:sdtPr>
      <w:sdtEndPr>
        <w:rPr>
          <w:b/>
          <w:bCs/>
          <w:noProof/>
        </w:rPr>
      </w:sdtEndPr>
      <w:sdtContent>
        <w:p w14:paraId="16004B8B" w14:textId="28FA0228" w:rsidR="00951EA9" w:rsidRPr="00A44047" w:rsidRDefault="00A44047" w:rsidP="00A44047">
          <w:pPr>
            <w:pStyle w:val="TOCHeading"/>
            <w:jc w:val="center"/>
            <w:rPr>
              <w:rFonts w:ascii="Times New Roman" w:hAnsi="Times New Roman" w:cs="Times New Roman"/>
              <w:b/>
              <w:bCs/>
              <w:color w:val="000000" w:themeColor="text1"/>
            </w:rPr>
          </w:pPr>
          <w:r w:rsidRPr="00A44047">
            <w:rPr>
              <w:rFonts w:ascii="Times New Roman" w:hAnsi="Times New Roman" w:cs="Times New Roman"/>
              <w:b/>
              <w:bCs/>
              <w:color w:val="000000" w:themeColor="text1"/>
            </w:rPr>
            <w:t>Contents</w:t>
          </w:r>
        </w:p>
        <w:p w14:paraId="23454692" w14:textId="1D73BCCA" w:rsidR="00951EA9" w:rsidRPr="00A44047" w:rsidRDefault="00951EA9">
          <w:pPr>
            <w:pStyle w:val="TOC1"/>
            <w:tabs>
              <w:tab w:val="right" w:leader="dot" w:pos="9350"/>
            </w:tabs>
            <w:rPr>
              <w:rFonts w:eastAsiaTheme="minorEastAsia" w:cs="Times New Roman"/>
              <w:noProof/>
              <w:kern w:val="2"/>
              <w:szCs w:val="24"/>
              <w14:ligatures w14:val="standardContextual"/>
            </w:rPr>
          </w:pPr>
          <w:r w:rsidRPr="00A44047">
            <w:rPr>
              <w:rFonts w:cs="Times New Roman"/>
            </w:rPr>
            <w:fldChar w:fldCharType="begin"/>
          </w:r>
          <w:r w:rsidRPr="00A44047">
            <w:rPr>
              <w:rFonts w:cs="Times New Roman"/>
            </w:rPr>
            <w:instrText xml:space="preserve"> TOC \o "1-3" \h \z \u </w:instrText>
          </w:r>
          <w:r w:rsidRPr="00A44047">
            <w:rPr>
              <w:rFonts w:cs="Times New Roman"/>
            </w:rPr>
            <w:fldChar w:fldCharType="separate"/>
          </w:r>
          <w:hyperlink w:anchor="_Toc222230005" w:history="1">
            <w:r w:rsidRPr="00A44047">
              <w:rPr>
                <w:rStyle w:val="Hyperlink"/>
                <w:rFonts w:cs="Times New Roman"/>
                <w:noProof/>
              </w:rPr>
              <w:t>Key Findings</w:t>
            </w:r>
            <w:r w:rsidRPr="00A44047">
              <w:rPr>
                <w:rFonts w:cs="Times New Roman"/>
                <w:noProof/>
                <w:webHidden/>
              </w:rPr>
              <w:tab/>
            </w:r>
            <w:r w:rsidRPr="00A44047">
              <w:rPr>
                <w:rFonts w:cs="Times New Roman"/>
                <w:noProof/>
                <w:webHidden/>
              </w:rPr>
              <w:fldChar w:fldCharType="begin"/>
            </w:r>
            <w:r w:rsidRPr="00A44047">
              <w:rPr>
                <w:rFonts w:cs="Times New Roman"/>
                <w:noProof/>
                <w:webHidden/>
              </w:rPr>
              <w:instrText xml:space="preserve"> PAGEREF _Toc222230005 \h </w:instrText>
            </w:r>
            <w:r w:rsidRPr="00A44047">
              <w:rPr>
                <w:rFonts w:cs="Times New Roman"/>
                <w:noProof/>
                <w:webHidden/>
              </w:rPr>
            </w:r>
            <w:r w:rsidRPr="00A44047">
              <w:rPr>
                <w:rFonts w:cs="Times New Roman"/>
                <w:noProof/>
                <w:webHidden/>
              </w:rPr>
              <w:fldChar w:fldCharType="separate"/>
            </w:r>
            <w:r w:rsidR="00CB1FE5">
              <w:rPr>
                <w:rFonts w:cs="Times New Roman"/>
                <w:noProof/>
                <w:webHidden/>
              </w:rPr>
              <w:t>3</w:t>
            </w:r>
            <w:r w:rsidRPr="00A44047">
              <w:rPr>
                <w:rFonts w:cs="Times New Roman"/>
                <w:noProof/>
                <w:webHidden/>
              </w:rPr>
              <w:fldChar w:fldCharType="end"/>
            </w:r>
          </w:hyperlink>
        </w:p>
        <w:p w14:paraId="33B10823" w14:textId="3135F2BB" w:rsidR="00951EA9" w:rsidRPr="00A44047" w:rsidRDefault="00951EA9">
          <w:pPr>
            <w:pStyle w:val="TOC1"/>
            <w:tabs>
              <w:tab w:val="right" w:leader="dot" w:pos="9350"/>
            </w:tabs>
            <w:rPr>
              <w:rFonts w:eastAsiaTheme="minorEastAsia" w:cs="Times New Roman"/>
              <w:noProof/>
              <w:kern w:val="2"/>
              <w:szCs w:val="24"/>
              <w14:ligatures w14:val="standardContextual"/>
            </w:rPr>
          </w:pPr>
          <w:hyperlink w:anchor="_Toc222230006" w:history="1">
            <w:r w:rsidRPr="00A44047">
              <w:rPr>
                <w:rStyle w:val="Hyperlink"/>
                <w:rFonts w:cs="Times New Roman"/>
                <w:noProof/>
              </w:rPr>
              <w:t>Abstract</w:t>
            </w:r>
            <w:r w:rsidRPr="00A44047">
              <w:rPr>
                <w:rFonts w:cs="Times New Roman"/>
                <w:noProof/>
                <w:webHidden/>
              </w:rPr>
              <w:tab/>
            </w:r>
            <w:r w:rsidRPr="00A44047">
              <w:rPr>
                <w:rFonts w:cs="Times New Roman"/>
                <w:noProof/>
                <w:webHidden/>
              </w:rPr>
              <w:fldChar w:fldCharType="begin"/>
            </w:r>
            <w:r w:rsidRPr="00A44047">
              <w:rPr>
                <w:rFonts w:cs="Times New Roman"/>
                <w:noProof/>
                <w:webHidden/>
              </w:rPr>
              <w:instrText xml:space="preserve"> PAGEREF _Toc222230006 \h </w:instrText>
            </w:r>
            <w:r w:rsidRPr="00A44047">
              <w:rPr>
                <w:rFonts w:cs="Times New Roman"/>
                <w:noProof/>
                <w:webHidden/>
              </w:rPr>
            </w:r>
            <w:r w:rsidRPr="00A44047">
              <w:rPr>
                <w:rFonts w:cs="Times New Roman"/>
                <w:noProof/>
                <w:webHidden/>
              </w:rPr>
              <w:fldChar w:fldCharType="separate"/>
            </w:r>
            <w:r w:rsidR="00CB1FE5">
              <w:rPr>
                <w:rFonts w:cs="Times New Roman"/>
                <w:noProof/>
                <w:webHidden/>
              </w:rPr>
              <w:t>4</w:t>
            </w:r>
            <w:r w:rsidRPr="00A44047">
              <w:rPr>
                <w:rFonts w:cs="Times New Roman"/>
                <w:noProof/>
                <w:webHidden/>
              </w:rPr>
              <w:fldChar w:fldCharType="end"/>
            </w:r>
          </w:hyperlink>
        </w:p>
        <w:p w14:paraId="2991E9ED" w14:textId="0EF484AD" w:rsidR="00951EA9" w:rsidRPr="00A44047" w:rsidRDefault="00951EA9">
          <w:pPr>
            <w:pStyle w:val="TOC1"/>
            <w:tabs>
              <w:tab w:val="right" w:leader="dot" w:pos="9350"/>
            </w:tabs>
            <w:rPr>
              <w:rFonts w:eastAsiaTheme="minorEastAsia" w:cs="Times New Roman"/>
              <w:noProof/>
              <w:kern w:val="2"/>
              <w:szCs w:val="24"/>
              <w14:ligatures w14:val="standardContextual"/>
            </w:rPr>
          </w:pPr>
          <w:hyperlink w:anchor="_Toc222230007" w:history="1">
            <w:r w:rsidRPr="00A44047">
              <w:rPr>
                <w:rStyle w:val="Hyperlink"/>
                <w:rFonts w:cs="Times New Roman"/>
                <w:noProof/>
              </w:rPr>
              <w:t>1. Introduction</w:t>
            </w:r>
            <w:r w:rsidRPr="00A44047">
              <w:rPr>
                <w:rFonts w:cs="Times New Roman"/>
                <w:noProof/>
                <w:webHidden/>
              </w:rPr>
              <w:tab/>
            </w:r>
            <w:r w:rsidRPr="00A44047">
              <w:rPr>
                <w:rFonts w:cs="Times New Roman"/>
                <w:noProof/>
                <w:webHidden/>
              </w:rPr>
              <w:fldChar w:fldCharType="begin"/>
            </w:r>
            <w:r w:rsidRPr="00A44047">
              <w:rPr>
                <w:rFonts w:cs="Times New Roman"/>
                <w:noProof/>
                <w:webHidden/>
              </w:rPr>
              <w:instrText xml:space="preserve"> PAGEREF _Toc222230007 \h </w:instrText>
            </w:r>
            <w:r w:rsidRPr="00A44047">
              <w:rPr>
                <w:rFonts w:cs="Times New Roman"/>
                <w:noProof/>
                <w:webHidden/>
              </w:rPr>
            </w:r>
            <w:r w:rsidRPr="00A44047">
              <w:rPr>
                <w:rFonts w:cs="Times New Roman"/>
                <w:noProof/>
                <w:webHidden/>
              </w:rPr>
              <w:fldChar w:fldCharType="separate"/>
            </w:r>
            <w:r w:rsidR="00CB1FE5">
              <w:rPr>
                <w:rFonts w:cs="Times New Roman"/>
                <w:noProof/>
                <w:webHidden/>
              </w:rPr>
              <w:t>5</w:t>
            </w:r>
            <w:r w:rsidRPr="00A44047">
              <w:rPr>
                <w:rFonts w:cs="Times New Roman"/>
                <w:noProof/>
                <w:webHidden/>
              </w:rPr>
              <w:fldChar w:fldCharType="end"/>
            </w:r>
          </w:hyperlink>
        </w:p>
        <w:p w14:paraId="5DC80050" w14:textId="71A798F6" w:rsidR="00951EA9" w:rsidRPr="00A44047" w:rsidRDefault="00951EA9">
          <w:pPr>
            <w:pStyle w:val="TOC1"/>
            <w:tabs>
              <w:tab w:val="right" w:leader="dot" w:pos="9350"/>
            </w:tabs>
            <w:rPr>
              <w:rFonts w:eastAsiaTheme="minorEastAsia" w:cs="Times New Roman"/>
              <w:noProof/>
              <w:kern w:val="2"/>
              <w:szCs w:val="24"/>
              <w14:ligatures w14:val="standardContextual"/>
            </w:rPr>
          </w:pPr>
          <w:hyperlink w:anchor="_Toc222230008" w:history="1">
            <w:r w:rsidRPr="00A44047">
              <w:rPr>
                <w:rStyle w:val="Hyperlink"/>
                <w:rFonts w:cs="Times New Roman"/>
                <w:noProof/>
              </w:rPr>
              <w:t>2. Geologic Setting, Mining History, and Prior Work</w:t>
            </w:r>
            <w:r w:rsidRPr="00A44047">
              <w:rPr>
                <w:rFonts w:cs="Times New Roman"/>
                <w:noProof/>
                <w:webHidden/>
              </w:rPr>
              <w:tab/>
            </w:r>
            <w:r w:rsidRPr="00A44047">
              <w:rPr>
                <w:rFonts w:cs="Times New Roman"/>
                <w:noProof/>
                <w:webHidden/>
              </w:rPr>
              <w:fldChar w:fldCharType="begin"/>
            </w:r>
            <w:r w:rsidRPr="00A44047">
              <w:rPr>
                <w:rFonts w:cs="Times New Roman"/>
                <w:noProof/>
                <w:webHidden/>
              </w:rPr>
              <w:instrText xml:space="preserve"> PAGEREF _Toc222230008 \h </w:instrText>
            </w:r>
            <w:r w:rsidRPr="00A44047">
              <w:rPr>
                <w:rFonts w:cs="Times New Roman"/>
                <w:noProof/>
                <w:webHidden/>
              </w:rPr>
            </w:r>
            <w:r w:rsidRPr="00A44047">
              <w:rPr>
                <w:rFonts w:cs="Times New Roman"/>
                <w:noProof/>
                <w:webHidden/>
              </w:rPr>
              <w:fldChar w:fldCharType="separate"/>
            </w:r>
            <w:r w:rsidR="00CB1FE5">
              <w:rPr>
                <w:rFonts w:cs="Times New Roman"/>
                <w:noProof/>
                <w:webHidden/>
              </w:rPr>
              <w:t>5</w:t>
            </w:r>
            <w:r w:rsidRPr="00A44047">
              <w:rPr>
                <w:rFonts w:cs="Times New Roman"/>
                <w:noProof/>
                <w:webHidden/>
              </w:rPr>
              <w:fldChar w:fldCharType="end"/>
            </w:r>
          </w:hyperlink>
        </w:p>
        <w:p w14:paraId="5CC0E762" w14:textId="42359B49" w:rsidR="00951EA9" w:rsidRPr="00A44047" w:rsidRDefault="00951EA9">
          <w:pPr>
            <w:pStyle w:val="TOC1"/>
            <w:tabs>
              <w:tab w:val="right" w:leader="dot" w:pos="9350"/>
            </w:tabs>
            <w:rPr>
              <w:rFonts w:eastAsiaTheme="minorEastAsia" w:cs="Times New Roman"/>
              <w:noProof/>
              <w:kern w:val="2"/>
              <w:szCs w:val="24"/>
              <w14:ligatures w14:val="standardContextual"/>
            </w:rPr>
          </w:pPr>
          <w:hyperlink w:anchor="_Toc222230009" w:history="1">
            <w:r w:rsidRPr="00A44047">
              <w:rPr>
                <w:rStyle w:val="Hyperlink"/>
                <w:rFonts w:cs="Times New Roman"/>
                <w:noProof/>
              </w:rPr>
              <w:t>3. Methods</w:t>
            </w:r>
            <w:r w:rsidRPr="00A44047">
              <w:rPr>
                <w:rFonts w:cs="Times New Roman"/>
                <w:noProof/>
                <w:webHidden/>
              </w:rPr>
              <w:tab/>
            </w:r>
            <w:r w:rsidRPr="00A44047">
              <w:rPr>
                <w:rFonts w:cs="Times New Roman"/>
                <w:noProof/>
                <w:webHidden/>
              </w:rPr>
              <w:fldChar w:fldCharType="begin"/>
            </w:r>
            <w:r w:rsidRPr="00A44047">
              <w:rPr>
                <w:rFonts w:cs="Times New Roman"/>
                <w:noProof/>
                <w:webHidden/>
              </w:rPr>
              <w:instrText xml:space="preserve"> PAGEREF _Toc222230009 \h </w:instrText>
            </w:r>
            <w:r w:rsidRPr="00A44047">
              <w:rPr>
                <w:rFonts w:cs="Times New Roman"/>
                <w:noProof/>
                <w:webHidden/>
              </w:rPr>
            </w:r>
            <w:r w:rsidRPr="00A44047">
              <w:rPr>
                <w:rFonts w:cs="Times New Roman"/>
                <w:noProof/>
                <w:webHidden/>
              </w:rPr>
              <w:fldChar w:fldCharType="separate"/>
            </w:r>
            <w:r w:rsidR="00CB1FE5">
              <w:rPr>
                <w:rFonts w:cs="Times New Roman"/>
                <w:noProof/>
                <w:webHidden/>
              </w:rPr>
              <w:t>8</w:t>
            </w:r>
            <w:r w:rsidRPr="00A44047">
              <w:rPr>
                <w:rFonts w:cs="Times New Roman"/>
                <w:noProof/>
                <w:webHidden/>
              </w:rPr>
              <w:fldChar w:fldCharType="end"/>
            </w:r>
          </w:hyperlink>
        </w:p>
        <w:p w14:paraId="6F799123" w14:textId="318DF595" w:rsidR="00951EA9" w:rsidRPr="00A44047" w:rsidRDefault="00951EA9">
          <w:pPr>
            <w:pStyle w:val="TOC1"/>
            <w:tabs>
              <w:tab w:val="right" w:leader="dot" w:pos="9350"/>
            </w:tabs>
            <w:rPr>
              <w:rFonts w:eastAsiaTheme="minorEastAsia" w:cs="Times New Roman"/>
              <w:noProof/>
              <w:kern w:val="2"/>
              <w:szCs w:val="24"/>
              <w14:ligatures w14:val="standardContextual"/>
            </w:rPr>
          </w:pPr>
          <w:hyperlink w:anchor="_Toc222230010" w:history="1">
            <w:r w:rsidRPr="00A44047">
              <w:rPr>
                <w:rStyle w:val="Hyperlink"/>
                <w:rFonts w:cs="Times New Roman"/>
                <w:noProof/>
              </w:rPr>
              <w:t>4. Results</w:t>
            </w:r>
            <w:r w:rsidRPr="00A44047">
              <w:rPr>
                <w:rFonts w:cs="Times New Roman"/>
                <w:noProof/>
                <w:webHidden/>
              </w:rPr>
              <w:tab/>
            </w:r>
            <w:r w:rsidRPr="00A44047">
              <w:rPr>
                <w:rFonts w:cs="Times New Roman"/>
                <w:noProof/>
                <w:webHidden/>
              </w:rPr>
              <w:fldChar w:fldCharType="begin"/>
            </w:r>
            <w:r w:rsidRPr="00A44047">
              <w:rPr>
                <w:rFonts w:cs="Times New Roman"/>
                <w:noProof/>
                <w:webHidden/>
              </w:rPr>
              <w:instrText xml:space="preserve"> PAGEREF _Toc222230010 \h </w:instrText>
            </w:r>
            <w:r w:rsidRPr="00A44047">
              <w:rPr>
                <w:rFonts w:cs="Times New Roman"/>
                <w:noProof/>
                <w:webHidden/>
              </w:rPr>
            </w:r>
            <w:r w:rsidRPr="00A44047">
              <w:rPr>
                <w:rFonts w:cs="Times New Roman"/>
                <w:noProof/>
                <w:webHidden/>
              </w:rPr>
              <w:fldChar w:fldCharType="separate"/>
            </w:r>
            <w:r w:rsidR="00CB1FE5">
              <w:rPr>
                <w:rFonts w:cs="Times New Roman"/>
                <w:noProof/>
                <w:webHidden/>
              </w:rPr>
              <w:t>10</w:t>
            </w:r>
            <w:r w:rsidRPr="00A44047">
              <w:rPr>
                <w:rFonts w:cs="Times New Roman"/>
                <w:noProof/>
                <w:webHidden/>
              </w:rPr>
              <w:fldChar w:fldCharType="end"/>
            </w:r>
          </w:hyperlink>
        </w:p>
        <w:p w14:paraId="25C1D331" w14:textId="30CCD3F7" w:rsidR="00951EA9" w:rsidRPr="00A44047" w:rsidRDefault="00951EA9">
          <w:pPr>
            <w:pStyle w:val="TOC2"/>
            <w:tabs>
              <w:tab w:val="right" w:leader="dot" w:pos="9350"/>
            </w:tabs>
            <w:rPr>
              <w:rFonts w:eastAsiaTheme="minorEastAsia" w:cs="Times New Roman"/>
              <w:noProof/>
              <w:kern w:val="2"/>
              <w:szCs w:val="24"/>
              <w14:ligatures w14:val="standardContextual"/>
            </w:rPr>
          </w:pPr>
          <w:hyperlink w:anchor="_Toc222230011" w:history="1">
            <w:r w:rsidRPr="00A44047">
              <w:rPr>
                <w:rStyle w:val="Hyperlink"/>
                <w:rFonts w:cs="Times New Roman"/>
                <w:noProof/>
              </w:rPr>
              <w:t>4.1 Critical Minerals</w:t>
            </w:r>
            <w:r w:rsidRPr="00A44047">
              <w:rPr>
                <w:rFonts w:cs="Times New Roman"/>
                <w:noProof/>
                <w:webHidden/>
              </w:rPr>
              <w:tab/>
            </w:r>
            <w:r w:rsidRPr="00A44047">
              <w:rPr>
                <w:rFonts w:cs="Times New Roman"/>
                <w:noProof/>
                <w:webHidden/>
              </w:rPr>
              <w:fldChar w:fldCharType="begin"/>
            </w:r>
            <w:r w:rsidRPr="00A44047">
              <w:rPr>
                <w:rFonts w:cs="Times New Roman"/>
                <w:noProof/>
                <w:webHidden/>
              </w:rPr>
              <w:instrText xml:space="preserve"> PAGEREF _Toc222230011 \h </w:instrText>
            </w:r>
            <w:r w:rsidRPr="00A44047">
              <w:rPr>
                <w:rFonts w:cs="Times New Roman"/>
                <w:noProof/>
                <w:webHidden/>
              </w:rPr>
            </w:r>
            <w:r w:rsidRPr="00A44047">
              <w:rPr>
                <w:rFonts w:cs="Times New Roman"/>
                <w:noProof/>
                <w:webHidden/>
              </w:rPr>
              <w:fldChar w:fldCharType="separate"/>
            </w:r>
            <w:r w:rsidR="00CB1FE5">
              <w:rPr>
                <w:rFonts w:cs="Times New Roman"/>
                <w:noProof/>
                <w:webHidden/>
              </w:rPr>
              <w:t>12</w:t>
            </w:r>
            <w:r w:rsidRPr="00A44047">
              <w:rPr>
                <w:rFonts w:cs="Times New Roman"/>
                <w:noProof/>
                <w:webHidden/>
              </w:rPr>
              <w:fldChar w:fldCharType="end"/>
            </w:r>
          </w:hyperlink>
        </w:p>
        <w:p w14:paraId="17CFD2CC" w14:textId="579592FF" w:rsidR="00951EA9" w:rsidRPr="00A44047" w:rsidRDefault="00951EA9">
          <w:pPr>
            <w:pStyle w:val="TOC2"/>
            <w:tabs>
              <w:tab w:val="right" w:leader="dot" w:pos="9350"/>
            </w:tabs>
            <w:rPr>
              <w:rFonts w:eastAsiaTheme="minorEastAsia" w:cs="Times New Roman"/>
              <w:noProof/>
              <w:kern w:val="2"/>
              <w:szCs w:val="24"/>
              <w14:ligatures w14:val="standardContextual"/>
            </w:rPr>
          </w:pPr>
          <w:hyperlink w:anchor="_Toc222230012" w:history="1">
            <w:r w:rsidRPr="00A44047">
              <w:rPr>
                <w:rStyle w:val="Hyperlink"/>
                <w:rFonts w:cs="Times New Roman"/>
                <w:noProof/>
              </w:rPr>
              <w:t>4.2 Potential Non-Critical Mineral Commodities</w:t>
            </w:r>
            <w:r w:rsidRPr="00A44047">
              <w:rPr>
                <w:rFonts w:cs="Times New Roman"/>
                <w:noProof/>
                <w:webHidden/>
              </w:rPr>
              <w:tab/>
            </w:r>
            <w:r w:rsidRPr="00A44047">
              <w:rPr>
                <w:rFonts w:cs="Times New Roman"/>
                <w:noProof/>
                <w:webHidden/>
              </w:rPr>
              <w:fldChar w:fldCharType="begin"/>
            </w:r>
            <w:r w:rsidRPr="00A44047">
              <w:rPr>
                <w:rFonts w:cs="Times New Roman"/>
                <w:noProof/>
                <w:webHidden/>
              </w:rPr>
              <w:instrText xml:space="preserve"> PAGEREF _Toc222230012 \h </w:instrText>
            </w:r>
            <w:r w:rsidRPr="00A44047">
              <w:rPr>
                <w:rFonts w:cs="Times New Roman"/>
                <w:noProof/>
                <w:webHidden/>
              </w:rPr>
            </w:r>
            <w:r w:rsidRPr="00A44047">
              <w:rPr>
                <w:rFonts w:cs="Times New Roman"/>
                <w:noProof/>
                <w:webHidden/>
              </w:rPr>
              <w:fldChar w:fldCharType="separate"/>
            </w:r>
            <w:r w:rsidR="00CB1FE5">
              <w:rPr>
                <w:rFonts w:cs="Times New Roman"/>
                <w:noProof/>
                <w:webHidden/>
              </w:rPr>
              <w:t>23</w:t>
            </w:r>
            <w:r w:rsidRPr="00A44047">
              <w:rPr>
                <w:rFonts w:cs="Times New Roman"/>
                <w:noProof/>
                <w:webHidden/>
              </w:rPr>
              <w:fldChar w:fldCharType="end"/>
            </w:r>
          </w:hyperlink>
        </w:p>
        <w:p w14:paraId="1AD6A757" w14:textId="31621F31" w:rsidR="00951EA9" w:rsidRPr="00A44047" w:rsidRDefault="00951EA9">
          <w:pPr>
            <w:pStyle w:val="TOC1"/>
            <w:tabs>
              <w:tab w:val="right" w:leader="dot" w:pos="9350"/>
            </w:tabs>
            <w:rPr>
              <w:rFonts w:eastAsiaTheme="minorEastAsia" w:cs="Times New Roman"/>
              <w:noProof/>
              <w:kern w:val="2"/>
              <w:szCs w:val="24"/>
              <w14:ligatures w14:val="standardContextual"/>
            </w:rPr>
          </w:pPr>
          <w:hyperlink w:anchor="_Toc222230013" w:history="1">
            <w:r w:rsidRPr="00A44047">
              <w:rPr>
                <w:rStyle w:val="Hyperlink"/>
                <w:rFonts w:cs="Times New Roman"/>
                <w:noProof/>
              </w:rPr>
              <w:t>5. Discussion</w:t>
            </w:r>
            <w:r w:rsidRPr="00A44047">
              <w:rPr>
                <w:rFonts w:cs="Times New Roman"/>
                <w:noProof/>
                <w:webHidden/>
              </w:rPr>
              <w:tab/>
            </w:r>
            <w:r w:rsidRPr="00A44047">
              <w:rPr>
                <w:rFonts w:cs="Times New Roman"/>
                <w:noProof/>
                <w:webHidden/>
              </w:rPr>
              <w:fldChar w:fldCharType="begin"/>
            </w:r>
            <w:r w:rsidRPr="00A44047">
              <w:rPr>
                <w:rFonts w:cs="Times New Roman"/>
                <w:noProof/>
                <w:webHidden/>
              </w:rPr>
              <w:instrText xml:space="preserve"> PAGEREF _Toc222230013 \h </w:instrText>
            </w:r>
            <w:r w:rsidRPr="00A44047">
              <w:rPr>
                <w:rFonts w:cs="Times New Roman"/>
                <w:noProof/>
                <w:webHidden/>
              </w:rPr>
            </w:r>
            <w:r w:rsidRPr="00A44047">
              <w:rPr>
                <w:rFonts w:cs="Times New Roman"/>
                <w:noProof/>
                <w:webHidden/>
              </w:rPr>
              <w:fldChar w:fldCharType="separate"/>
            </w:r>
            <w:r w:rsidR="00CB1FE5">
              <w:rPr>
                <w:rFonts w:cs="Times New Roman"/>
                <w:noProof/>
                <w:webHidden/>
              </w:rPr>
              <w:t>25</w:t>
            </w:r>
            <w:r w:rsidRPr="00A44047">
              <w:rPr>
                <w:rFonts w:cs="Times New Roman"/>
                <w:noProof/>
                <w:webHidden/>
              </w:rPr>
              <w:fldChar w:fldCharType="end"/>
            </w:r>
          </w:hyperlink>
        </w:p>
        <w:p w14:paraId="37DE762B" w14:textId="44F7140F" w:rsidR="00951EA9" w:rsidRPr="00A44047" w:rsidRDefault="00951EA9" w:rsidP="00CB1FE5">
          <w:pPr>
            <w:pStyle w:val="TOC2"/>
            <w:tabs>
              <w:tab w:val="right" w:leader="dot" w:pos="9350"/>
            </w:tabs>
            <w:ind w:left="965" w:hanging="720"/>
            <w:rPr>
              <w:rFonts w:eastAsiaTheme="minorEastAsia" w:cs="Times New Roman"/>
              <w:noProof/>
              <w:kern w:val="2"/>
              <w:szCs w:val="24"/>
              <w14:ligatures w14:val="standardContextual"/>
            </w:rPr>
          </w:pPr>
          <w:hyperlink w:anchor="_Toc222230014" w:history="1">
            <w:r w:rsidRPr="00A44047">
              <w:rPr>
                <w:rStyle w:val="Hyperlink"/>
                <w:rFonts w:cs="Times New Roman"/>
                <w:noProof/>
              </w:rPr>
              <w:t xml:space="preserve">5.1 Potential Factors Controlling Critical Mineral and Non-Critical Commodity </w:t>
            </w:r>
            <w:r w:rsidR="00A44047">
              <w:rPr>
                <w:rStyle w:val="Hyperlink"/>
                <w:rFonts w:cs="Times New Roman"/>
                <w:noProof/>
              </w:rPr>
              <w:t xml:space="preserve"> </w:t>
            </w:r>
            <w:r w:rsidRPr="00A44047">
              <w:rPr>
                <w:rStyle w:val="Hyperlink"/>
                <w:rFonts w:cs="Times New Roman"/>
                <w:noProof/>
              </w:rPr>
              <w:t>Distribution within Ponds</w:t>
            </w:r>
            <w:r w:rsidRPr="00A44047">
              <w:rPr>
                <w:rFonts w:cs="Times New Roman"/>
                <w:noProof/>
                <w:webHidden/>
              </w:rPr>
              <w:tab/>
            </w:r>
            <w:r w:rsidRPr="00A44047">
              <w:rPr>
                <w:rFonts w:cs="Times New Roman"/>
                <w:noProof/>
                <w:webHidden/>
              </w:rPr>
              <w:fldChar w:fldCharType="begin"/>
            </w:r>
            <w:r w:rsidRPr="00A44047">
              <w:rPr>
                <w:rFonts w:cs="Times New Roman"/>
                <w:noProof/>
                <w:webHidden/>
              </w:rPr>
              <w:instrText xml:space="preserve"> PAGEREF _Toc222230014 \h </w:instrText>
            </w:r>
            <w:r w:rsidRPr="00A44047">
              <w:rPr>
                <w:rFonts w:cs="Times New Roman"/>
                <w:noProof/>
                <w:webHidden/>
              </w:rPr>
            </w:r>
            <w:r w:rsidRPr="00A44047">
              <w:rPr>
                <w:rFonts w:cs="Times New Roman"/>
                <w:noProof/>
                <w:webHidden/>
              </w:rPr>
              <w:fldChar w:fldCharType="separate"/>
            </w:r>
            <w:r w:rsidR="00CB1FE5">
              <w:rPr>
                <w:rFonts w:cs="Times New Roman"/>
                <w:noProof/>
                <w:webHidden/>
              </w:rPr>
              <w:t>25</w:t>
            </w:r>
            <w:r w:rsidRPr="00A44047">
              <w:rPr>
                <w:rFonts w:cs="Times New Roman"/>
                <w:noProof/>
                <w:webHidden/>
              </w:rPr>
              <w:fldChar w:fldCharType="end"/>
            </w:r>
          </w:hyperlink>
        </w:p>
        <w:p w14:paraId="6C6826FC" w14:textId="266EEFB1" w:rsidR="00951EA9" w:rsidRPr="00A44047" w:rsidRDefault="00951EA9">
          <w:pPr>
            <w:pStyle w:val="TOC2"/>
            <w:tabs>
              <w:tab w:val="right" w:leader="dot" w:pos="9350"/>
            </w:tabs>
            <w:rPr>
              <w:rFonts w:eastAsiaTheme="minorEastAsia" w:cs="Times New Roman"/>
              <w:noProof/>
              <w:kern w:val="2"/>
              <w:szCs w:val="24"/>
              <w14:ligatures w14:val="standardContextual"/>
            </w:rPr>
          </w:pPr>
          <w:hyperlink w:anchor="_Toc222230015" w:history="1">
            <w:r w:rsidRPr="00A44047">
              <w:rPr>
                <w:rStyle w:val="Hyperlink"/>
                <w:rFonts w:cs="Times New Roman"/>
                <w:noProof/>
              </w:rPr>
              <w:t>5.2 Variations Between Ponds</w:t>
            </w:r>
            <w:r w:rsidRPr="00A44047">
              <w:rPr>
                <w:rFonts w:cs="Times New Roman"/>
                <w:noProof/>
                <w:webHidden/>
              </w:rPr>
              <w:tab/>
            </w:r>
            <w:r w:rsidRPr="00A44047">
              <w:rPr>
                <w:rFonts w:cs="Times New Roman"/>
                <w:noProof/>
                <w:webHidden/>
              </w:rPr>
              <w:fldChar w:fldCharType="begin"/>
            </w:r>
            <w:r w:rsidRPr="00A44047">
              <w:rPr>
                <w:rFonts w:cs="Times New Roman"/>
                <w:noProof/>
                <w:webHidden/>
              </w:rPr>
              <w:instrText xml:space="preserve"> PAGEREF _Toc222230015 \h </w:instrText>
            </w:r>
            <w:r w:rsidRPr="00A44047">
              <w:rPr>
                <w:rFonts w:cs="Times New Roman"/>
                <w:noProof/>
                <w:webHidden/>
              </w:rPr>
            </w:r>
            <w:r w:rsidRPr="00A44047">
              <w:rPr>
                <w:rFonts w:cs="Times New Roman"/>
                <w:noProof/>
                <w:webHidden/>
              </w:rPr>
              <w:fldChar w:fldCharType="separate"/>
            </w:r>
            <w:r w:rsidR="00CB1FE5">
              <w:rPr>
                <w:rFonts w:cs="Times New Roman"/>
                <w:noProof/>
                <w:webHidden/>
              </w:rPr>
              <w:t>27</w:t>
            </w:r>
            <w:r w:rsidRPr="00A44047">
              <w:rPr>
                <w:rFonts w:cs="Times New Roman"/>
                <w:noProof/>
                <w:webHidden/>
              </w:rPr>
              <w:fldChar w:fldCharType="end"/>
            </w:r>
          </w:hyperlink>
        </w:p>
        <w:p w14:paraId="72AC89CE" w14:textId="2F86DECD" w:rsidR="00951EA9" w:rsidRPr="00A44047" w:rsidRDefault="00951EA9">
          <w:pPr>
            <w:pStyle w:val="TOC2"/>
            <w:tabs>
              <w:tab w:val="right" w:leader="dot" w:pos="9350"/>
            </w:tabs>
            <w:rPr>
              <w:rFonts w:eastAsiaTheme="minorEastAsia" w:cs="Times New Roman"/>
              <w:noProof/>
              <w:kern w:val="2"/>
              <w:szCs w:val="24"/>
              <w14:ligatures w14:val="standardContextual"/>
            </w:rPr>
          </w:pPr>
          <w:hyperlink w:anchor="_Toc222230016" w:history="1">
            <w:r w:rsidRPr="00A44047">
              <w:rPr>
                <w:rStyle w:val="Hyperlink"/>
                <w:rFonts w:cs="Times New Roman"/>
                <w:noProof/>
              </w:rPr>
              <w:t>5.3 Principal Component Analysis</w:t>
            </w:r>
            <w:r w:rsidRPr="00A44047">
              <w:rPr>
                <w:rFonts w:cs="Times New Roman"/>
                <w:noProof/>
                <w:webHidden/>
              </w:rPr>
              <w:tab/>
            </w:r>
            <w:r w:rsidRPr="00A44047">
              <w:rPr>
                <w:rFonts w:cs="Times New Roman"/>
                <w:noProof/>
                <w:webHidden/>
              </w:rPr>
              <w:fldChar w:fldCharType="begin"/>
            </w:r>
            <w:r w:rsidRPr="00A44047">
              <w:rPr>
                <w:rFonts w:cs="Times New Roman"/>
                <w:noProof/>
                <w:webHidden/>
              </w:rPr>
              <w:instrText xml:space="preserve"> PAGEREF _Toc222230016 \h </w:instrText>
            </w:r>
            <w:r w:rsidRPr="00A44047">
              <w:rPr>
                <w:rFonts w:cs="Times New Roman"/>
                <w:noProof/>
                <w:webHidden/>
              </w:rPr>
            </w:r>
            <w:r w:rsidRPr="00A44047">
              <w:rPr>
                <w:rFonts w:cs="Times New Roman"/>
                <w:noProof/>
                <w:webHidden/>
              </w:rPr>
              <w:fldChar w:fldCharType="separate"/>
            </w:r>
            <w:r w:rsidR="00CB1FE5">
              <w:rPr>
                <w:rFonts w:cs="Times New Roman"/>
                <w:noProof/>
                <w:webHidden/>
              </w:rPr>
              <w:t>29</w:t>
            </w:r>
            <w:r w:rsidRPr="00A44047">
              <w:rPr>
                <w:rFonts w:cs="Times New Roman"/>
                <w:noProof/>
                <w:webHidden/>
              </w:rPr>
              <w:fldChar w:fldCharType="end"/>
            </w:r>
          </w:hyperlink>
        </w:p>
        <w:p w14:paraId="602F9234" w14:textId="7682C54F" w:rsidR="00951EA9" w:rsidRPr="00A44047" w:rsidRDefault="00951EA9">
          <w:pPr>
            <w:pStyle w:val="TOC2"/>
            <w:tabs>
              <w:tab w:val="right" w:leader="dot" w:pos="9350"/>
            </w:tabs>
            <w:rPr>
              <w:rFonts w:eastAsiaTheme="minorEastAsia" w:cs="Times New Roman"/>
              <w:noProof/>
              <w:kern w:val="2"/>
              <w:szCs w:val="24"/>
              <w14:ligatures w14:val="standardContextual"/>
            </w:rPr>
          </w:pPr>
          <w:hyperlink w:anchor="_Toc222230017" w:history="1">
            <w:r w:rsidRPr="00A44047">
              <w:rPr>
                <w:rStyle w:val="Hyperlink"/>
                <w:rFonts w:cs="Times New Roman"/>
                <w:noProof/>
              </w:rPr>
              <w:t>5.4 Volume Calculations</w:t>
            </w:r>
            <w:r w:rsidRPr="00A44047">
              <w:rPr>
                <w:rFonts w:cs="Times New Roman"/>
                <w:noProof/>
                <w:webHidden/>
              </w:rPr>
              <w:tab/>
            </w:r>
            <w:r w:rsidRPr="00A44047">
              <w:rPr>
                <w:rFonts w:cs="Times New Roman"/>
                <w:noProof/>
                <w:webHidden/>
              </w:rPr>
              <w:fldChar w:fldCharType="begin"/>
            </w:r>
            <w:r w:rsidRPr="00A44047">
              <w:rPr>
                <w:rFonts w:cs="Times New Roman"/>
                <w:noProof/>
                <w:webHidden/>
              </w:rPr>
              <w:instrText xml:space="preserve"> PAGEREF _Toc222230017 \h </w:instrText>
            </w:r>
            <w:r w:rsidRPr="00A44047">
              <w:rPr>
                <w:rFonts w:cs="Times New Roman"/>
                <w:noProof/>
                <w:webHidden/>
              </w:rPr>
            </w:r>
            <w:r w:rsidRPr="00A44047">
              <w:rPr>
                <w:rFonts w:cs="Times New Roman"/>
                <w:noProof/>
                <w:webHidden/>
              </w:rPr>
              <w:fldChar w:fldCharType="separate"/>
            </w:r>
            <w:r w:rsidR="00CB1FE5">
              <w:rPr>
                <w:rFonts w:cs="Times New Roman"/>
                <w:noProof/>
                <w:webHidden/>
              </w:rPr>
              <w:t>31</w:t>
            </w:r>
            <w:r w:rsidRPr="00A44047">
              <w:rPr>
                <w:rFonts w:cs="Times New Roman"/>
                <w:noProof/>
                <w:webHidden/>
              </w:rPr>
              <w:fldChar w:fldCharType="end"/>
            </w:r>
          </w:hyperlink>
        </w:p>
        <w:p w14:paraId="1C08C429" w14:textId="34FA4765" w:rsidR="00951EA9" w:rsidRPr="00A44047" w:rsidRDefault="00951EA9">
          <w:pPr>
            <w:pStyle w:val="TOC2"/>
            <w:tabs>
              <w:tab w:val="right" w:leader="dot" w:pos="9350"/>
            </w:tabs>
            <w:rPr>
              <w:rFonts w:eastAsiaTheme="minorEastAsia" w:cs="Times New Roman"/>
              <w:noProof/>
              <w:kern w:val="2"/>
              <w:szCs w:val="24"/>
              <w14:ligatures w14:val="standardContextual"/>
            </w:rPr>
          </w:pPr>
          <w:hyperlink w:anchor="_Toc222230018" w:history="1">
            <w:r w:rsidRPr="00A44047">
              <w:rPr>
                <w:rStyle w:val="Hyperlink"/>
                <w:rFonts w:cs="Times New Roman"/>
                <w:noProof/>
              </w:rPr>
              <w:t>5.5 Critical Mineral Resource Estimates</w:t>
            </w:r>
            <w:r w:rsidRPr="00A44047">
              <w:rPr>
                <w:rFonts w:cs="Times New Roman"/>
                <w:noProof/>
                <w:webHidden/>
              </w:rPr>
              <w:tab/>
            </w:r>
            <w:r w:rsidRPr="00A44047">
              <w:rPr>
                <w:rFonts w:cs="Times New Roman"/>
                <w:noProof/>
                <w:webHidden/>
              </w:rPr>
              <w:fldChar w:fldCharType="begin"/>
            </w:r>
            <w:r w:rsidRPr="00A44047">
              <w:rPr>
                <w:rFonts w:cs="Times New Roman"/>
                <w:noProof/>
                <w:webHidden/>
              </w:rPr>
              <w:instrText xml:space="preserve"> PAGEREF _Toc222230018 \h </w:instrText>
            </w:r>
            <w:r w:rsidRPr="00A44047">
              <w:rPr>
                <w:rFonts w:cs="Times New Roman"/>
                <w:noProof/>
                <w:webHidden/>
              </w:rPr>
            </w:r>
            <w:r w:rsidRPr="00A44047">
              <w:rPr>
                <w:rFonts w:cs="Times New Roman"/>
                <w:noProof/>
                <w:webHidden/>
              </w:rPr>
              <w:fldChar w:fldCharType="separate"/>
            </w:r>
            <w:r w:rsidR="00CB1FE5">
              <w:rPr>
                <w:rFonts w:cs="Times New Roman"/>
                <w:noProof/>
                <w:webHidden/>
              </w:rPr>
              <w:t>33</w:t>
            </w:r>
            <w:r w:rsidRPr="00A44047">
              <w:rPr>
                <w:rFonts w:cs="Times New Roman"/>
                <w:noProof/>
                <w:webHidden/>
              </w:rPr>
              <w:fldChar w:fldCharType="end"/>
            </w:r>
          </w:hyperlink>
        </w:p>
        <w:p w14:paraId="175A289F" w14:textId="7175B709" w:rsidR="00951EA9" w:rsidRPr="00A44047" w:rsidRDefault="00951EA9">
          <w:pPr>
            <w:pStyle w:val="TOC2"/>
            <w:tabs>
              <w:tab w:val="right" w:leader="dot" w:pos="9350"/>
            </w:tabs>
            <w:rPr>
              <w:rFonts w:eastAsiaTheme="minorEastAsia" w:cs="Times New Roman"/>
              <w:noProof/>
              <w:kern w:val="2"/>
              <w:szCs w:val="24"/>
              <w14:ligatures w14:val="standardContextual"/>
            </w:rPr>
          </w:pPr>
          <w:hyperlink w:anchor="_Toc222230019" w:history="1">
            <w:r w:rsidRPr="00A44047">
              <w:rPr>
                <w:rStyle w:val="Hyperlink"/>
                <w:rFonts w:cs="Times New Roman"/>
                <w:noProof/>
              </w:rPr>
              <w:t>5.6 Acid-Base Accounting</w:t>
            </w:r>
            <w:r w:rsidRPr="00A44047">
              <w:rPr>
                <w:rFonts w:cs="Times New Roman"/>
                <w:noProof/>
                <w:webHidden/>
              </w:rPr>
              <w:tab/>
            </w:r>
            <w:r w:rsidRPr="00A44047">
              <w:rPr>
                <w:rFonts w:cs="Times New Roman"/>
                <w:noProof/>
                <w:webHidden/>
              </w:rPr>
              <w:fldChar w:fldCharType="begin"/>
            </w:r>
            <w:r w:rsidRPr="00A44047">
              <w:rPr>
                <w:rFonts w:cs="Times New Roman"/>
                <w:noProof/>
                <w:webHidden/>
              </w:rPr>
              <w:instrText xml:space="preserve"> PAGEREF _Toc222230019 \h </w:instrText>
            </w:r>
            <w:r w:rsidRPr="00A44047">
              <w:rPr>
                <w:rFonts w:cs="Times New Roman"/>
                <w:noProof/>
                <w:webHidden/>
              </w:rPr>
            </w:r>
            <w:r w:rsidRPr="00A44047">
              <w:rPr>
                <w:rFonts w:cs="Times New Roman"/>
                <w:noProof/>
                <w:webHidden/>
              </w:rPr>
              <w:fldChar w:fldCharType="separate"/>
            </w:r>
            <w:r w:rsidR="00CB1FE5">
              <w:rPr>
                <w:rFonts w:cs="Times New Roman"/>
                <w:noProof/>
                <w:webHidden/>
              </w:rPr>
              <w:t>35</w:t>
            </w:r>
            <w:r w:rsidRPr="00A44047">
              <w:rPr>
                <w:rFonts w:cs="Times New Roman"/>
                <w:noProof/>
                <w:webHidden/>
              </w:rPr>
              <w:fldChar w:fldCharType="end"/>
            </w:r>
          </w:hyperlink>
        </w:p>
        <w:p w14:paraId="78D5196D" w14:textId="1577F5AA" w:rsidR="00951EA9" w:rsidRPr="00A44047" w:rsidRDefault="00951EA9">
          <w:pPr>
            <w:pStyle w:val="TOC1"/>
            <w:tabs>
              <w:tab w:val="right" w:leader="dot" w:pos="9350"/>
            </w:tabs>
            <w:rPr>
              <w:rFonts w:eastAsiaTheme="minorEastAsia" w:cs="Times New Roman"/>
              <w:noProof/>
              <w:kern w:val="2"/>
              <w:szCs w:val="24"/>
              <w14:ligatures w14:val="standardContextual"/>
            </w:rPr>
          </w:pPr>
          <w:hyperlink w:anchor="_Toc222230020" w:history="1">
            <w:r w:rsidRPr="00A44047">
              <w:rPr>
                <w:rStyle w:val="Hyperlink"/>
                <w:rFonts w:cs="Times New Roman"/>
                <w:noProof/>
              </w:rPr>
              <w:t>6. Conclusions</w:t>
            </w:r>
            <w:r w:rsidRPr="00A44047">
              <w:rPr>
                <w:rFonts w:cs="Times New Roman"/>
                <w:noProof/>
                <w:webHidden/>
              </w:rPr>
              <w:tab/>
            </w:r>
            <w:r w:rsidRPr="00A44047">
              <w:rPr>
                <w:rFonts w:cs="Times New Roman"/>
                <w:noProof/>
                <w:webHidden/>
              </w:rPr>
              <w:fldChar w:fldCharType="begin"/>
            </w:r>
            <w:r w:rsidRPr="00A44047">
              <w:rPr>
                <w:rFonts w:cs="Times New Roman"/>
                <w:noProof/>
                <w:webHidden/>
              </w:rPr>
              <w:instrText xml:space="preserve"> PAGEREF _Toc222230020 \h </w:instrText>
            </w:r>
            <w:r w:rsidRPr="00A44047">
              <w:rPr>
                <w:rFonts w:cs="Times New Roman"/>
                <w:noProof/>
                <w:webHidden/>
              </w:rPr>
            </w:r>
            <w:r w:rsidRPr="00A44047">
              <w:rPr>
                <w:rFonts w:cs="Times New Roman"/>
                <w:noProof/>
                <w:webHidden/>
              </w:rPr>
              <w:fldChar w:fldCharType="separate"/>
            </w:r>
            <w:r w:rsidR="00CB1FE5">
              <w:rPr>
                <w:rFonts w:cs="Times New Roman"/>
                <w:noProof/>
                <w:webHidden/>
              </w:rPr>
              <w:t>36</w:t>
            </w:r>
            <w:r w:rsidRPr="00A44047">
              <w:rPr>
                <w:rFonts w:cs="Times New Roman"/>
                <w:noProof/>
                <w:webHidden/>
              </w:rPr>
              <w:fldChar w:fldCharType="end"/>
            </w:r>
          </w:hyperlink>
        </w:p>
        <w:p w14:paraId="223D573F" w14:textId="5A8CD021" w:rsidR="00951EA9" w:rsidRPr="00A44047" w:rsidRDefault="00951EA9">
          <w:pPr>
            <w:pStyle w:val="TOC1"/>
            <w:tabs>
              <w:tab w:val="right" w:leader="dot" w:pos="9350"/>
            </w:tabs>
            <w:rPr>
              <w:rFonts w:eastAsiaTheme="minorEastAsia" w:cs="Times New Roman"/>
              <w:noProof/>
              <w:kern w:val="2"/>
              <w:szCs w:val="24"/>
              <w14:ligatures w14:val="standardContextual"/>
            </w:rPr>
          </w:pPr>
          <w:hyperlink w:anchor="_Toc222230021" w:history="1">
            <w:r w:rsidRPr="00A44047">
              <w:rPr>
                <w:rStyle w:val="Hyperlink"/>
                <w:rFonts w:cs="Times New Roman"/>
                <w:noProof/>
              </w:rPr>
              <w:t>7. References</w:t>
            </w:r>
            <w:r w:rsidRPr="00A44047">
              <w:rPr>
                <w:rFonts w:cs="Times New Roman"/>
                <w:noProof/>
                <w:webHidden/>
              </w:rPr>
              <w:tab/>
            </w:r>
            <w:r w:rsidRPr="00A44047">
              <w:rPr>
                <w:rFonts w:cs="Times New Roman"/>
                <w:noProof/>
                <w:webHidden/>
              </w:rPr>
              <w:fldChar w:fldCharType="begin"/>
            </w:r>
            <w:r w:rsidRPr="00A44047">
              <w:rPr>
                <w:rFonts w:cs="Times New Roman"/>
                <w:noProof/>
                <w:webHidden/>
              </w:rPr>
              <w:instrText xml:space="preserve"> PAGEREF _Toc222230021 \h </w:instrText>
            </w:r>
            <w:r w:rsidRPr="00A44047">
              <w:rPr>
                <w:rFonts w:cs="Times New Roman"/>
                <w:noProof/>
                <w:webHidden/>
              </w:rPr>
            </w:r>
            <w:r w:rsidRPr="00A44047">
              <w:rPr>
                <w:rFonts w:cs="Times New Roman"/>
                <w:noProof/>
                <w:webHidden/>
              </w:rPr>
              <w:fldChar w:fldCharType="separate"/>
            </w:r>
            <w:r w:rsidR="00CB1FE5">
              <w:rPr>
                <w:rFonts w:cs="Times New Roman"/>
                <w:noProof/>
                <w:webHidden/>
              </w:rPr>
              <w:t>38</w:t>
            </w:r>
            <w:r w:rsidRPr="00A44047">
              <w:rPr>
                <w:rFonts w:cs="Times New Roman"/>
                <w:noProof/>
                <w:webHidden/>
              </w:rPr>
              <w:fldChar w:fldCharType="end"/>
            </w:r>
          </w:hyperlink>
        </w:p>
        <w:p w14:paraId="2648CE0D" w14:textId="5468B43A" w:rsidR="00951EA9" w:rsidRPr="00A44047" w:rsidRDefault="00951EA9">
          <w:pPr>
            <w:pStyle w:val="TOC1"/>
            <w:tabs>
              <w:tab w:val="right" w:leader="dot" w:pos="9350"/>
            </w:tabs>
            <w:rPr>
              <w:rFonts w:eastAsiaTheme="minorEastAsia" w:cs="Times New Roman"/>
              <w:noProof/>
              <w:kern w:val="2"/>
              <w:szCs w:val="24"/>
              <w14:ligatures w14:val="standardContextual"/>
            </w:rPr>
          </w:pPr>
          <w:hyperlink w:anchor="_Toc222230022" w:history="1">
            <w:r w:rsidRPr="00A44047">
              <w:rPr>
                <w:rStyle w:val="Hyperlink"/>
                <w:rFonts w:cs="Times New Roman"/>
                <w:noProof/>
              </w:rPr>
              <w:t>8. Appendices</w:t>
            </w:r>
            <w:r w:rsidRPr="00A44047">
              <w:rPr>
                <w:rFonts w:cs="Times New Roman"/>
                <w:noProof/>
                <w:webHidden/>
              </w:rPr>
              <w:tab/>
            </w:r>
            <w:r w:rsidRPr="00A44047">
              <w:rPr>
                <w:rFonts w:cs="Times New Roman"/>
                <w:noProof/>
                <w:webHidden/>
              </w:rPr>
              <w:fldChar w:fldCharType="begin"/>
            </w:r>
            <w:r w:rsidRPr="00A44047">
              <w:rPr>
                <w:rFonts w:cs="Times New Roman"/>
                <w:noProof/>
                <w:webHidden/>
              </w:rPr>
              <w:instrText xml:space="preserve"> PAGEREF _Toc222230022 \h </w:instrText>
            </w:r>
            <w:r w:rsidRPr="00A44047">
              <w:rPr>
                <w:rFonts w:cs="Times New Roman"/>
                <w:noProof/>
                <w:webHidden/>
              </w:rPr>
            </w:r>
            <w:r w:rsidRPr="00A44047">
              <w:rPr>
                <w:rFonts w:cs="Times New Roman"/>
                <w:noProof/>
                <w:webHidden/>
              </w:rPr>
              <w:fldChar w:fldCharType="separate"/>
            </w:r>
            <w:r w:rsidR="00CB1FE5">
              <w:rPr>
                <w:rFonts w:cs="Times New Roman"/>
                <w:noProof/>
                <w:webHidden/>
              </w:rPr>
              <w:t>42</w:t>
            </w:r>
            <w:r w:rsidRPr="00A44047">
              <w:rPr>
                <w:rFonts w:cs="Times New Roman"/>
                <w:noProof/>
                <w:webHidden/>
              </w:rPr>
              <w:fldChar w:fldCharType="end"/>
            </w:r>
          </w:hyperlink>
        </w:p>
        <w:p w14:paraId="52158B1C" w14:textId="0663F21E" w:rsidR="00951EA9" w:rsidRPr="00A44047" w:rsidRDefault="00951EA9">
          <w:pPr>
            <w:pStyle w:val="TOC1"/>
            <w:tabs>
              <w:tab w:val="right" w:leader="dot" w:pos="9350"/>
            </w:tabs>
            <w:rPr>
              <w:rFonts w:eastAsiaTheme="minorEastAsia" w:cs="Times New Roman"/>
              <w:noProof/>
              <w:kern w:val="2"/>
              <w:szCs w:val="24"/>
              <w14:ligatures w14:val="standardContextual"/>
            </w:rPr>
          </w:pPr>
          <w:hyperlink w:anchor="_Toc222230023" w:history="1">
            <w:r w:rsidRPr="00A44047">
              <w:rPr>
                <w:rStyle w:val="Hyperlink"/>
                <w:rFonts w:cs="Times New Roman"/>
                <w:noProof/>
              </w:rPr>
              <w:t>9. Terms of Use for NCGS Products</w:t>
            </w:r>
            <w:r w:rsidRPr="00A44047">
              <w:rPr>
                <w:rFonts w:cs="Times New Roman"/>
                <w:noProof/>
                <w:webHidden/>
              </w:rPr>
              <w:tab/>
            </w:r>
            <w:r w:rsidRPr="00A44047">
              <w:rPr>
                <w:rFonts w:cs="Times New Roman"/>
                <w:noProof/>
                <w:webHidden/>
              </w:rPr>
              <w:fldChar w:fldCharType="begin"/>
            </w:r>
            <w:r w:rsidRPr="00A44047">
              <w:rPr>
                <w:rFonts w:cs="Times New Roman"/>
                <w:noProof/>
                <w:webHidden/>
              </w:rPr>
              <w:instrText xml:space="preserve"> PAGEREF _Toc222230023 \h </w:instrText>
            </w:r>
            <w:r w:rsidRPr="00A44047">
              <w:rPr>
                <w:rFonts w:cs="Times New Roman"/>
                <w:noProof/>
                <w:webHidden/>
              </w:rPr>
            </w:r>
            <w:r w:rsidRPr="00A44047">
              <w:rPr>
                <w:rFonts w:cs="Times New Roman"/>
                <w:noProof/>
                <w:webHidden/>
              </w:rPr>
              <w:fldChar w:fldCharType="separate"/>
            </w:r>
            <w:r w:rsidR="00CB1FE5">
              <w:rPr>
                <w:rFonts w:cs="Times New Roman"/>
                <w:noProof/>
                <w:webHidden/>
              </w:rPr>
              <w:t>43</w:t>
            </w:r>
            <w:r w:rsidRPr="00A44047">
              <w:rPr>
                <w:rFonts w:cs="Times New Roman"/>
                <w:noProof/>
                <w:webHidden/>
              </w:rPr>
              <w:fldChar w:fldCharType="end"/>
            </w:r>
          </w:hyperlink>
        </w:p>
        <w:p w14:paraId="1F868877" w14:textId="5B4AF0A3" w:rsidR="00951EA9" w:rsidRPr="00A44047" w:rsidRDefault="00951EA9">
          <w:pPr>
            <w:pStyle w:val="TOC1"/>
            <w:tabs>
              <w:tab w:val="right" w:leader="dot" w:pos="9350"/>
            </w:tabs>
            <w:rPr>
              <w:rFonts w:eastAsiaTheme="minorEastAsia" w:cs="Times New Roman"/>
              <w:noProof/>
              <w:kern w:val="2"/>
              <w:szCs w:val="24"/>
              <w14:ligatures w14:val="standardContextual"/>
            </w:rPr>
          </w:pPr>
          <w:hyperlink w:anchor="_Toc222230024" w:history="1">
            <w:r w:rsidRPr="00A44047">
              <w:rPr>
                <w:rStyle w:val="Hyperlink"/>
                <w:rFonts w:cs="Times New Roman"/>
                <w:noProof/>
              </w:rPr>
              <w:t>10. Acknowledgement</w:t>
            </w:r>
            <w:r w:rsidRPr="00A44047">
              <w:rPr>
                <w:rFonts w:cs="Times New Roman"/>
                <w:noProof/>
                <w:webHidden/>
              </w:rPr>
              <w:tab/>
            </w:r>
            <w:r w:rsidRPr="00A44047">
              <w:rPr>
                <w:rFonts w:cs="Times New Roman"/>
                <w:noProof/>
                <w:webHidden/>
              </w:rPr>
              <w:fldChar w:fldCharType="begin"/>
            </w:r>
            <w:r w:rsidRPr="00A44047">
              <w:rPr>
                <w:rFonts w:cs="Times New Roman"/>
                <w:noProof/>
                <w:webHidden/>
              </w:rPr>
              <w:instrText xml:space="preserve"> PAGEREF _Toc222230024 \h </w:instrText>
            </w:r>
            <w:r w:rsidRPr="00A44047">
              <w:rPr>
                <w:rFonts w:cs="Times New Roman"/>
                <w:noProof/>
                <w:webHidden/>
              </w:rPr>
            </w:r>
            <w:r w:rsidRPr="00A44047">
              <w:rPr>
                <w:rFonts w:cs="Times New Roman"/>
                <w:noProof/>
                <w:webHidden/>
              </w:rPr>
              <w:fldChar w:fldCharType="separate"/>
            </w:r>
            <w:r w:rsidR="00CB1FE5">
              <w:rPr>
                <w:rFonts w:cs="Times New Roman"/>
                <w:noProof/>
                <w:webHidden/>
              </w:rPr>
              <w:t>43</w:t>
            </w:r>
            <w:r w:rsidRPr="00A44047">
              <w:rPr>
                <w:rFonts w:cs="Times New Roman"/>
                <w:noProof/>
                <w:webHidden/>
              </w:rPr>
              <w:fldChar w:fldCharType="end"/>
            </w:r>
          </w:hyperlink>
        </w:p>
        <w:p w14:paraId="245ED2AA" w14:textId="558D55F3" w:rsidR="00951EA9" w:rsidRDefault="00951EA9">
          <w:r w:rsidRPr="00A44047">
            <w:rPr>
              <w:rFonts w:cs="Times New Roman"/>
              <w:b/>
              <w:bCs/>
              <w:noProof/>
            </w:rPr>
            <w:fldChar w:fldCharType="end"/>
          </w:r>
        </w:p>
      </w:sdtContent>
    </w:sdt>
    <w:p w14:paraId="6AE26AB3" w14:textId="77777777" w:rsidR="00731EB9" w:rsidRDefault="00731EB9" w:rsidP="00731EB9"/>
    <w:p w14:paraId="307004D5" w14:textId="77777777" w:rsidR="00951EA9" w:rsidRDefault="00951EA9" w:rsidP="00731EB9"/>
    <w:p w14:paraId="574721F6" w14:textId="77777777" w:rsidR="00951EA9" w:rsidRDefault="00951EA9" w:rsidP="00731EB9"/>
    <w:p w14:paraId="093607E4" w14:textId="77777777" w:rsidR="00951EA9" w:rsidRDefault="00951EA9" w:rsidP="00731EB9"/>
    <w:p w14:paraId="48DA594D" w14:textId="77777777" w:rsidR="00951EA9" w:rsidRDefault="00951EA9" w:rsidP="00731EB9"/>
    <w:p w14:paraId="5D946F9E" w14:textId="77777777" w:rsidR="00951EA9" w:rsidRDefault="00951EA9" w:rsidP="00731EB9"/>
    <w:p w14:paraId="43592E0A" w14:textId="77777777" w:rsidR="00951EA9" w:rsidRDefault="00951EA9" w:rsidP="00731EB9"/>
    <w:p w14:paraId="620F5F6C" w14:textId="77777777" w:rsidR="00A44047" w:rsidRDefault="00A44047" w:rsidP="00731EB9"/>
    <w:p w14:paraId="1B5B1D10" w14:textId="77777777" w:rsidR="00951EA9" w:rsidRDefault="00951EA9" w:rsidP="00731EB9"/>
    <w:p w14:paraId="0F763FF9" w14:textId="77777777" w:rsidR="00951EA9" w:rsidRDefault="00951EA9" w:rsidP="00731EB9"/>
    <w:p w14:paraId="593C7B19" w14:textId="77777777" w:rsidR="00951EA9" w:rsidRDefault="00951EA9" w:rsidP="00731EB9"/>
    <w:p w14:paraId="67A7C5A4" w14:textId="77777777" w:rsidR="00951EA9" w:rsidRDefault="00951EA9" w:rsidP="00731EB9"/>
    <w:p w14:paraId="40F9E453" w14:textId="77777777" w:rsidR="00951EA9" w:rsidRDefault="00951EA9" w:rsidP="00731EB9"/>
    <w:p w14:paraId="5210E753" w14:textId="77777777" w:rsidR="00951EA9" w:rsidRDefault="00951EA9" w:rsidP="00731EB9"/>
    <w:p w14:paraId="76EC073C" w14:textId="77777777" w:rsidR="00951EA9" w:rsidRDefault="00951EA9" w:rsidP="00731EB9"/>
    <w:p w14:paraId="0F96929D" w14:textId="77777777" w:rsidR="00951EA9" w:rsidRDefault="00951EA9" w:rsidP="00731EB9"/>
    <w:p w14:paraId="3A6E5581" w14:textId="77777777" w:rsidR="00951EA9" w:rsidRDefault="00951EA9" w:rsidP="00CB1FE5">
      <w:bookmarkStart w:id="0" w:name="_Toc222230005"/>
    </w:p>
    <w:p w14:paraId="5C038283" w14:textId="77777777" w:rsidR="00CB1FE5" w:rsidRDefault="00CB1FE5" w:rsidP="00CB1FE5"/>
    <w:p w14:paraId="1882C81A" w14:textId="77777777" w:rsidR="00951EA9" w:rsidRPr="00951EA9" w:rsidRDefault="00951EA9" w:rsidP="00951EA9"/>
    <w:p w14:paraId="2B023771" w14:textId="36822912" w:rsidR="00D44FDA" w:rsidRPr="005049B1" w:rsidRDefault="00D44FDA" w:rsidP="00731EB9">
      <w:pPr>
        <w:pStyle w:val="Heading1"/>
        <w:jc w:val="center"/>
      </w:pPr>
      <w:r w:rsidRPr="005049B1">
        <w:lastRenderedPageBreak/>
        <w:t>Key Findings</w:t>
      </w:r>
      <w:bookmarkEnd w:id="0"/>
    </w:p>
    <w:p w14:paraId="0F15A8EB" w14:textId="77777777" w:rsidR="00D44FDA" w:rsidRDefault="00D44FDA" w:rsidP="00354281">
      <w:pPr>
        <w:pStyle w:val="ListParagraph"/>
        <w:numPr>
          <w:ilvl w:val="0"/>
          <w:numId w:val="6"/>
        </w:numPr>
        <w:rPr>
          <w:rFonts w:cs="Times New Roman"/>
        </w:rPr>
      </w:pPr>
      <w:r>
        <w:rPr>
          <w:rFonts w:cs="Times New Roman"/>
        </w:rPr>
        <w:t xml:space="preserve">The Tungsten Queen tailings impoundment contains an estimated </w:t>
      </w:r>
      <w:r w:rsidRPr="007E4398">
        <w:rPr>
          <w:rFonts w:cs="Times New Roman"/>
        </w:rPr>
        <w:t>43,400,000 ft</w:t>
      </w:r>
      <w:r w:rsidRPr="007E4398">
        <w:rPr>
          <w:rFonts w:cs="Times New Roman"/>
          <w:vertAlign w:val="superscript"/>
        </w:rPr>
        <w:t>3</w:t>
      </w:r>
      <w:r>
        <w:rPr>
          <w:rFonts w:cs="Times New Roman"/>
        </w:rPr>
        <w:t xml:space="preserve"> of tailings.</w:t>
      </w:r>
    </w:p>
    <w:p w14:paraId="4CFE020F" w14:textId="6B1969BC" w:rsidR="00D44FDA" w:rsidRDefault="00D44FDA" w:rsidP="00354281">
      <w:pPr>
        <w:pStyle w:val="ListParagraph"/>
        <w:numPr>
          <w:ilvl w:val="0"/>
          <w:numId w:val="6"/>
        </w:numPr>
        <w:rPr>
          <w:rFonts w:cs="Times New Roman"/>
        </w:rPr>
      </w:pPr>
      <w:r>
        <w:rPr>
          <w:rFonts w:cs="Times New Roman"/>
        </w:rPr>
        <w:t>Resource estimates for the most enriched critical minerals</w:t>
      </w:r>
      <w:r w:rsidR="00167106">
        <w:rPr>
          <w:rFonts w:cs="Times New Roman"/>
        </w:rPr>
        <w:t xml:space="preserve"> in the impoundment</w:t>
      </w:r>
      <w:r>
        <w:rPr>
          <w:rFonts w:cs="Times New Roman"/>
        </w:rPr>
        <w:t xml:space="preserve"> are as follows:</w:t>
      </w:r>
    </w:p>
    <w:p w14:paraId="47A1C640" w14:textId="1869A212" w:rsidR="00D44FDA" w:rsidRDefault="00D44FDA" w:rsidP="00354281">
      <w:pPr>
        <w:pStyle w:val="ListParagraph"/>
        <w:numPr>
          <w:ilvl w:val="1"/>
          <w:numId w:val="6"/>
        </w:numPr>
        <w:rPr>
          <w:rFonts w:cs="Times New Roman"/>
        </w:rPr>
      </w:pPr>
      <w:r>
        <w:rPr>
          <w:rFonts w:cs="Times New Roman"/>
        </w:rPr>
        <w:t>Fluorine (</w:t>
      </w:r>
      <w:r w:rsidR="00B734EF">
        <w:rPr>
          <w:rFonts w:cs="Times New Roman"/>
        </w:rPr>
        <w:t>66,695 metric ton</w:t>
      </w:r>
      <w:r w:rsidR="00F21454">
        <w:rPr>
          <w:rFonts w:cs="Times New Roman"/>
        </w:rPr>
        <w:t xml:space="preserve"> [t] </w:t>
      </w:r>
      <w:r>
        <w:rPr>
          <w:rFonts w:cs="Times New Roman"/>
        </w:rPr>
        <w:t xml:space="preserve">F, which is used as a proxy for </w:t>
      </w:r>
      <w:r w:rsidR="00E86389">
        <w:rPr>
          <w:rFonts w:cs="Times New Roman"/>
        </w:rPr>
        <w:t>fluorite/</w:t>
      </w:r>
      <w:r>
        <w:rPr>
          <w:rFonts w:cs="Times New Roman"/>
        </w:rPr>
        <w:t>fluorspar)</w:t>
      </w:r>
    </w:p>
    <w:p w14:paraId="243F660F" w14:textId="6CDF068B" w:rsidR="00D44FDA" w:rsidRDefault="00D44FDA" w:rsidP="00354281">
      <w:pPr>
        <w:pStyle w:val="ListParagraph"/>
        <w:numPr>
          <w:ilvl w:val="1"/>
          <w:numId w:val="6"/>
        </w:numPr>
        <w:rPr>
          <w:rFonts w:cs="Times New Roman"/>
        </w:rPr>
      </w:pPr>
      <w:r>
        <w:rPr>
          <w:rFonts w:cs="Times New Roman"/>
        </w:rPr>
        <w:t>Tungsten (</w:t>
      </w:r>
      <w:r w:rsidR="00F21454">
        <w:rPr>
          <w:rFonts w:cs="Times New Roman"/>
        </w:rPr>
        <w:t>2</w:t>
      </w:r>
      <w:r w:rsidR="0005431A">
        <w:rPr>
          <w:rFonts w:cs="Times New Roman"/>
        </w:rPr>
        <w:t>,</w:t>
      </w:r>
      <w:r w:rsidR="00F21454">
        <w:rPr>
          <w:rFonts w:cs="Times New Roman"/>
        </w:rPr>
        <w:t>706</w:t>
      </w:r>
      <w:r>
        <w:rPr>
          <w:rFonts w:cs="Times New Roman"/>
        </w:rPr>
        <w:t xml:space="preserve"> </w:t>
      </w:r>
      <w:r w:rsidR="00F21454">
        <w:rPr>
          <w:rFonts w:cs="Times New Roman"/>
        </w:rPr>
        <w:t xml:space="preserve">t </w:t>
      </w:r>
      <w:r>
        <w:rPr>
          <w:rFonts w:cs="Times New Roman"/>
        </w:rPr>
        <w:t>W</w:t>
      </w:r>
      <w:r w:rsidR="001205D3">
        <w:rPr>
          <w:rFonts w:cs="Times New Roman"/>
        </w:rPr>
        <w:t xml:space="preserve">; </w:t>
      </w:r>
      <w:r w:rsidR="00C569E3">
        <w:rPr>
          <w:rFonts w:cs="Times New Roman"/>
        </w:rPr>
        <w:t>3,413 t WO</w:t>
      </w:r>
      <w:r w:rsidR="00C569E3" w:rsidRPr="00C569E3">
        <w:rPr>
          <w:rFonts w:cs="Times New Roman"/>
          <w:vertAlign w:val="subscript"/>
        </w:rPr>
        <w:t>3</w:t>
      </w:r>
      <w:r>
        <w:rPr>
          <w:rFonts w:cs="Times New Roman"/>
        </w:rPr>
        <w:t>)</w:t>
      </w:r>
    </w:p>
    <w:p w14:paraId="2F3B1B00" w14:textId="501472F1" w:rsidR="00D44FDA" w:rsidRDefault="00D44FDA" w:rsidP="00354281">
      <w:pPr>
        <w:pStyle w:val="ListParagraph"/>
        <w:numPr>
          <w:ilvl w:val="1"/>
          <w:numId w:val="6"/>
        </w:numPr>
        <w:rPr>
          <w:rFonts w:cs="Times New Roman"/>
        </w:rPr>
      </w:pPr>
      <w:r>
        <w:rPr>
          <w:rFonts w:cs="Times New Roman"/>
        </w:rPr>
        <w:t>Manganese (</w:t>
      </w:r>
      <w:r w:rsidR="00275CE9">
        <w:rPr>
          <w:rFonts w:cs="Times New Roman"/>
        </w:rPr>
        <w:t xml:space="preserve">1,732 t </w:t>
      </w:r>
      <w:r>
        <w:rPr>
          <w:rFonts w:cs="Times New Roman"/>
        </w:rPr>
        <w:t>Mn)</w:t>
      </w:r>
    </w:p>
    <w:p w14:paraId="0987A8C5" w14:textId="092175ED" w:rsidR="00D44FDA" w:rsidRDefault="00D44FDA" w:rsidP="00354281">
      <w:pPr>
        <w:pStyle w:val="ListParagraph"/>
        <w:numPr>
          <w:ilvl w:val="1"/>
          <w:numId w:val="6"/>
        </w:numPr>
        <w:rPr>
          <w:rFonts w:cs="Times New Roman"/>
        </w:rPr>
      </w:pPr>
      <w:r>
        <w:rPr>
          <w:rFonts w:cs="Times New Roman"/>
        </w:rPr>
        <w:t>Zinc (</w:t>
      </w:r>
      <w:r w:rsidR="00275CE9">
        <w:rPr>
          <w:rFonts w:cs="Times New Roman"/>
        </w:rPr>
        <w:t>1,476 t</w:t>
      </w:r>
      <w:r>
        <w:rPr>
          <w:rFonts w:cs="Times New Roman"/>
        </w:rPr>
        <w:t xml:space="preserve"> Zn)</w:t>
      </w:r>
    </w:p>
    <w:p w14:paraId="346231E8" w14:textId="2DDAB0BA" w:rsidR="00D44FDA" w:rsidRDefault="00D44FDA" w:rsidP="00354281">
      <w:pPr>
        <w:pStyle w:val="ListParagraph"/>
        <w:numPr>
          <w:ilvl w:val="0"/>
          <w:numId w:val="6"/>
        </w:numPr>
        <w:rPr>
          <w:rFonts w:cs="Times New Roman"/>
        </w:rPr>
      </w:pPr>
      <w:r>
        <w:rPr>
          <w:rFonts w:cs="Times New Roman"/>
        </w:rPr>
        <w:t>Grainsize and/or density may</w:t>
      </w:r>
      <w:r w:rsidR="00095997">
        <w:rPr>
          <w:rFonts w:cs="Times New Roman"/>
        </w:rPr>
        <w:t xml:space="preserve"> have</w:t>
      </w:r>
      <w:r>
        <w:rPr>
          <w:rFonts w:cs="Times New Roman"/>
        </w:rPr>
        <w:t xml:space="preserve"> influence</w:t>
      </w:r>
      <w:r w:rsidR="00095997">
        <w:rPr>
          <w:rFonts w:cs="Times New Roman"/>
        </w:rPr>
        <w:t>d</w:t>
      </w:r>
      <w:r>
        <w:rPr>
          <w:rFonts w:cs="Times New Roman"/>
        </w:rPr>
        <w:t xml:space="preserve"> lateral variations in critical mineral content of the tailings ponds.</w:t>
      </w:r>
    </w:p>
    <w:p w14:paraId="36216ECB" w14:textId="65777FBD" w:rsidR="00D44FDA" w:rsidRDefault="00D44FDA" w:rsidP="00354281">
      <w:pPr>
        <w:pStyle w:val="ListParagraph"/>
        <w:numPr>
          <w:ilvl w:val="0"/>
          <w:numId w:val="6"/>
        </w:numPr>
        <w:rPr>
          <w:rFonts w:cs="Times New Roman"/>
        </w:rPr>
      </w:pPr>
      <w:r>
        <w:rPr>
          <w:rFonts w:cs="Times New Roman"/>
        </w:rPr>
        <w:t>Heterogeneity of the ore being processed at a given time may</w:t>
      </w:r>
      <w:r w:rsidR="007871F1">
        <w:rPr>
          <w:rFonts w:cs="Times New Roman"/>
        </w:rPr>
        <w:t xml:space="preserve"> have</w:t>
      </w:r>
      <w:r>
        <w:rPr>
          <w:rFonts w:cs="Times New Roman"/>
        </w:rPr>
        <w:t xml:space="preserve"> influence</w:t>
      </w:r>
      <w:r w:rsidR="007871F1">
        <w:rPr>
          <w:rFonts w:cs="Times New Roman"/>
        </w:rPr>
        <w:t>d</w:t>
      </w:r>
      <w:r>
        <w:rPr>
          <w:rFonts w:cs="Times New Roman"/>
        </w:rPr>
        <w:t xml:space="preserve"> depth-related variations in the critical mineral content of the tailings ponds.</w:t>
      </w:r>
    </w:p>
    <w:p w14:paraId="3BA42F99" w14:textId="77777777" w:rsidR="00D44FDA" w:rsidRDefault="00D44FDA" w:rsidP="00354281">
      <w:pPr>
        <w:pStyle w:val="ListParagraph"/>
        <w:numPr>
          <w:ilvl w:val="0"/>
          <w:numId w:val="6"/>
        </w:numPr>
        <w:rPr>
          <w:rFonts w:cs="Times New Roman"/>
        </w:rPr>
      </w:pPr>
      <w:r>
        <w:rPr>
          <w:rFonts w:cs="Times New Roman"/>
        </w:rPr>
        <w:t>Compositional differences between tailings ponds 2 and 3 could suggest variability in the critical mineral content of certain minerals, including hubnerite, although the breakdown of certain sulfides could also be a factor.</w:t>
      </w:r>
    </w:p>
    <w:p w14:paraId="24C2CFDC" w14:textId="59A45516" w:rsidR="00D44FDA" w:rsidRPr="005049B1" w:rsidRDefault="00D44FDA" w:rsidP="00354281">
      <w:pPr>
        <w:pStyle w:val="ListParagraph"/>
        <w:numPr>
          <w:ilvl w:val="0"/>
          <w:numId w:val="6"/>
        </w:numPr>
        <w:rPr>
          <w:rFonts w:cs="Times New Roman"/>
        </w:rPr>
      </w:pPr>
      <w:r>
        <w:rPr>
          <w:rFonts w:cs="Times New Roman"/>
        </w:rPr>
        <w:t>Acid</w:t>
      </w:r>
      <w:r w:rsidR="008170B5">
        <w:rPr>
          <w:rFonts w:cs="Times New Roman"/>
        </w:rPr>
        <w:t>-</w:t>
      </w:r>
      <w:r>
        <w:rPr>
          <w:rFonts w:cs="Times New Roman"/>
        </w:rPr>
        <w:t>base accounting suggests kinetic testing is needed to determine the true potential for acid production from tailings, although data suggest two sulfide-rich samples are acid producing.</w:t>
      </w:r>
    </w:p>
    <w:p w14:paraId="6872F6E1" w14:textId="77777777" w:rsidR="0074378E" w:rsidRDefault="0074378E" w:rsidP="00EC61CD">
      <w:pPr>
        <w:rPr>
          <w:rFonts w:cs="Times New Roman"/>
          <w:szCs w:val="24"/>
        </w:rPr>
      </w:pPr>
    </w:p>
    <w:p w14:paraId="5135FCD1" w14:textId="77777777" w:rsidR="00D44FDA" w:rsidRDefault="00D44FDA" w:rsidP="00EC61CD">
      <w:pPr>
        <w:rPr>
          <w:rFonts w:cs="Times New Roman"/>
          <w:szCs w:val="24"/>
        </w:rPr>
      </w:pPr>
    </w:p>
    <w:p w14:paraId="2C2BDEAF" w14:textId="77777777" w:rsidR="00D44FDA" w:rsidRDefault="00D44FDA" w:rsidP="00EC61CD">
      <w:pPr>
        <w:rPr>
          <w:rFonts w:cs="Times New Roman"/>
          <w:szCs w:val="24"/>
        </w:rPr>
      </w:pPr>
    </w:p>
    <w:p w14:paraId="78A5E71B" w14:textId="1DB7C9B5" w:rsidR="00D44FDA" w:rsidRDefault="00D44FDA" w:rsidP="00EC61CD">
      <w:pPr>
        <w:rPr>
          <w:rFonts w:cs="Times New Roman"/>
          <w:szCs w:val="24"/>
        </w:rPr>
      </w:pPr>
    </w:p>
    <w:p w14:paraId="7FFFAA02" w14:textId="77777777" w:rsidR="00D44FDA" w:rsidRDefault="00D44FDA" w:rsidP="00EC61CD">
      <w:pPr>
        <w:rPr>
          <w:rFonts w:cs="Times New Roman"/>
          <w:szCs w:val="24"/>
        </w:rPr>
      </w:pPr>
    </w:p>
    <w:p w14:paraId="7E2F9658" w14:textId="77777777" w:rsidR="00D44FDA" w:rsidRDefault="00D44FDA" w:rsidP="00EC61CD">
      <w:pPr>
        <w:rPr>
          <w:rFonts w:cs="Times New Roman"/>
          <w:szCs w:val="24"/>
        </w:rPr>
      </w:pPr>
    </w:p>
    <w:p w14:paraId="738FD9CC" w14:textId="77777777" w:rsidR="00D44FDA" w:rsidRDefault="00D44FDA" w:rsidP="00EC61CD">
      <w:pPr>
        <w:rPr>
          <w:rFonts w:cs="Times New Roman"/>
          <w:szCs w:val="24"/>
        </w:rPr>
      </w:pPr>
    </w:p>
    <w:p w14:paraId="476BF490" w14:textId="77777777" w:rsidR="00D44FDA" w:rsidRDefault="00D44FDA" w:rsidP="00EC61CD">
      <w:pPr>
        <w:rPr>
          <w:rFonts w:cs="Times New Roman"/>
          <w:szCs w:val="24"/>
        </w:rPr>
      </w:pPr>
    </w:p>
    <w:p w14:paraId="6619F07A" w14:textId="77777777" w:rsidR="00D44FDA" w:rsidRDefault="00D44FDA" w:rsidP="00EC61CD">
      <w:pPr>
        <w:rPr>
          <w:rFonts w:cs="Times New Roman"/>
          <w:szCs w:val="24"/>
        </w:rPr>
      </w:pPr>
    </w:p>
    <w:p w14:paraId="761B33A1" w14:textId="77777777" w:rsidR="00D44FDA" w:rsidRDefault="00D44FDA" w:rsidP="00EC61CD">
      <w:pPr>
        <w:rPr>
          <w:rFonts w:cs="Times New Roman"/>
          <w:szCs w:val="24"/>
        </w:rPr>
      </w:pPr>
    </w:p>
    <w:p w14:paraId="58D032C0" w14:textId="77777777" w:rsidR="00D44FDA" w:rsidRDefault="00D44FDA" w:rsidP="00EC61CD">
      <w:pPr>
        <w:rPr>
          <w:rFonts w:cs="Times New Roman"/>
          <w:szCs w:val="24"/>
        </w:rPr>
      </w:pPr>
    </w:p>
    <w:p w14:paraId="68E3AD7F" w14:textId="77777777" w:rsidR="00D44FDA" w:rsidRDefault="00D44FDA" w:rsidP="00EC61CD">
      <w:pPr>
        <w:rPr>
          <w:rFonts w:cs="Times New Roman"/>
          <w:szCs w:val="24"/>
        </w:rPr>
      </w:pPr>
    </w:p>
    <w:p w14:paraId="3618F573" w14:textId="77777777" w:rsidR="00D44FDA" w:rsidRDefault="00D44FDA" w:rsidP="00EC61CD">
      <w:pPr>
        <w:rPr>
          <w:rFonts w:cs="Times New Roman"/>
          <w:szCs w:val="24"/>
        </w:rPr>
      </w:pPr>
    </w:p>
    <w:p w14:paraId="1C8175DB" w14:textId="77777777" w:rsidR="00D44FDA" w:rsidRDefault="00D44FDA" w:rsidP="00EC61CD">
      <w:pPr>
        <w:rPr>
          <w:rFonts w:cs="Times New Roman"/>
          <w:szCs w:val="24"/>
        </w:rPr>
      </w:pPr>
    </w:p>
    <w:p w14:paraId="01352114" w14:textId="77777777" w:rsidR="00D44FDA" w:rsidRDefault="00D44FDA" w:rsidP="00EC61CD">
      <w:pPr>
        <w:rPr>
          <w:rFonts w:cs="Times New Roman"/>
          <w:szCs w:val="24"/>
        </w:rPr>
      </w:pPr>
    </w:p>
    <w:p w14:paraId="0CF5B960" w14:textId="77777777" w:rsidR="00D44FDA" w:rsidRDefault="00D44FDA" w:rsidP="00EC61CD">
      <w:pPr>
        <w:rPr>
          <w:rFonts w:cs="Times New Roman"/>
          <w:szCs w:val="24"/>
        </w:rPr>
      </w:pPr>
    </w:p>
    <w:p w14:paraId="1850BB01" w14:textId="77777777" w:rsidR="00D44FDA" w:rsidRDefault="00D44FDA" w:rsidP="00EC61CD">
      <w:pPr>
        <w:rPr>
          <w:rFonts w:cs="Times New Roman"/>
          <w:szCs w:val="24"/>
        </w:rPr>
      </w:pPr>
    </w:p>
    <w:p w14:paraId="56D65267" w14:textId="77777777" w:rsidR="00354281" w:rsidRDefault="00354281" w:rsidP="00EC61CD">
      <w:pPr>
        <w:rPr>
          <w:rFonts w:cs="Times New Roman"/>
          <w:szCs w:val="24"/>
        </w:rPr>
      </w:pPr>
    </w:p>
    <w:p w14:paraId="3D824278" w14:textId="77777777" w:rsidR="00354281" w:rsidRDefault="00354281" w:rsidP="00EC61CD">
      <w:pPr>
        <w:rPr>
          <w:rFonts w:cs="Times New Roman"/>
          <w:szCs w:val="24"/>
        </w:rPr>
      </w:pPr>
    </w:p>
    <w:p w14:paraId="3BEBF2A3" w14:textId="77777777" w:rsidR="00354281" w:rsidRDefault="00354281" w:rsidP="00EC61CD">
      <w:pPr>
        <w:rPr>
          <w:rFonts w:cs="Times New Roman"/>
          <w:szCs w:val="24"/>
        </w:rPr>
      </w:pPr>
    </w:p>
    <w:p w14:paraId="4A14CE85" w14:textId="77777777" w:rsidR="00354281" w:rsidRDefault="00354281" w:rsidP="00EC61CD">
      <w:pPr>
        <w:rPr>
          <w:rFonts w:cs="Times New Roman"/>
          <w:szCs w:val="24"/>
        </w:rPr>
      </w:pPr>
    </w:p>
    <w:p w14:paraId="0B7BFD31" w14:textId="77777777" w:rsidR="00354281" w:rsidRDefault="00354281" w:rsidP="00EC61CD">
      <w:pPr>
        <w:rPr>
          <w:rFonts w:cs="Times New Roman"/>
          <w:szCs w:val="24"/>
        </w:rPr>
      </w:pPr>
    </w:p>
    <w:p w14:paraId="3AEDA76F" w14:textId="77777777" w:rsidR="00354281" w:rsidRDefault="00354281" w:rsidP="00EC61CD">
      <w:pPr>
        <w:rPr>
          <w:rFonts w:cs="Times New Roman"/>
          <w:szCs w:val="24"/>
        </w:rPr>
      </w:pPr>
    </w:p>
    <w:p w14:paraId="24B8A317" w14:textId="77777777" w:rsidR="00354281" w:rsidRDefault="00354281" w:rsidP="00EC61CD">
      <w:pPr>
        <w:rPr>
          <w:rFonts w:cs="Times New Roman"/>
          <w:szCs w:val="24"/>
        </w:rPr>
      </w:pPr>
    </w:p>
    <w:p w14:paraId="1AFC04D8" w14:textId="77777777" w:rsidR="00354281" w:rsidRDefault="00354281" w:rsidP="00EC61CD">
      <w:pPr>
        <w:rPr>
          <w:rFonts w:cs="Times New Roman"/>
          <w:szCs w:val="24"/>
        </w:rPr>
      </w:pPr>
    </w:p>
    <w:p w14:paraId="65652C88" w14:textId="77777777" w:rsidR="00354281" w:rsidRDefault="00354281" w:rsidP="00EC61CD">
      <w:pPr>
        <w:rPr>
          <w:rFonts w:cs="Times New Roman"/>
          <w:szCs w:val="24"/>
        </w:rPr>
      </w:pPr>
    </w:p>
    <w:p w14:paraId="11B88127" w14:textId="77777777" w:rsidR="00D44FDA" w:rsidRPr="00D44FDA" w:rsidRDefault="00D44FDA" w:rsidP="00EC61CD">
      <w:pPr>
        <w:rPr>
          <w:rFonts w:cs="Times New Roman"/>
          <w:szCs w:val="24"/>
        </w:rPr>
      </w:pPr>
    </w:p>
    <w:p w14:paraId="777E482E" w14:textId="5F9168EB" w:rsidR="00FF2450" w:rsidRPr="00FA4EF4" w:rsidRDefault="00FF2450" w:rsidP="00731EB9">
      <w:pPr>
        <w:pStyle w:val="Heading1"/>
        <w:jc w:val="center"/>
      </w:pPr>
      <w:bookmarkStart w:id="1" w:name="_Toc222230006"/>
      <w:r w:rsidRPr="00FA4EF4">
        <w:lastRenderedPageBreak/>
        <w:t>Abstract</w:t>
      </w:r>
      <w:bookmarkEnd w:id="1"/>
    </w:p>
    <w:p w14:paraId="1581A178" w14:textId="6F11697D" w:rsidR="00CC3C81" w:rsidRPr="00FA4EF4" w:rsidRDefault="00DE3E72" w:rsidP="002C492A">
      <w:r w:rsidRPr="00FA4EF4">
        <w:t xml:space="preserve">The Tungsten Queen Mine, part of the Hamme Tungsten Mining District in northern Vance County, NC, produced over </w:t>
      </w:r>
      <w:r w:rsidR="00254936">
        <w:t>900,000 t of WO</w:t>
      </w:r>
      <w:r w:rsidR="00254936" w:rsidRPr="004375AA">
        <w:rPr>
          <w:vertAlign w:val="subscript"/>
        </w:rPr>
        <w:t>3</w:t>
      </w:r>
      <w:r w:rsidR="00254936">
        <w:t>,</w:t>
      </w:r>
      <w:r w:rsidRPr="00FA4EF4">
        <w:t xml:space="preserve"> and minor quantities of Cu and Ag </w:t>
      </w:r>
      <w:r w:rsidR="00B1735A">
        <w:t xml:space="preserve">between 1942 </w:t>
      </w:r>
      <w:r w:rsidR="00EA52F1">
        <w:t>and</w:t>
      </w:r>
      <w:r w:rsidR="00B1735A">
        <w:t xml:space="preserve"> 1971</w:t>
      </w:r>
      <w:r w:rsidRPr="00FA4EF4">
        <w:t xml:space="preserve">. </w:t>
      </w:r>
      <w:r w:rsidR="00A77D5E" w:rsidRPr="00FA4EF4">
        <w:t xml:space="preserve">The Tungsten Queen tailings </w:t>
      </w:r>
      <w:r w:rsidR="00A77D5E" w:rsidRPr="00FA4EF4">
        <w:rPr>
          <w:color w:val="000000"/>
        </w:rPr>
        <w:t xml:space="preserve">have been identified </w:t>
      </w:r>
      <w:r w:rsidR="00AA6DA3">
        <w:rPr>
          <w:color w:val="000000"/>
        </w:rPr>
        <w:t xml:space="preserve">in previous investigations </w:t>
      </w:r>
      <w:r w:rsidR="00A77D5E" w:rsidRPr="00FA4EF4">
        <w:rPr>
          <w:color w:val="000000"/>
        </w:rPr>
        <w:t xml:space="preserve">as a </w:t>
      </w:r>
      <w:r w:rsidR="00122793">
        <w:rPr>
          <w:color w:val="000000"/>
        </w:rPr>
        <w:t>‘</w:t>
      </w:r>
      <w:r w:rsidR="00A77D5E" w:rsidRPr="00FA4EF4">
        <w:rPr>
          <w:color w:val="000000"/>
        </w:rPr>
        <w:t xml:space="preserve">probable </w:t>
      </w:r>
      <w:r w:rsidR="003D7191">
        <w:rPr>
          <w:color w:val="000000"/>
        </w:rPr>
        <w:t>reserve</w:t>
      </w:r>
      <w:r w:rsidR="00122793">
        <w:rPr>
          <w:color w:val="000000"/>
        </w:rPr>
        <w:t>’</w:t>
      </w:r>
      <w:r w:rsidR="00A77D5E" w:rsidRPr="00FA4EF4">
        <w:rPr>
          <w:color w:val="000000"/>
        </w:rPr>
        <w:t xml:space="preserve"> for </w:t>
      </w:r>
      <w:r w:rsidR="00E25BD8" w:rsidRPr="00FA4EF4">
        <w:rPr>
          <w:color w:val="000000"/>
        </w:rPr>
        <w:t>W</w:t>
      </w:r>
      <w:r w:rsidR="00A77D5E" w:rsidRPr="00FA4EF4">
        <w:rPr>
          <w:color w:val="000000"/>
        </w:rPr>
        <w:t xml:space="preserve"> and a possible source for fluorite</w:t>
      </w:r>
      <w:r w:rsidR="00123F9B">
        <w:rPr>
          <w:color w:val="000000"/>
        </w:rPr>
        <w:t xml:space="preserve"> (fluorspar)</w:t>
      </w:r>
      <w:r w:rsidR="00A77D5E" w:rsidRPr="00FA4EF4">
        <w:rPr>
          <w:color w:val="000000"/>
        </w:rPr>
        <w:t xml:space="preserve">, </w:t>
      </w:r>
      <w:r w:rsidR="00A77D5E" w:rsidRPr="00FA4EF4">
        <w:t>galena, chalcopyrite, and high-purity quartz.</w:t>
      </w:r>
      <w:r w:rsidR="00865F39" w:rsidRPr="00FA4EF4">
        <w:t xml:space="preserve"> </w:t>
      </w:r>
      <w:r w:rsidRPr="00FA4EF4">
        <w:t xml:space="preserve">This study presents the first comprehensive characterization of </w:t>
      </w:r>
      <w:r w:rsidR="005D13C0">
        <w:t xml:space="preserve">portions of </w:t>
      </w:r>
      <w:r w:rsidR="00735ABD">
        <w:t xml:space="preserve">the </w:t>
      </w:r>
      <w:r w:rsidR="005D13C0">
        <w:t xml:space="preserve">Tungsten Queen </w:t>
      </w:r>
      <w:r w:rsidR="00735ABD">
        <w:t>mine</w:t>
      </w:r>
      <w:r w:rsidRPr="00FA4EF4">
        <w:t xml:space="preserve"> tailings for critical and non-critical mineral content.</w:t>
      </w:r>
      <w:r w:rsidR="00783A0E" w:rsidRPr="00FA4EF4">
        <w:rPr>
          <w:color w:val="000000"/>
        </w:rPr>
        <w:t xml:space="preserve"> </w:t>
      </w:r>
    </w:p>
    <w:p w14:paraId="65058E17" w14:textId="3810A681" w:rsidR="00783A0E" w:rsidRPr="00FA4EF4" w:rsidRDefault="00150195" w:rsidP="002C492A">
      <w:pPr>
        <w:rPr>
          <w:color w:val="000000"/>
        </w:rPr>
      </w:pPr>
      <w:r w:rsidRPr="00FA4EF4">
        <w:t>Geochemical analys</w:t>
      </w:r>
      <w:r w:rsidR="00DD6FFE">
        <w:t>e</w:t>
      </w:r>
      <w:r w:rsidRPr="00FA4EF4">
        <w:t>s</w:t>
      </w:r>
      <w:r w:rsidR="00DD6FFE">
        <w:t xml:space="preserve"> of composite, grab, and </w:t>
      </w:r>
      <w:r w:rsidR="00475231">
        <w:t>drill core</w:t>
      </w:r>
      <w:r w:rsidR="00DD6FFE">
        <w:t xml:space="preserve"> samples</w:t>
      </w:r>
      <w:r w:rsidRPr="00FA4EF4">
        <w:t xml:space="preserve"> revealed inter-pond variability and lateral/vertical heterogeneity</w:t>
      </w:r>
      <w:r w:rsidR="00783A0E" w:rsidRPr="00FA4EF4">
        <w:rPr>
          <w:color w:val="000000"/>
        </w:rPr>
        <w:t xml:space="preserve"> with</w:t>
      </w:r>
      <w:r w:rsidR="00BD7E17" w:rsidRPr="00FA4EF4">
        <w:rPr>
          <w:color w:val="000000"/>
        </w:rPr>
        <w:t xml:space="preserve"> </w:t>
      </w:r>
      <w:r w:rsidR="00783A0E" w:rsidRPr="00FA4EF4">
        <w:rPr>
          <w:color w:val="000000"/>
        </w:rPr>
        <w:t>possible implications for the relationship between grain size, mineral density, vein heterogeneity, and commodity distribution. Differences in the concentration of W with respect to Mn</w:t>
      </w:r>
      <w:r w:rsidR="000D33B6">
        <w:rPr>
          <w:color w:val="000000"/>
        </w:rPr>
        <w:t>,</w:t>
      </w:r>
      <w:r w:rsidR="00783A0E" w:rsidRPr="00FA4EF4">
        <w:rPr>
          <w:color w:val="000000"/>
        </w:rPr>
        <w:t xml:space="preserve"> and </w:t>
      </w:r>
      <w:r w:rsidR="000D33B6">
        <w:rPr>
          <w:color w:val="000000"/>
        </w:rPr>
        <w:t xml:space="preserve">S with respect to </w:t>
      </w:r>
      <w:r w:rsidR="00783A0E" w:rsidRPr="00FA4EF4">
        <w:rPr>
          <w:color w:val="000000"/>
        </w:rPr>
        <w:t xml:space="preserve">Sb, As, and Te between tailings ponds 2 and 3 possibly reflect variations in mineral chemistry due to source heterogeneity, sulfide oxidation, and/or possible metal leaching. </w:t>
      </w:r>
      <w:r w:rsidR="00967C7C">
        <w:rPr>
          <w:color w:val="000000"/>
        </w:rPr>
        <w:t>Using</w:t>
      </w:r>
      <w:r w:rsidR="00547B24">
        <w:rPr>
          <w:color w:val="000000"/>
        </w:rPr>
        <w:t xml:space="preserve"> </w:t>
      </w:r>
      <w:r w:rsidR="00547B24" w:rsidRPr="00547B24">
        <w:rPr>
          <w:color w:val="000000"/>
        </w:rPr>
        <w:t>Li, Be, F, S, V, Mn, Zn, Ga, Ge, As, Rb, Y, Ag, Sb, Te, Cs, Dy, Er, Yb, W, Au, Pb, and Bi</w:t>
      </w:r>
      <w:r w:rsidR="00547B24">
        <w:rPr>
          <w:color w:val="000000"/>
        </w:rPr>
        <w:t xml:space="preserve"> conce</w:t>
      </w:r>
      <w:r w:rsidR="009B6CD0">
        <w:rPr>
          <w:color w:val="000000"/>
        </w:rPr>
        <w:t>n</w:t>
      </w:r>
      <w:r w:rsidR="00547B24">
        <w:rPr>
          <w:color w:val="000000"/>
        </w:rPr>
        <w:t>trations, p</w:t>
      </w:r>
      <w:r w:rsidR="00783A0E" w:rsidRPr="00FA4EF4">
        <w:t>rincipal component analysis (PCA)</w:t>
      </w:r>
      <w:r w:rsidR="00783A0E" w:rsidRPr="00FA4EF4">
        <w:rPr>
          <w:color w:val="000000"/>
        </w:rPr>
        <w:t xml:space="preserve"> shows positive correlations </w:t>
      </w:r>
      <w:r w:rsidR="00812CB4">
        <w:rPr>
          <w:color w:val="000000"/>
        </w:rPr>
        <w:t xml:space="preserve">between </w:t>
      </w:r>
      <w:r w:rsidR="00783A0E" w:rsidRPr="00FA4EF4">
        <w:rPr>
          <w:color w:val="000000"/>
        </w:rPr>
        <w:t xml:space="preserve">hubnerite elements W and Mn, sphalerite elements Zn and S, and the rare-earth elements (REE) Y, Dy, Er, and Yb. </w:t>
      </w:r>
      <w:r w:rsidR="00CE414D" w:rsidRPr="00FA4EF4">
        <w:t xml:space="preserve">Volume analysis estimated </w:t>
      </w:r>
      <w:r w:rsidR="00036224">
        <w:t>43.4 ft</w:t>
      </w:r>
      <w:r w:rsidR="00CE414D" w:rsidRPr="00FA4EF4">
        <w:t xml:space="preserve">³ of tailings, yielding approximately </w:t>
      </w:r>
      <w:r w:rsidR="00CE4E6F">
        <w:t>2,</w:t>
      </w:r>
      <w:r w:rsidR="00610509">
        <w:t>706 t of W</w:t>
      </w:r>
      <w:r w:rsidR="00783A0E" w:rsidRPr="00FA4EF4">
        <w:rPr>
          <w:color w:val="000000"/>
        </w:rPr>
        <w:t xml:space="preserve">. </w:t>
      </w:r>
      <w:r w:rsidR="00783A0E" w:rsidRPr="00FA4EF4">
        <w:t xml:space="preserve">Resource estimates for the critical minerals and non-critical commodities prioritized in this report range from </w:t>
      </w:r>
      <w:r w:rsidR="00610509">
        <w:t>66,695 t</w:t>
      </w:r>
      <w:r w:rsidR="00783A0E" w:rsidRPr="00FA4EF4">
        <w:t xml:space="preserve"> for </w:t>
      </w:r>
      <w:r w:rsidR="00BC279C" w:rsidRPr="00FA4EF4">
        <w:t>F</w:t>
      </w:r>
      <w:r w:rsidR="00783A0E" w:rsidRPr="00FA4EF4">
        <w:t xml:space="preserve"> to </w:t>
      </w:r>
      <w:r w:rsidR="00610509">
        <w:t xml:space="preserve">8 t </w:t>
      </w:r>
      <w:r w:rsidR="00783A0E" w:rsidRPr="00FA4EF4">
        <w:t xml:space="preserve">for </w:t>
      </w:r>
      <w:r w:rsidR="00BC279C" w:rsidRPr="00FA4EF4">
        <w:t>Ge</w:t>
      </w:r>
      <w:r w:rsidR="00783A0E" w:rsidRPr="00FA4EF4">
        <w:t>.</w:t>
      </w:r>
    </w:p>
    <w:p w14:paraId="2128F288" w14:textId="744D36B0" w:rsidR="00783A0E" w:rsidRPr="00FA4EF4" w:rsidRDefault="00783A0E" w:rsidP="002C492A">
      <w:pPr>
        <w:rPr>
          <w:color w:val="000000"/>
        </w:rPr>
      </w:pPr>
      <w:r w:rsidRPr="00FA4EF4">
        <w:t>Acid</w:t>
      </w:r>
      <w:r w:rsidR="008170B5">
        <w:t>-</w:t>
      </w:r>
      <w:r w:rsidRPr="00FA4EF4">
        <w:t xml:space="preserve">base accounting data </w:t>
      </w:r>
      <w:r w:rsidR="008A6373" w:rsidRPr="00FA4EF4">
        <w:t>provided</w:t>
      </w:r>
      <w:r w:rsidRPr="00FA4EF4">
        <w:t xml:space="preserve"> a cursory assessment of the tailings’ potential to produce acid. Net neutralization potential (NN</w:t>
      </w:r>
      <w:r w:rsidR="007E5635" w:rsidRPr="00FA4EF4">
        <w:t>P</w:t>
      </w:r>
      <w:r w:rsidRPr="00FA4EF4">
        <w:t xml:space="preserve">) and neutralization potential ratio (NPR) values for most Tungsten Queen samples fall within the range of uncertainty for one or both parameters, suggesting </w:t>
      </w:r>
      <w:r w:rsidR="00F17646">
        <w:t xml:space="preserve">additional </w:t>
      </w:r>
      <w:r w:rsidRPr="00FA4EF4">
        <w:t xml:space="preserve">kinetic testing may be necessary </w:t>
      </w:r>
      <w:r w:rsidR="007E5635" w:rsidRPr="00FA4EF4">
        <w:t>for a more accurate evaluation</w:t>
      </w:r>
      <w:r w:rsidRPr="00FA4EF4">
        <w:t xml:space="preserve">. However, two sulfide mineral-rich samples plot in the net acid producing region for both NNP and NPR. </w:t>
      </w:r>
    </w:p>
    <w:p w14:paraId="78C3CF2D" w14:textId="77777777" w:rsidR="003B0CFC" w:rsidRDefault="003B0CFC" w:rsidP="00EC61CD">
      <w:pPr>
        <w:rPr>
          <w:rFonts w:cs="Times New Roman"/>
          <w:b/>
          <w:bCs/>
          <w:szCs w:val="24"/>
        </w:rPr>
      </w:pPr>
    </w:p>
    <w:p w14:paraId="2E582AE8" w14:textId="77777777" w:rsidR="003B0CFC" w:rsidRDefault="003B0CFC" w:rsidP="00EC61CD">
      <w:pPr>
        <w:rPr>
          <w:rFonts w:cs="Times New Roman"/>
          <w:b/>
          <w:bCs/>
          <w:szCs w:val="24"/>
        </w:rPr>
      </w:pPr>
    </w:p>
    <w:p w14:paraId="5C1881ED" w14:textId="77777777" w:rsidR="003B0CFC" w:rsidRDefault="003B0CFC" w:rsidP="00EC61CD">
      <w:pPr>
        <w:rPr>
          <w:rFonts w:cs="Times New Roman"/>
          <w:b/>
          <w:bCs/>
          <w:szCs w:val="24"/>
        </w:rPr>
      </w:pPr>
    </w:p>
    <w:p w14:paraId="4FBA32F8" w14:textId="77777777" w:rsidR="003B0CFC" w:rsidRDefault="003B0CFC" w:rsidP="00EC61CD">
      <w:pPr>
        <w:rPr>
          <w:rFonts w:cs="Times New Roman"/>
          <w:b/>
          <w:bCs/>
          <w:szCs w:val="24"/>
        </w:rPr>
      </w:pPr>
    </w:p>
    <w:p w14:paraId="4969FEA8" w14:textId="77777777" w:rsidR="003B0CFC" w:rsidRDefault="003B0CFC" w:rsidP="00EC61CD">
      <w:pPr>
        <w:rPr>
          <w:rFonts w:cs="Times New Roman"/>
          <w:b/>
          <w:bCs/>
          <w:szCs w:val="24"/>
        </w:rPr>
      </w:pPr>
    </w:p>
    <w:p w14:paraId="03D1B67D" w14:textId="77777777" w:rsidR="003B0CFC" w:rsidRDefault="003B0CFC" w:rsidP="00EC61CD">
      <w:pPr>
        <w:rPr>
          <w:rFonts w:cs="Times New Roman"/>
          <w:b/>
          <w:bCs/>
          <w:szCs w:val="24"/>
        </w:rPr>
      </w:pPr>
    </w:p>
    <w:p w14:paraId="3DE25E66" w14:textId="77777777" w:rsidR="003B0CFC" w:rsidRDefault="003B0CFC" w:rsidP="00EC61CD">
      <w:pPr>
        <w:rPr>
          <w:rFonts w:cs="Times New Roman"/>
          <w:b/>
          <w:bCs/>
          <w:szCs w:val="24"/>
        </w:rPr>
      </w:pPr>
    </w:p>
    <w:p w14:paraId="765AE001" w14:textId="77777777" w:rsidR="003B0CFC" w:rsidRDefault="003B0CFC" w:rsidP="00EC61CD">
      <w:pPr>
        <w:rPr>
          <w:rFonts w:cs="Times New Roman"/>
          <w:b/>
          <w:bCs/>
          <w:szCs w:val="24"/>
        </w:rPr>
      </w:pPr>
    </w:p>
    <w:p w14:paraId="060548E9" w14:textId="77777777" w:rsidR="003B0CFC" w:rsidRDefault="003B0CFC" w:rsidP="00EC61CD">
      <w:pPr>
        <w:rPr>
          <w:rFonts w:cs="Times New Roman"/>
          <w:b/>
          <w:bCs/>
          <w:szCs w:val="24"/>
        </w:rPr>
      </w:pPr>
    </w:p>
    <w:p w14:paraId="1D2F0631" w14:textId="77777777" w:rsidR="00354281" w:rsidRDefault="00354281" w:rsidP="00EC61CD">
      <w:pPr>
        <w:rPr>
          <w:rFonts w:cs="Times New Roman"/>
          <w:b/>
          <w:bCs/>
          <w:szCs w:val="24"/>
        </w:rPr>
      </w:pPr>
    </w:p>
    <w:p w14:paraId="05AEB23A" w14:textId="77777777" w:rsidR="00354281" w:rsidRDefault="00354281" w:rsidP="00EC61CD">
      <w:pPr>
        <w:rPr>
          <w:rFonts w:cs="Times New Roman"/>
          <w:b/>
          <w:bCs/>
          <w:szCs w:val="24"/>
        </w:rPr>
      </w:pPr>
    </w:p>
    <w:p w14:paraId="5ED105D2" w14:textId="77777777" w:rsidR="00354281" w:rsidRDefault="00354281" w:rsidP="00EC61CD">
      <w:pPr>
        <w:rPr>
          <w:rFonts w:cs="Times New Roman"/>
          <w:b/>
          <w:bCs/>
          <w:szCs w:val="24"/>
        </w:rPr>
      </w:pPr>
    </w:p>
    <w:p w14:paraId="0CF4715A" w14:textId="77777777" w:rsidR="00354281" w:rsidRDefault="00354281" w:rsidP="00EC61CD">
      <w:pPr>
        <w:rPr>
          <w:rFonts w:cs="Times New Roman"/>
          <w:b/>
          <w:bCs/>
          <w:szCs w:val="24"/>
        </w:rPr>
      </w:pPr>
    </w:p>
    <w:p w14:paraId="4A8641D8" w14:textId="77777777" w:rsidR="00354281" w:rsidRDefault="00354281" w:rsidP="00EC61CD">
      <w:pPr>
        <w:rPr>
          <w:rFonts w:cs="Times New Roman"/>
          <w:b/>
          <w:bCs/>
          <w:szCs w:val="24"/>
        </w:rPr>
      </w:pPr>
    </w:p>
    <w:p w14:paraId="515E87D2" w14:textId="77777777" w:rsidR="00354281" w:rsidRDefault="00354281" w:rsidP="00EC61CD">
      <w:pPr>
        <w:rPr>
          <w:rFonts w:cs="Times New Roman"/>
          <w:b/>
          <w:bCs/>
          <w:szCs w:val="24"/>
        </w:rPr>
      </w:pPr>
    </w:p>
    <w:p w14:paraId="727FE093" w14:textId="77777777" w:rsidR="00354281" w:rsidRDefault="00354281" w:rsidP="00EC61CD">
      <w:pPr>
        <w:rPr>
          <w:rFonts w:cs="Times New Roman"/>
          <w:b/>
          <w:bCs/>
          <w:szCs w:val="24"/>
        </w:rPr>
      </w:pPr>
    </w:p>
    <w:p w14:paraId="15FC9619" w14:textId="77777777" w:rsidR="00354281" w:rsidRDefault="00354281" w:rsidP="00EC61CD">
      <w:pPr>
        <w:rPr>
          <w:rFonts w:cs="Times New Roman"/>
          <w:b/>
          <w:bCs/>
          <w:szCs w:val="24"/>
        </w:rPr>
      </w:pPr>
    </w:p>
    <w:p w14:paraId="6647779C" w14:textId="77777777" w:rsidR="003B0CFC" w:rsidRDefault="003B0CFC" w:rsidP="00EC61CD">
      <w:pPr>
        <w:rPr>
          <w:rFonts w:cs="Times New Roman"/>
          <w:b/>
          <w:bCs/>
          <w:szCs w:val="24"/>
        </w:rPr>
      </w:pPr>
    </w:p>
    <w:p w14:paraId="372C9717" w14:textId="77777777" w:rsidR="003B0CFC" w:rsidRDefault="003B0CFC" w:rsidP="00EC61CD">
      <w:pPr>
        <w:rPr>
          <w:rFonts w:cs="Times New Roman"/>
          <w:b/>
          <w:bCs/>
          <w:szCs w:val="24"/>
        </w:rPr>
      </w:pPr>
    </w:p>
    <w:p w14:paraId="42CB0F11" w14:textId="77777777" w:rsidR="003B0CFC" w:rsidRDefault="003B0CFC" w:rsidP="00EC61CD">
      <w:pPr>
        <w:rPr>
          <w:rFonts w:cs="Times New Roman"/>
          <w:b/>
          <w:bCs/>
          <w:szCs w:val="24"/>
        </w:rPr>
      </w:pPr>
    </w:p>
    <w:p w14:paraId="46849207" w14:textId="77777777" w:rsidR="003B0CFC" w:rsidRDefault="003B0CFC" w:rsidP="00EC61CD">
      <w:pPr>
        <w:rPr>
          <w:rFonts w:cs="Times New Roman"/>
          <w:b/>
          <w:bCs/>
          <w:szCs w:val="24"/>
        </w:rPr>
      </w:pPr>
    </w:p>
    <w:p w14:paraId="57F8D153" w14:textId="77777777" w:rsidR="00354281" w:rsidRDefault="00354281" w:rsidP="00DA78F4">
      <w:pPr>
        <w:spacing w:after="0"/>
        <w:rPr>
          <w:rFonts w:cs="Times New Roman"/>
          <w:b/>
          <w:bCs/>
          <w:szCs w:val="24"/>
        </w:rPr>
      </w:pPr>
    </w:p>
    <w:p w14:paraId="60B5C6E2" w14:textId="1E41A8E3" w:rsidR="00E962DC" w:rsidRPr="00FA4EF4" w:rsidRDefault="00A9313E" w:rsidP="00354281">
      <w:pPr>
        <w:pStyle w:val="Heading1"/>
      </w:pPr>
      <w:bookmarkStart w:id="2" w:name="_Toc222230007"/>
      <w:r w:rsidRPr="00C30FAF">
        <w:lastRenderedPageBreak/>
        <w:t xml:space="preserve">1. </w:t>
      </w:r>
      <w:r w:rsidR="009026C2" w:rsidRPr="00C30FAF">
        <w:t>Introduction</w:t>
      </w:r>
      <w:bookmarkEnd w:id="2"/>
    </w:p>
    <w:p w14:paraId="62BCEC33" w14:textId="27199F6F" w:rsidR="00E040F6" w:rsidRPr="00FA4EF4" w:rsidRDefault="00AF4404" w:rsidP="002C492A">
      <w:r w:rsidRPr="00FA4EF4">
        <w:t xml:space="preserve">Critical minerals are vital to the United States’ economy and national </w:t>
      </w:r>
      <w:r w:rsidR="00724963" w:rsidRPr="00FA4EF4">
        <w:t>security but</w:t>
      </w:r>
      <w:r w:rsidR="00964728" w:rsidRPr="00FA4EF4">
        <w:t xml:space="preserve"> are </w:t>
      </w:r>
      <w:r w:rsidR="008600DC" w:rsidRPr="00FA4EF4">
        <w:t xml:space="preserve">vulnerable to supply chain disruptions </w:t>
      </w:r>
      <w:r w:rsidR="00FF0D51" w:rsidRPr="00FA4EF4">
        <w:fldChar w:fldCharType="begin"/>
      </w:r>
      <w:r w:rsidR="002C720C" w:rsidRPr="00FA4EF4">
        <w:instrText xml:space="preserve"> ADDIN ZOTERO_ITEM CSL_CITATION {"citationID":"Tk1nCvmC","properties":{"formattedCitation":"(Hofstra et al., 2021)","plainCitation":"(Hofstra et al., 2021)","dontUpdate":true,"noteIndex":0},"citationItems":[{"id":184,"uris":["http://zotero.org/users/17206691/items/XLM6ULIP"],"itemData":{"id":184,"type":"report","genre":"Open-File Report","language":"en","note":"collection-title: Open-File Report","number":"2021-1049","publisher":"U.S. Geological Survey","source":"DOI.org (Crossref)","title":"Deposit Classification Scheme for the Critical Minerals Mapping Initiative Global Geochemical Database","author":[{"family":"Hofstra","given":"Albert H."},{"family":"Lisitsin","given":"Vladimir"},{"family":"Corriveau","given":"Louise"},{"family":"Paradis","given":"Suzanne"},{"family":"Peter","given":"Jan"},{"family":"Lauziere","given":"Kathleen"},{"family":"Lawley","given":"Christopher"},{"family":"Gadd","given":"MIchael"},{"family":"Pilote","given":"Jean-Luc"},{"family":"Honsberger","given":"Ian"},{"family":"Bastrakov","given":"Evgeniy"},{"family":"Champion","given":"David"},{"family":"Czarnota","given":"Karol"},{"family":"Doublier","given":"Michael"},{"family":"Huston","given":"David"},{"family":"Raymond","given":"Oliver"},{"family":"VanDerWielen","given":"Simon"},{"family":"Emsbo","given":"Poul"},{"family":"Granitto","given":"Matthew"},{"family":"Kreiner","given":"Douglas"}],"issued":{"date-parts":[["2021"]]}}}],"schema":"https://github.com/citation-style-language/schema/raw/master/csl-citation.json"} </w:instrText>
      </w:r>
      <w:r w:rsidR="00FF0D51" w:rsidRPr="00FA4EF4">
        <w:fldChar w:fldCharType="separate"/>
      </w:r>
      <w:r w:rsidR="00FF0D51" w:rsidRPr="00FA4EF4">
        <w:t>(e.g., Hofstra et al., 2021)</w:t>
      </w:r>
      <w:r w:rsidR="00FF0D51" w:rsidRPr="00FA4EF4">
        <w:fldChar w:fldCharType="end"/>
      </w:r>
      <w:r w:rsidR="00531D87" w:rsidRPr="00FA4EF4">
        <w:t xml:space="preserve">, necessitating </w:t>
      </w:r>
      <w:r w:rsidR="00305A83" w:rsidRPr="00FA4EF4">
        <w:t>efforts to identify</w:t>
      </w:r>
      <w:r w:rsidR="00531D87" w:rsidRPr="00FA4EF4">
        <w:t xml:space="preserve"> </w:t>
      </w:r>
      <w:r w:rsidR="00305A83" w:rsidRPr="00FA4EF4">
        <w:t>potential</w:t>
      </w:r>
      <w:r w:rsidR="00531D87" w:rsidRPr="00FA4EF4">
        <w:t xml:space="preserve"> domestic sources</w:t>
      </w:r>
      <w:r w:rsidR="008600DC" w:rsidRPr="00FA4EF4">
        <w:t>.</w:t>
      </w:r>
      <w:r w:rsidR="00724963" w:rsidRPr="00FA4EF4">
        <w:t xml:space="preserve"> </w:t>
      </w:r>
      <w:r w:rsidR="00475231">
        <w:t xml:space="preserve">This report uses the 2022 Critical Minerals list of the U.S. Geological Survey </w:t>
      </w:r>
      <w:r w:rsidR="00475231" w:rsidRPr="002C492A">
        <w:fldChar w:fldCharType="begin"/>
      </w:r>
      <w:r w:rsidR="00475231" w:rsidRPr="002C492A">
        <w:instrText xml:space="preserve"> ADDIN ZOTERO_ITEM CSL_CITATION {"citationID":"qXxbq9ez","properties":{"formattedCitation":"(U.S. Geological Survey, 2022)","plainCitation":"(U.S. Geological Survey, 2022)","noteIndex":0},"citationItems":[{"id":231,"uris":["http://zotero.org/users/17206691/items/5M3AJW5G"],"itemData":{"id":231,"type":"document","publisher":"Department of the Interior","title":"2022 Final List of Critical Minerals","URL":"https://d9-wret.s3.us-west-2.amazonaws.com/assets/palladium/production/s3fs-public/media/files/2022%20Final%20List%20of%20Critical%20Minerals%20Federal%20Register%20Notice_2222022-F.pdf","author":[{"literal":"U.S. Geological Survey"}],"accessed":{"date-parts":[["2024",4,29]]},"issued":{"date-parts":[["2022"]]}}}],"schema":"https://github.com/citation-style-language/schema/raw/master/csl-citation.json"} </w:instrText>
      </w:r>
      <w:r w:rsidR="00475231" w:rsidRPr="002C492A">
        <w:fldChar w:fldCharType="separate"/>
      </w:r>
      <w:r w:rsidR="00475231" w:rsidRPr="002C492A">
        <w:t>(U.S. Geological Survey, 2022)</w:t>
      </w:r>
      <w:r w:rsidR="00475231" w:rsidRPr="002C492A">
        <w:fldChar w:fldCharType="end"/>
      </w:r>
      <w:r w:rsidR="00475231">
        <w:t xml:space="preserve">. </w:t>
      </w:r>
      <w:r w:rsidR="00F53070" w:rsidRPr="00FA4EF4">
        <w:t>Mine waste, including that</w:t>
      </w:r>
      <w:r w:rsidR="00E962DC" w:rsidRPr="00FA4EF4">
        <w:t xml:space="preserve"> from some N</w:t>
      </w:r>
      <w:r w:rsidR="00CD60D1" w:rsidRPr="00FA4EF4">
        <w:t>orth Carolina</w:t>
      </w:r>
      <w:r w:rsidR="00E962DC" w:rsidRPr="00FA4EF4">
        <w:t xml:space="preserve"> mines</w:t>
      </w:r>
      <w:r w:rsidR="00F53070" w:rsidRPr="00FA4EF4">
        <w:t>,</w:t>
      </w:r>
      <w:r w:rsidR="00E962DC" w:rsidRPr="00FA4EF4">
        <w:t xml:space="preserve"> may be </w:t>
      </w:r>
      <w:r w:rsidR="001F0536" w:rsidRPr="00FA4EF4">
        <w:t xml:space="preserve">domestic </w:t>
      </w:r>
      <w:r w:rsidR="00C35B53" w:rsidRPr="00FA4EF4">
        <w:t>sources</w:t>
      </w:r>
      <w:r w:rsidR="00E962DC" w:rsidRPr="00FA4EF4">
        <w:t xml:space="preserve"> </w:t>
      </w:r>
      <w:r w:rsidR="0033467C" w:rsidRPr="00FA4EF4">
        <w:t>that can help meet the country’s</w:t>
      </w:r>
      <w:r w:rsidR="00E962DC" w:rsidRPr="00FA4EF4">
        <w:t xml:space="preserve"> critical mineral</w:t>
      </w:r>
      <w:r w:rsidR="0033467C" w:rsidRPr="00FA4EF4">
        <w:t xml:space="preserve"> </w:t>
      </w:r>
      <w:r w:rsidR="00FB132F" w:rsidRPr="00FA4EF4">
        <w:t>demand</w:t>
      </w:r>
      <w:r w:rsidR="00F53070" w:rsidRPr="00FA4EF4">
        <w:t>.</w:t>
      </w:r>
      <w:r w:rsidR="00E962DC" w:rsidRPr="00FA4EF4">
        <w:t xml:space="preserve"> </w:t>
      </w:r>
      <w:r w:rsidR="00F53070" w:rsidRPr="00FA4EF4">
        <w:t>H</w:t>
      </w:r>
      <w:r w:rsidR="00E962DC" w:rsidRPr="00FA4EF4">
        <w:t>owever</w:t>
      </w:r>
      <w:r w:rsidR="00F53070" w:rsidRPr="00FA4EF4">
        <w:t>,</w:t>
      </w:r>
      <w:r w:rsidR="00E962DC" w:rsidRPr="00FA4EF4">
        <w:t xml:space="preserve"> existing data </w:t>
      </w:r>
      <w:proofErr w:type="gramStart"/>
      <w:r w:rsidR="00E962DC" w:rsidRPr="00FA4EF4">
        <w:t>are</w:t>
      </w:r>
      <w:proofErr w:type="gramEnd"/>
      <w:r w:rsidR="00E962DC" w:rsidRPr="00FA4EF4">
        <w:t xml:space="preserve"> not adequate to determine whether this potential exists</w:t>
      </w:r>
      <w:r w:rsidR="00F53070" w:rsidRPr="00FA4EF4">
        <w:t xml:space="preserve"> for many mines</w:t>
      </w:r>
      <w:r w:rsidR="00E962DC" w:rsidRPr="00FA4EF4">
        <w:t xml:space="preserve">, especially </w:t>
      </w:r>
      <w:r w:rsidR="00B52603" w:rsidRPr="00FA4EF4">
        <w:t>for</w:t>
      </w:r>
      <w:r w:rsidR="00E962DC" w:rsidRPr="00FA4EF4">
        <w:t xml:space="preserve"> critical minerals that were not the primary commodity. </w:t>
      </w:r>
      <w:r w:rsidR="00FB132F" w:rsidRPr="00FA4EF4">
        <w:t xml:space="preserve">The </w:t>
      </w:r>
      <w:r w:rsidR="00EB7F12">
        <w:t>U</w:t>
      </w:r>
      <w:r w:rsidR="00475231">
        <w:t xml:space="preserve">SGS </w:t>
      </w:r>
      <w:r w:rsidR="00FB132F" w:rsidRPr="00FA4EF4">
        <w:t>Earth Mapping and Resources Initiative (Earth MRI) funded this study to characterize the critical mineral</w:t>
      </w:r>
      <w:r w:rsidR="00B841C3" w:rsidRPr="00FA4EF4">
        <w:t xml:space="preserve"> content of the Tungsten Queen mine tailings as part of a nationwide effort to document </w:t>
      </w:r>
      <w:r w:rsidR="0047054D" w:rsidRPr="00FA4EF4">
        <w:t>the nature of</w:t>
      </w:r>
      <w:r w:rsidR="00B841C3" w:rsidRPr="00FA4EF4">
        <w:t xml:space="preserve"> critical mineral</w:t>
      </w:r>
      <w:r w:rsidR="0050573D" w:rsidRPr="00FA4EF4">
        <w:t xml:space="preserve"> content </w:t>
      </w:r>
      <w:r w:rsidR="0047054D" w:rsidRPr="00FA4EF4">
        <w:t>in mine waste</w:t>
      </w:r>
      <w:r w:rsidR="00B841C3" w:rsidRPr="00FA4EF4">
        <w:t xml:space="preserve">. </w:t>
      </w:r>
    </w:p>
    <w:p w14:paraId="488CE574" w14:textId="07DECD4D" w:rsidR="00E962DC" w:rsidRPr="00FA4EF4" w:rsidRDefault="00012CF3" w:rsidP="002C492A">
      <w:r w:rsidRPr="00FA4EF4">
        <w:t>The Tungsten Queen mine is located in northern Vance County, North Carolina (Figure 1a) and is part of the ~</w:t>
      </w:r>
      <w:r w:rsidR="006A4633">
        <w:t>2</w:t>
      </w:r>
      <w:r w:rsidRPr="00FA4EF4">
        <w:t xml:space="preserve"> </w:t>
      </w:r>
      <w:r w:rsidR="00B60D0B">
        <w:t>km</w:t>
      </w:r>
      <w:r w:rsidRPr="00FA4EF4">
        <w:t xml:space="preserve">-wide, </w:t>
      </w:r>
      <w:r w:rsidR="006A4633">
        <w:t>13</w:t>
      </w:r>
      <w:r w:rsidRPr="00FA4EF4">
        <w:t xml:space="preserve"> </w:t>
      </w:r>
      <w:r w:rsidR="00364512">
        <w:t>km</w:t>
      </w:r>
      <w:r w:rsidRPr="00FA4EF4">
        <w:t>-long Hamme Tungsten Mining District</w:t>
      </w:r>
      <w:r w:rsidR="00F53070" w:rsidRPr="00FA4EF4">
        <w:t>, which</w:t>
      </w:r>
      <w:r w:rsidRPr="00FA4EF4">
        <w:t xml:space="preserve"> follows a NNE trend from northern Vance County, North Carolina to Mecklenburg County, Virginia</w:t>
      </w:r>
      <w:r w:rsidR="002E1213" w:rsidRPr="00FA4EF4">
        <w:t xml:space="preserve"> </w:t>
      </w:r>
      <w:r w:rsidR="002E1213" w:rsidRPr="00FA4EF4">
        <w:fldChar w:fldCharType="begin"/>
      </w:r>
      <w:r w:rsidR="002E1213" w:rsidRPr="00FA4EF4">
        <w:instrText xml:space="preserve"> ADDIN ZOTERO_ITEM CSL_CITATION {"citationID":"S0t3ycwr","properties":{"formattedCitation":"(Espenshade, 1945)","plainCitation":"(Espenshade, 1945)","noteIndex":0},"citationItems":[{"id":193,"uris":["http://zotero.org/users/17206691/items/7S2FUXPD"],"itemData":{"id":193,"type":"report","collection-title":"Bulletin","language":"en","number":"948-A","page":"1-17","source":"Zotero","title":"Tungsten Deposits of Vance County North Carolina, and Mecklenburg County, Virginia","author":[{"family":"Espenshade","given":"G.H."}],"issued":{"date-parts":[["1945"]]}}}],"schema":"https://github.com/citation-style-language/schema/raw/master/csl-citation.json"} </w:instrText>
      </w:r>
      <w:r w:rsidR="002E1213" w:rsidRPr="00FA4EF4">
        <w:fldChar w:fldCharType="separate"/>
      </w:r>
      <w:r w:rsidR="002E1213" w:rsidRPr="00FA4EF4">
        <w:t>(Espenshade, 1945)</w:t>
      </w:r>
      <w:r w:rsidR="002E1213" w:rsidRPr="00FA4EF4">
        <w:fldChar w:fldCharType="end"/>
      </w:r>
      <w:r w:rsidRPr="00FA4EF4">
        <w:t>.</w:t>
      </w:r>
      <w:r w:rsidR="00F53070" w:rsidRPr="00FA4EF4">
        <w:t xml:space="preserve"> </w:t>
      </w:r>
      <w:r w:rsidR="00E962DC" w:rsidRPr="00FA4EF4">
        <w:t xml:space="preserve">The Tungsten Queen mine produced over </w:t>
      </w:r>
      <w:r w:rsidR="00944DD6">
        <w:t>900,000 t of WO</w:t>
      </w:r>
      <w:r w:rsidR="00944DD6" w:rsidRPr="00364512">
        <w:rPr>
          <w:vertAlign w:val="subscript"/>
        </w:rPr>
        <w:t>3</w:t>
      </w:r>
      <w:r w:rsidR="00944DD6">
        <w:t xml:space="preserve"> </w:t>
      </w:r>
      <w:r w:rsidR="00E962DC" w:rsidRPr="00FA4EF4">
        <w:t xml:space="preserve">while in operation </w:t>
      </w:r>
      <w:r w:rsidR="00284FBD">
        <w:t xml:space="preserve">between 1942 and 1971 </w:t>
      </w:r>
      <w:r w:rsidR="003566E5" w:rsidRPr="00FA4EF4">
        <w:fldChar w:fldCharType="begin"/>
      </w:r>
      <w:r w:rsidR="003566E5" w:rsidRPr="00FA4EF4">
        <w:instrText xml:space="preserve"> ADDIN ZOTERO_ITEM CSL_CITATION {"citationID":"U4qyIwaN","properties":{"formattedCitation":"(Foose et al., 1980)","plainCitation":"(Foose et al., 1980)","noteIndex":0},"citationItems":[{"id":79,"uris":["http://zotero.org/users/17206691/items/A4BBQ9UZ"],"itemData":{"id":79,"type":"article-journal","abstract":"The Hamme tungsten district is composed of a series of steeply dipping quartz-wolframite veins in the Piedmont of North Carolina. Veins are concentrated near the border of the lower Paleozoic Vance County pluton, along its western contact with green-schist-facies metapelites and metavolcanic rocks of the Carolina slate belt. One of these quartz veins, the Snead-Walker, hosts the Tungsten Queen deposit. The vein is 0 to 10 m thick and trends N 35 ø E for approximately 3,500 m through slate belt rocks and the granitic pluton. The deposit has been worked to a depth of nearly 520 m and contains eight en echelon ore lodes that plunge 42 ø to 65 ø between S 10 ø E and S 10 ø W. Ore lodes commonly are encased in thin lenses of quartz-sericite greisen. The principal ore mineral is huebnerite and is accompanied by scattered occurrences of pyrite, sphalerite, galena, chalcopyrite, and tetrahedrite. The gangue is predominantly quartz with minor amounts of fluorite, sericite, and carbonate. Studies of minor structures and mineral textures indicate that both the wall rock and the ore and gangue minerals within the vein have been deformed by at least two events. The first event produced relatively gentle, open, and shallow-plunging folds; later, an intense episode of right-lateral shearing developed steeply plunging, tight folds and numerous northeast-trending shears. This latter deformation also developed a prominent alignment of ore and gangue minerals oblique to the vein walls and may have formed the en echelon distribution of ore lodes. In relatively undeformed parts of the vein, clusters of euhedral huebnerite crystals are oriented perpendicular to vein layering. Some prismatic crystals have terminations with cappings of sulfides and in polished thin section show concentric growth zones. These features are similar to textures found in unmetamorphosed tungsten-bearing hydrothermal vein deposits such as those at Pasto Bueno, Peru; Carrock Fell, England; and Panasqueria, Portugal. The relationships of mineral textures and minor structures indicate that the Tungsten Queen deposit formed by open-space fillings of linear faults or fractures and was subsequently deformed by at least two episodes of folding and shearing.","container-title":"Economic Geology","page":"515-522","title":"Textural and Structural Evidence for a Predeformation Hydrothermal Origin of the Tungsten Queen Deposit, Hamme District, North Carolina","volume":"75","author":[{"family":"Foose","given":"Michael P"},{"family":"Slack","given":"John F"},{"family":"Casadevall","given":"Tom"}],"issued":{"date-parts":[["1980"]]}}}],"schema":"https://github.com/citation-style-language/schema/raw/master/csl-citation.json"} </w:instrText>
      </w:r>
      <w:r w:rsidR="003566E5" w:rsidRPr="00FA4EF4">
        <w:fldChar w:fldCharType="separate"/>
      </w:r>
      <w:r w:rsidR="003566E5" w:rsidRPr="00FA4EF4">
        <w:t>(Foose et al., 1980)</w:t>
      </w:r>
      <w:r w:rsidR="003566E5" w:rsidRPr="00FA4EF4">
        <w:fldChar w:fldCharType="end"/>
      </w:r>
      <w:r w:rsidR="00E962DC" w:rsidRPr="00FA4EF4">
        <w:rPr>
          <w:color w:val="000000"/>
        </w:rPr>
        <w:t xml:space="preserve"> and is the only </w:t>
      </w:r>
      <w:r w:rsidR="00610509">
        <w:rPr>
          <w:color w:val="000000"/>
        </w:rPr>
        <w:t>W</w:t>
      </w:r>
      <w:r w:rsidR="00E962DC" w:rsidRPr="00FA4EF4">
        <w:rPr>
          <w:color w:val="000000"/>
        </w:rPr>
        <w:t xml:space="preserve"> mine east of the Rocky Mountains</w:t>
      </w:r>
      <w:r w:rsidR="00615DA9" w:rsidRPr="00FA4EF4">
        <w:rPr>
          <w:color w:val="000000"/>
        </w:rPr>
        <w:t xml:space="preserve"> </w:t>
      </w:r>
      <w:r w:rsidR="00615DA9" w:rsidRPr="00FA4EF4">
        <w:rPr>
          <w:color w:val="000000"/>
        </w:rPr>
        <w:fldChar w:fldCharType="begin"/>
      </w:r>
      <w:r w:rsidR="00615DA9" w:rsidRPr="00FA4EF4">
        <w:rPr>
          <w:color w:val="000000"/>
        </w:rPr>
        <w:instrText xml:space="preserve"> ADDIN ZOTERO_ITEM CSL_CITATION {"citationID":"KADQ9kbN","properties":{"formattedCitation":"(Chaumba et al., 2015)","plainCitation":"(Chaumba et al., 2015)","noteIndex":0},"citationItems":[{"id":66,"uris":["http://zotero.org/users/17206691/items/6QNQWHMF"],"itemData":{"id":66,"type":"article-journal","abstract":"The Hamme (Tungsten Queen) mine, Vance County, N.C., was worked for wol-framite-huebnerite and it also produced minor amounts of sulfides (copper and silver). At this deposit, there are about 1 million metric tons of quartz-dominated tailings containing about 0.25% WO 3 , with accessory fluorite and very minor sulfides-mostly ga-lena with accessory silver concentrations. We undertook a petrographic and mineral composition study of the huebnerite, galena, and chalcopyrite to help place constrains on the origin of the deposit. Under the microscope, huebnerite shows zoning which is not reflected in the chemistry of the mineral. All minerals investigated have concentrations which show very limited compositional ranges. Huebnerite is strongly enriched in WO 3 (73.5-75.5 wt.%), MnWO 4 (97.3-99.7%), and Mn (1.037-1.065 atoms per formula unit, apfu) but is depleted in Fe 2+ (0.040-0.029 apfu). Sulfide mineralogy is composed of galena with concentrations of Pb (83.0-85.8 wt.%) and S (13.2-13.9 wt.%), and chalcopyrite with concentrations of Cu (33.8-38.2 wt.%), Fe (29.7-29.9 wt.%), and S (34.5-34.6 wt.%). Sulfur concentrations of galena in Hamme (Tungsten Queen) deposit are comparable to other lead deposits elsewhere. Coarser-grained and anhedral gale-nas have slightly higher Pb concentrations than those which occur either as rims to huebnerites or as 'intercumulus phases' between huebnerites. Hamme (Tungsten Queen) deposit huebnerite compositions reported here are comparable (although slightly enriched in Mn but depleted in Fe 2+) to other huebnerite deposits such as Round Mountain in Nevada and some huebnerites from Portugal. Compared to other wolfram-ite deposits, the Hamme (Tungsten Queen) deposit is more depleted in Fe 2+ and highly enriched in MnWO 4 , an indication of a lack of substitution of its Mn by other cations. Based on findings from this study, it is concluded that Hamme (Tungsten Queen) deposit huebnerites were formed early in the history of formation of the deposit and were little affected by a later hydrothermal event that affected the district. Galena inclusions in huebnerites and coarser-grained galenas, which are comprised of slightly higher Pb concentrations, are interpreted to be primary , likely formed at the time of formation of the enclosing huebnerites, than galenas which occur as 'intercumulus' grains and are also slightly depleted in Pb. These latter galena crystals likely formed later, probably during metamorphism and associated hy-drothermal alteration.","container-title":"Southeastern Geology","issue":"1","page":"33-49","title":"Hamme (Tungsten Queen) Mine Tailings, Vance County, North Carolina: Mineral chemistry of Potentially Recoverable Huebnerite-Wolframite and Sulfide Minerals","volume":"51","author":[{"family":"Chaumba","given":"Jeff B"},{"family":"Reid","given":"Jeffrey C"},{"family":"Parker","given":"Johnathon C"}],"issued":{"date-parts":[["2015"]]}}}],"schema":"https://github.com/citation-style-language/schema/raw/master/csl-citation.json"} </w:instrText>
      </w:r>
      <w:r w:rsidR="00615DA9" w:rsidRPr="00FA4EF4">
        <w:rPr>
          <w:color w:val="000000"/>
        </w:rPr>
        <w:fldChar w:fldCharType="separate"/>
      </w:r>
      <w:r w:rsidR="00615DA9" w:rsidRPr="00FA4EF4">
        <w:t>(Chaumba et al., 2015)</w:t>
      </w:r>
      <w:r w:rsidR="00615DA9" w:rsidRPr="00FA4EF4">
        <w:rPr>
          <w:color w:val="000000"/>
        </w:rPr>
        <w:fldChar w:fldCharType="end"/>
      </w:r>
      <w:r w:rsidR="00E962DC" w:rsidRPr="00FA4EF4">
        <w:rPr>
          <w:color w:val="000000"/>
        </w:rPr>
        <w:t xml:space="preserve">. </w:t>
      </w:r>
      <w:r w:rsidR="00583313" w:rsidRPr="00FA4EF4">
        <w:t>The mine</w:t>
      </w:r>
      <w:r w:rsidR="004634CA" w:rsidRPr="00FA4EF4">
        <w:t xml:space="preserve"> also</w:t>
      </w:r>
      <w:r w:rsidR="00583313" w:rsidRPr="00FA4EF4">
        <w:t xml:space="preserve"> previously produced minor amounts of</w:t>
      </w:r>
      <w:r w:rsidR="00DD5D5F" w:rsidRPr="00FA4EF4">
        <w:t xml:space="preserve"> </w:t>
      </w:r>
      <w:r w:rsidR="00FC07AC" w:rsidRPr="00FA4EF4">
        <w:t>c</w:t>
      </w:r>
      <w:r w:rsidR="00BD7E17" w:rsidRPr="00FA4EF4">
        <w:t>opper (</w:t>
      </w:r>
      <w:r w:rsidR="00DD5D5F" w:rsidRPr="00FA4EF4">
        <w:t>Cu</w:t>
      </w:r>
      <w:r w:rsidR="00BD7E17" w:rsidRPr="00FA4EF4">
        <w:t>)</w:t>
      </w:r>
      <w:r w:rsidR="00DD5D5F" w:rsidRPr="00FA4EF4">
        <w:t xml:space="preserve"> and </w:t>
      </w:r>
      <w:r w:rsidR="00FC07AC" w:rsidRPr="00FA4EF4">
        <w:t>silver (</w:t>
      </w:r>
      <w:r w:rsidR="00DD5D5F" w:rsidRPr="00FA4EF4">
        <w:t>Ag</w:t>
      </w:r>
      <w:r w:rsidR="00FC07AC" w:rsidRPr="00FA4EF4">
        <w:t>)</w:t>
      </w:r>
      <w:r w:rsidR="00583313" w:rsidRPr="00FA4EF4">
        <w:t xml:space="preserve"> </w:t>
      </w:r>
      <w:r w:rsidR="005D6D0A" w:rsidRPr="00FA4EF4">
        <w:t xml:space="preserve">from </w:t>
      </w:r>
      <w:r w:rsidR="00583313" w:rsidRPr="00FA4EF4">
        <w:t>sulfides</w:t>
      </w:r>
      <w:r w:rsidR="00615DA9" w:rsidRPr="00FA4EF4">
        <w:t xml:space="preserve"> </w:t>
      </w:r>
      <w:r w:rsidR="00615DA9" w:rsidRPr="00FA4EF4">
        <w:fldChar w:fldCharType="begin"/>
      </w:r>
      <w:r w:rsidR="004B3DF1" w:rsidRPr="00FA4EF4">
        <w:instrText xml:space="preserve"> ADDIN ZOTERO_ITEM CSL_CITATION {"citationID":"tTEbgxMp","properties":{"formattedCitation":"(Chaumba et al., 2015)","plainCitation":"(Chaumba et al., 2015)","noteIndex":0},"citationItems":[{"id":66,"uris":["http://zotero.org/users/17206691/items/6QNQWHMF"],"itemData":{"id":66,"type":"article-journal","abstract":"The Hamme (Tungsten Queen) mine, Vance County, N.C., was worked for wol-framite-huebnerite and it also produced minor amounts of sulfides (copper and silver). At this deposit, there are about 1 million metric tons of quartz-dominated tailings containing about 0.25% WO 3 , with accessory fluorite and very minor sulfides-mostly ga-lena with accessory silver concentrations. We undertook a petrographic and mineral composition study of the huebnerite, galena, and chalcopyrite to help place constrains on the origin of the deposit. Under the microscope, huebnerite shows zoning which is not reflected in the chemistry of the mineral. All minerals investigated have concentrations which show very limited compositional ranges. Huebnerite is strongly enriched in WO 3 (73.5-75.5 wt.%), MnWO 4 (97.3-99.7%), and Mn (1.037-1.065 atoms per formula unit, apfu) but is depleted in Fe 2+ (0.040-0.029 apfu). Sulfide mineralogy is composed of galena with concentrations of Pb (83.0-85.8 wt.%) and S (13.2-13.9 wt.%), and chalcopyrite with concentrations of Cu (33.8-38.2 wt.%), Fe (29.7-29.9 wt.%), and S (34.5-34.6 wt.%). Sulfur concentrations of galena in Hamme (Tungsten Queen) deposit are comparable to other lead deposits elsewhere. Coarser-grained and anhedral gale-nas have slightly higher Pb concentrations than those which occur either as rims to huebnerites or as 'intercumulus phases' between huebnerites. Hamme (Tungsten Queen) deposit huebnerite compositions reported here are comparable (although slightly enriched in Mn but depleted in Fe 2+) to other huebnerite deposits such as Round Mountain in Nevada and some huebnerites from Portugal. Compared to other wolfram-ite deposits, the Hamme (Tungsten Queen) deposit is more depleted in Fe 2+ and highly enriched in MnWO 4 , an indication of a lack of substitution of its Mn by other cations. Based on findings from this study, it is concluded that Hamme (Tungsten Queen) deposit huebnerites were formed early in the history of formation of the deposit and were little affected by a later hydrothermal event that affected the district. Galena inclusions in huebnerites and coarser-grained galenas, which are comprised of slightly higher Pb concentrations, are interpreted to be primary , likely formed at the time of formation of the enclosing huebnerites, than galenas which occur as 'intercumulus' grains and are also slightly depleted in Pb. These latter galena crystals likely formed later, probably during metamorphism and associated hy-drothermal alteration.","container-title":"Southeastern Geology","issue":"1","page":"33-49","title":"Hamme (Tungsten Queen) Mine Tailings, Vance County, North Carolina: Mineral chemistry of Potentially Recoverable Huebnerite-Wolframite and Sulfide Minerals","volume":"51","author":[{"family":"Chaumba","given":"Jeff B"},{"family":"Reid","given":"Jeffrey C"},{"family":"Parker","given":"Johnathon C"}],"issued":{"date-parts":[["2015"]]}}}],"schema":"https://github.com/citation-style-language/schema/raw/master/csl-citation.json"} </w:instrText>
      </w:r>
      <w:r w:rsidR="00615DA9" w:rsidRPr="00FA4EF4">
        <w:fldChar w:fldCharType="separate"/>
      </w:r>
      <w:r w:rsidR="00615DA9" w:rsidRPr="00FA4EF4">
        <w:t>(Chaumba et al., 2015)</w:t>
      </w:r>
      <w:r w:rsidR="00615DA9" w:rsidRPr="00FA4EF4">
        <w:fldChar w:fldCharType="end"/>
      </w:r>
      <w:r w:rsidR="00583313" w:rsidRPr="00FA4EF4">
        <w:rPr>
          <w:color w:val="000000"/>
        </w:rPr>
        <w:t xml:space="preserve">. </w:t>
      </w:r>
      <w:r w:rsidR="00E962DC" w:rsidRPr="00FA4EF4">
        <w:t>The Tungsten Queen</w:t>
      </w:r>
      <w:r w:rsidR="00176D3C" w:rsidRPr="00FA4EF4">
        <w:t xml:space="preserve"> tailings impoundment </w:t>
      </w:r>
      <w:r w:rsidR="00E962DC" w:rsidRPr="00FA4EF4">
        <w:t>contains an estimated two million tons of tailings</w:t>
      </w:r>
      <w:r w:rsidR="00E962DC" w:rsidRPr="00FA4EF4">
        <w:rPr>
          <w:color w:val="000000"/>
        </w:rPr>
        <w:t xml:space="preserve">, which have been identified as a </w:t>
      </w:r>
      <w:r w:rsidR="001B3921">
        <w:rPr>
          <w:color w:val="000000"/>
        </w:rPr>
        <w:t>‘</w:t>
      </w:r>
      <w:r w:rsidR="00E962DC" w:rsidRPr="00FA4EF4">
        <w:rPr>
          <w:color w:val="000000"/>
        </w:rPr>
        <w:t xml:space="preserve">probable </w:t>
      </w:r>
      <w:r w:rsidR="001B3921">
        <w:rPr>
          <w:color w:val="000000"/>
        </w:rPr>
        <w:t>reserve’</w:t>
      </w:r>
      <w:r w:rsidR="00E962DC" w:rsidRPr="00FA4EF4">
        <w:rPr>
          <w:color w:val="000000"/>
        </w:rPr>
        <w:t xml:space="preserve"> for </w:t>
      </w:r>
      <w:r w:rsidR="00ED52A9" w:rsidRPr="00FA4EF4">
        <w:rPr>
          <w:color w:val="000000"/>
        </w:rPr>
        <w:t>W</w:t>
      </w:r>
      <w:r w:rsidR="00E962DC" w:rsidRPr="00FA4EF4">
        <w:rPr>
          <w:color w:val="000000"/>
        </w:rPr>
        <w:t xml:space="preserve"> and may </w:t>
      </w:r>
      <w:r w:rsidR="00921E6C" w:rsidRPr="00FA4EF4">
        <w:rPr>
          <w:color w:val="000000"/>
        </w:rPr>
        <w:t>be a source for</w:t>
      </w:r>
      <w:r w:rsidR="00E962DC" w:rsidRPr="00FA4EF4">
        <w:rPr>
          <w:color w:val="000000"/>
        </w:rPr>
        <w:t xml:space="preserve"> </w:t>
      </w:r>
      <w:r w:rsidR="00F238C6" w:rsidRPr="00FA4EF4">
        <w:rPr>
          <w:color w:val="000000"/>
        </w:rPr>
        <w:t>additional</w:t>
      </w:r>
      <w:r w:rsidR="00E962DC" w:rsidRPr="00FA4EF4">
        <w:rPr>
          <w:color w:val="000000"/>
        </w:rPr>
        <w:t xml:space="preserve"> critical minerals </w:t>
      </w:r>
      <w:r w:rsidR="00F238C6" w:rsidRPr="00FA4EF4">
        <w:rPr>
          <w:color w:val="000000"/>
        </w:rPr>
        <w:t>based on the reported mineral</w:t>
      </w:r>
      <w:r w:rsidR="005A0A67" w:rsidRPr="00FA4EF4">
        <w:rPr>
          <w:color w:val="000000"/>
        </w:rPr>
        <w:t>ogy of the deposit</w:t>
      </w:r>
      <w:r w:rsidR="00FA12AE" w:rsidRPr="00FA4EF4">
        <w:t xml:space="preserve"> </w:t>
      </w:r>
      <w:r w:rsidR="00FA12AE" w:rsidRPr="00FA4EF4">
        <w:fldChar w:fldCharType="begin"/>
      </w:r>
      <w:r w:rsidR="00FA12AE" w:rsidRPr="00FA4EF4">
        <w:instrText xml:space="preserve"> ADDIN ZOTERO_ITEM CSL_CITATION {"citationID":"oFkot8f7","properties":{"formattedCitation":"(Meyertons, 1975; Reid et al., 2017)","plainCitation":"(Meyertons, 1975; Reid et al., 2017)","noteIndex":0},"citationItems":[{"id":77,"uris":["http://zotero.org/users/17206691/items/B3WBRLXM"],"itemData":{"id":77,"type":"report","page":"1-11","title":"A Preliminary Estimate of Tungsten Content of Tungsten Queen Tailing for Ranchers Exploration &amp; Development Corporation","author":[{"family":"Meyertons","given":"Ralph"}],"issued":{"date-parts":[["1975"]]}}},{"id":64,"uris":["http://zotero.org/users/17206691/items/XUZ4MF6F"],"itemData":{"id":64,"type":"article-journal","abstract":"The Tungsten (Hamme) Queen mine is located at Tungsten, NC, 16 miles northwest of Henderson, NC, and 2 miles south of the Virginia state line. The ore occurs in a near vertical quartz vein ranging in width from a few inches to several ft. Hübnerite, the principal tungsten mineral, is accompanied by a minor amount of scheelite. Pyrite, the predominate metallic mineral in the quartz veins, is accompanied by subordinate chalcopyrite, galena, sphalerite, and tetrahedrite. Fluorite is a common accessory mineral in the ore and tailings. Our objective was a preliminary evaluation to produce a high quality quartz concentrate from the approximately 2 million tons of tailings present. Shallow drilling and pits &lt;6 ft deep recovered ~60-pounds of wet tailings from gridded sites on the tailings fan from just below the mill discharge point. The quartz concentrate was produced using bench scale beneeciation methods including otation, magnetic, and gravity separation. Size fractions were evaluated for full mineral liberation and non-quartz species using binocular and petrographic microscopes. Quartz analyses were obtained by ICP mass-spectrometry. A concentration ow chart was developed for the heavy and light speciic gravity fractions. Chemical analysis indicates that the quartz may be suitable for fused quartz and silica glass applications. Fluorite comprises up to ~2.5 wt. % of the heavy fraction and is a potential glass ux and other uses. Accessory hübnerite, scheelite, galena, chalcopy-rite, and sphalerite may also be recoverable. Study objectives A high purity quartz concentrate was produced using bench scale beneeciation methods including otation, magnetic, and gravity separation. Chemical analysis indicates that the quartz may be suitable for fused quartz and silica glass applications. Fluorite comprises up to ~2.5 wt. % of the heavy fraction and is a potential glass ux and other uses. Accessory hüebnerite, scheelite, galena, chalcopyrite, and sphalerite may also be recoverable.","container-title":"North Carolina Geological Survey Open-file report","page":"1","title":"Tungsten Queen Mine Tailings Evaluation, Vance Co., NC: A Potential Silica Resource","volume":"2017-01","author":[{"family":"Reid","given":"Jeffrey C."},{"family":"Taylor","given":"Kenneth B"},{"family":"Mensah-Biney","given":"Robert"},{"family":"Simms","given":"Jonathan"},{"family":"Akbari","given":"Hamid"}],"issued":{"date-parts":[["2017"]]}}}],"schema":"https://github.com/citation-style-language/schema/raw/master/csl-citation.json"} </w:instrText>
      </w:r>
      <w:r w:rsidR="00FA12AE" w:rsidRPr="00FA4EF4">
        <w:fldChar w:fldCharType="separate"/>
      </w:r>
      <w:r w:rsidR="00FA12AE" w:rsidRPr="00FA4EF4">
        <w:t>(Meyertons, 1975; Reid et al., 2017)</w:t>
      </w:r>
      <w:r w:rsidR="00FA12AE" w:rsidRPr="00FA4EF4">
        <w:fldChar w:fldCharType="end"/>
      </w:r>
      <w:r w:rsidR="00E962DC" w:rsidRPr="00FA4EF4">
        <w:rPr>
          <w:color w:val="000000"/>
        </w:rPr>
        <w:t xml:space="preserve">. </w:t>
      </w:r>
      <w:r w:rsidR="000177BC" w:rsidRPr="00FA4EF4">
        <w:rPr>
          <w:color w:val="000000"/>
        </w:rPr>
        <w:t>Potential n</w:t>
      </w:r>
      <w:r w:rsidR="00CF5555" w:rsidRPr="00FA4EF4">
        <w:rPr>
          <w:color w:val="000000"/>
        </w:rPr>
        <w:t xml:space="preserve">on-critical mineral commodities include </w:t>
      </w:r>
      <w:r w:rsidR="00D24BC4" w:rsidRPr="00FA4EF4">
        <w:t xml:space="preserve">galena, chalcopyrite, and </w:t>
      </w:r>
      <w:r w:rsidR="00CF5555" w:rsidRPr="00FA4EF4">
        <w:t>high-</w:t>
      </w:r>
      <w:r w:rsidR="000D28A9" w:rsidRPr="00FA4EF4">
        <w:t xml:space="preserve">purity </w:t>
      </w:r>
      <w:r w:rsidR="00CF5555" w:rsidRPr="00FA4EF4">
        <w:t>quartz</w:t>
      </w:r>
      <w:r w:rsidR="00E44316" w:rsidRPr="00FA4EF4">
        <w:t xml:space="preserve"> </w:t>
      </w:r>
      <w:r w:rsidR="00E44316" w:rsidRPr="00FA4EF4">
        <w:fldChar w:fldCharType="begin"/>
      </w:r>
      <w:r w:rsidR="00E507E3" w:rsidRPr="00FA4EF4">
        <w:instrText xml:space="preserve"> ADDIN ZOTERO_ITEM CSL_CITATION {"citationID":"0cYzmlqo","properties":{"formattedCitation":"(Reid et al., 2017)","plainCitation":"(Reid et al., 2017)","noteIndex":0},"citationItems":[{"id":64,"uris":["http://zotero.org/users/17206691/items/XUZ4MF6F"],"itemData":{"id":64,"type":"article-journal","abstract":"The Tungsten (Hamme) Queen mine is located at Tungsten, NC, 16 miles northwest of Henderson, NC, and 2 miles south of the Virginia state line. The ore occurs in a near vertical quartz vein ranging in width from a few inches to several ft. Hübnerite, the principal tungsten mineral, is accompanied by a minor amount of scheelite. Pyrite, the predominate metallic mineral in the quartz veins, is accompanied by subordinate chalcopyrite, galena, sphalerite, and tetrahedrite. Fluorite is a common accessory mineral in the ore and tailings. Our objective was a preliminary evaluation to produce a high quality quartz concentrate from the approximately 2 million tons of tailings present. Shallow drilling and pits &lt;6 ft deep recovered ~60-pounds of wet tailings from gridded sites on the tailings fan from just below the mill discharge point. The quartz concentrate was produced using bench scale beneeciation methods including otation, magnetic, and gravity separation. Size fractions were evaluated for full mineral liberation and non-quartz species using binocular and petrographic microscopes. Quartz analyses were obtained by ICP mass-spectrometry. A concentration ow chart was developed for the heavy and light speciic gravity fractions. Chemical analysis indicates that the quartz may be suitable for fused quartz and silica glass applications. Fluorite comprises up to ~2.5 wt. % of the heavy fraction and is a potential glass ux and other uses. Accessory hübnerite, scheelite, galena, chalcopy-rite, and sphalerite may also be recoverable. Study objectives A high purity quartz concentrate was produced using bench scale beneeciation methods including otation, magnetic, and gravity separation. Chemical analysis indicates that the quartz may be suitable for fused quartz and silica glass applications. Fluorite comprises up to ~2.5 wt. % of the heavy fraction and is a potential glass ux and other uses. Accessory hüebnerite, scheelite, galena, chalcopyrite, and sphalerite may also be recoverable.","container-title":"North Carolina Geological Survey Open-file report","page":"1","title":"Tungsten Queen Mine Tailings Evaluation, Vance Co., NC: A Potential Silica Resource","volume":"2017-01","author":[{"family":"Reid","given":"Jeffrey C."},{"family":"Taylor","given":"Kenneth B"},{"family":"Mensah-Biney","given":"Robert"},{"family":"Simms","given":"Jonathan"},{"family":"Akbari","given":"Hamid"}],"issued":{"date-parts":[["2017"]]}}}],"schema":"https://github.com/citation-style-language/schema/raw/master/csl-citation.json"} </w:instrText>
      </w:r>
      <w:r w:rsidR="00E44316" w:rsidRPr="00FA4EF4">
        <w:fldChar w:fldCharType="separate"/>
      </w:r>
      <w:r w:rsidR="00E44316" w:rsidRPr="00FA4EF4">
        <w:t>(Reid et al., 2017)</w:t>
      </w:r>
      <w:r w:rsidR="00E44316" w:rsidRPr="00FA4EF4">
        <w:fldChar w:fldCharType="end"/>
      </w:r>
      <w:r w:rsidR="000C3E71" w:rsidRPr="00FA4EF4">
        <w:t xml:space="preserve">. </w:t>
      </w:r>
    </w:p>
    <w:p w14:paraId="08EB8975" w14:textId="02798526" w:rsidR="0051583D" w:rsidRPr="00FA4EF4" w:rsidRDefault="003A584F" w:rsidP="002C492A">
      <w:pPr>
        <w:rPr>
          <w:color w:val="000000"/>
        </w:rPr>
      </w:pPr>
      <w:r w:rsidRPr="00FA4EF4">
        <w:t>Tungsten Queen tailings show promise as a</w:t>
      </w:r>
      <w:r w:rsidR="00D808D1" w:rsidRPr="00FA4EF4">
        <w:t xml:space="preserve"> potential</w:t>
      </w:r>
      <w:r w:rsidRPr="00FA4EF4">
        <w:t xml:space="preserve"> source for certain critical minerals; however, </w:t>
      </w:r>
      <w:r w:rsidR="00044EBE" w:rsidRPr="00FA4EF4">
        <w:t>more detailed</w:t>
      </w:r>
      <w:r w:rsidR="00422AC9" w:rsidRPr="00FA4EF4">
        <w:t xml:space="preserve"> sampling is necessary </w:t>
      </w:r>
      <w:r w:rsidRPr="00FA4EF4">
        <w:t>to evaluate their concentration and distribution.</w:t>
      </w:r>
      <w:r w:rsidR="005931BD" w:rsidRPr="00FA4EF4">
        <w:t xml:space="preserve"> P</w:t>
      </w:r>
      <w:r w:rsidR="00535389" w:rsidRPr="00FA4EF4">
        <w:t xml:space="preserve">revious studies have focused </w:t>
      </w:r>
      <w:r w:rsidR="000E558A" w:rsidRPr="00FA4EF4">
        <w:t xml:space="preserve">primarily on tungsten or non-critical mineral commodities and did not examine the </w:t>
      </w:r>
      <w:r w:rsidR="0009098A" w:rsidRPr="00FA4EF4">
        <w:t xml:space="preserve">wider </w:t>
      </w:r>
      <w:r w:rsidR="000E558A" w:rsidRPr="00FA4EF4">
        <w:t xml:space="preserve">critical mineral </w:t>
      </w:r>
      <w:r w:rsidR="0009098A" w:rsidRPr="00FA4EF4">
        <w:t>content</w:t>
      </w:r>
      <w:r w:rsidR="000E558A" w:rsidRPr="00FA4EF4">
        <w:t xml:space="preserve"> of the ponds. </w:t>
      </w:r>
      <w:r w:rsidR="008A5E3D" w:rsidRPr="00FA4EF4">
        <w:t>A</w:t>
      </w:r>
      <w:r w:rsidR="00C24E28" w:rsidRPr="00FA4EF4">
        <w:t>s such</w:t>
      </w:r>
      <w:r w:rsidR="008A5E3D" w:rsidRPr="00FA4EF4">
        <w:t xml:space="preserve">, published </w:t>
      </w:r>
      <w:r w:rsidR="000E558A" w:rsidRPr="00FA4EF4">
        <w:t xml:space="preserve">geochemical data </w:t>
      </w:r>
      <w:r w:rsidR="00C96C58" w:rsidRPr="00FA4EF4">
        <w:t xml:space="preserve">for </w:t>
      </w:r>
      <w:r w:rsidR="006C63F6" w:rsidRPr="00FA4EF4">
        <w:t xml:space="preserve">the </w:t>
      </w:r>
      <w:r w:rsidR="00C96C58" w:rsidRPr="00FA4EF4">
        <w:t xml:space="preserve">tailings </w:t>
      </w:r>
      <w:r w:rsidR="000E558A" w:rsidRPr="00FA4EF4">
        <w:t>span</w:t>
      </w:r>
      <w:r w:rsidR="008A5E3D" w:rsidRPr="00FA4EF4">
        <w:t>s</w:t>
      </w:r>
      <w:r w:rsidR="000E558A" w:rsidRPr="00FA4EF4">
        <w:t xml:space="preserve"> a limited range of analytes</w:t>
      </w:r>
      <w:r w:rsidR="00915C80" w:rsidRPr="00FA4EF4">
        <w:t xml:space="preserve"> that exclude many critical minerals.</w:t>
      </w:r>
      <w:r w:rsidR="000E558A" w:rsidRPr="00FA4EF4">
        <w:t xml:space="preserve"> </w:t>
      </w:r>
      <w:r w:rsidR="00533CC0" w:rsidRPr="00FA4EF4">
        <w:t xml:space="preserve">This work is the first to characterize the Tungsten Queen tailings for </w:t>
      </w:r>
      <w:r w:rsidR="003657C8" w:rsidRPr="00FA4EF4">
        <w:t xml:space="preserve">additional </w:t>
      </w:r>
      <w:r w:rsidR="00533CC0" w:rsidRPr="00FA4EF4">
        <w:t xml:space="preserve">critical minerals </w:t>
      </w:r>
      <w:r w:rsidR="003657C8" w:rsidRPr="00FA4EF4">
        <w:t>beyond</w:t>
      </w:r>
      <w:r w:rsidR="00533CC0" w:rsidRPr="00FA4EF4">
        <w:t xml:space="preserve"> </w:t>
      </w:r>
      <w:r w:rsidR="00FC7A04" w:rsidRPr="00FA4EF4">
        <w:t>W</w:t>
      </w:r>
      <w:r w:rsidR="00777BB6" w:rsidRPr="00FA4EF4">
        <w:t xml:space="preserve"> and</w:t>
      </w:r>
      <w:r w:rsidR="00533CC0" w:rsidRPr="00FA4EF4">
        <w:t xml:space="preserve"> </w:t>
      </w:r>
      <w:r w:rsidR="007843DA" w:rsidRPr="00FA4EF4">
        <w:t xml:space="preserve">to </w:t>
      </w:r>
      <w:r w:rsidR="003657C8" w:rsidRPr="00FA4EF4">
        <w:t xml:space="preserve">provide a full </w:t>
      </w:r>
      <w:r w:rsidR="00921B4A" w:rsidRPr="00FA4EF4">
        <w:t xml:space="preserve">suite of publicly available </w:t>
      </w:r>
      <w:r w:rsidR="007843DA" w:rsidRPr="00FA4EF4">
        <w:t>compositional data</w:t>
      </w:r>
      <w:r w:rsidR="00533CC0" w:rsidRPr="00FA4EF4">
        <w:t xml:space="preserve">. </w:t>
      </w:r>
      <w:r w:rsidR="00F773AB" w:rsidRPr="00FA4EF4">
        <w:t>Evaluating the</w:t>
      </w:r>
      <w:r w:rsidR="00C24E28" w:rsidRPr="00FA4EF4">
        <w:t xml:space="preserve"> economic</w:t>
      </w:r>
      <w:r w:rsidR="00F773AB" w:rsidRPr="00FA4EF4">
        <w:t xml:space="preserve"> feasibility of </w:t>
      </w:r>
      <w:r w:rsidR="00C24E28" w:rsidRPr="00FA4EF4">
        <w:t>process</w:t>
      </w:r>
      <w:r w:rsidR="00F773AB" w:rsidRPr="00FA4EF4">
        <w:t>ing</w:t>
      </w:r>
      <w:r w:rsidR="00C24E28" w:rsidRPr="00FA4EF4">
        <w:t xml:space="preserve"> the tailings for </w:t>
      </w:r>
      <w:r w:rsidR="002A5ECE" w:rsidRPr="00FA4EF4">
        <w:t>critical minerals</w:t>
      </w:r>
      <w:r w:rsidR="00F773AB" w:rsidRPr="00FA4EF4">
        <w:t xml:space="preserve"> is beyond the scope of this study</w:t>
      </w:r>
      <w:r w:rsidR="006E35D5" w:rsidRPr="00FA4EF4">
        <w:t>.</w:t>
      </w:r>
      <w:r w:rsidR="00212AEC" w:rsidRPr="00FA4EF4">
        <w:t xml:space="preserve"> </w:t>
      </w:r>
      <w:r w:rsidR="006E35D5" w:rsidRPr="00FA4EF4">
        <w:t>However,</w:t>
      </w:r>
      <w:r w:rsidR="002A5ECE" w:rsidRPr="00FA4EF4">
        <w:t xml:space="preserve"> </w:t>
      </w:r>
      <w:r w:rsidR="00F773AB" w:rsidRPr="00FA4EF4">
        <w:t xml:space="preserve">the </w:t>
      </w:r>
      <w:r w:rsidR="00777BB6" w:rsidRPr="00FA4EF4">
        <w:t xml:space="preserve">geochemical data </w:t>
      </w:r>
      <w:r w:rsidR="006E35D5" w:rsidRPr="00FA4EF4">
        <w:t>and interpretations</w:t>
      </w:r>
      <w:r w:rsidR="00F773AB" w:rsidRPr="00FA4EF4">
        <w:t xml:space="preserve"> could</w:t>
      </w:r>
      <w:r w:rsidR="00777BB6" w:rsidRPr="00FA4EF4">
        <w:t xml:space="preserve"> </w:t>
      </w:r>
      <w:r w:rsidR="002E0283" w:rsidRPr="00FA4EF4">
        <w:t>help inform future decisions regarding the presence of critical minerals</w:t>
      </w:r>
      <w:r w:rsidR="003848CB" w:rsidRPr="00FA4EF4">
        <w:t xml:space="preserve"> and</w:t>
      </w:r>
      <w:r w:rsidR="00AB49B6" w:rsidRPr="00FA4EF4">
        <w:t xml:space="preserve"> the </w:t>
      </w:r>
      <w:r w:rsidR="002E0283" w:rsidRPr="00FA4EF4">
        <w:t xml:space="preserve">potential </w:t>
      </w:r>
      <w:r w:rsidR="00D75C02" w:rsidRPr="00FA4EF4">
        <w:t>for processing</w:t>
      </w:r>
      <w:r w:rsidR="002E0283" w:rsidRPr="00FA4EF4">
        <w:t xml:space="preserve"> the Tungsten Queen mine waste. </w:t>
      </w:r>
    </w:p>
    <w:p w14:paraId="53FFACAB" w14:textId="7250CB75" w:rsidR="005B153A" w:rsidRPr="00FA4EF4" w:rsidRDefault="005A28A2" w:rsidP="002C492A">
      <w:r w:rsidRPr="00FA4EF4">
        <w:t xml:space="preserve">Processing </w:t>
      </w:r>
      <w:r w:rsidR="001B334D" w:rsidRPr="00FA4EF4">
        <w:t xml:space="preserve">the Tungsten Queen </w:t>
      </w:r>
      <w:r w:rsidRPr="00FA4EF4">
        <w:t xml:space="preserve">mine tailings for critical minerals and </w:t>
      </w:r>
      <w:r w:rsidR="00492E4E" w:rsidRPr="00FA4EF4">
        <w:t>other</w:t>
      </w:r>
      <w:r w:rsidRPr="00FA4EF4">
        <w:t xml:space="preserve"> commodities could also help </w:t>
      </w:r>
      <w:r w:rsidR="00132910" w:rsidRPr="00FA4EF4">
        <w:t xml:space="preserve">mitigate </w:t>
      </w:r>
      <w:r w:rsidRPr="00FA4EF4">
        <w:t>environmental contamination</w:t>
      </w:r>
      <w:r w:rsidR="00470161" w:rsidRPr="00FA4EF4">
        <w:t xml:space="preserve"> by utilizing minerals that could otherwise cause acid drainage</w:t>
      </w:r>
      <w:r w:rsidR="007779A5" w:rsidRPr="00FA4EF4">
        <w:t xml:space="preserve"> or heavy metal contamination</w:t>
      </w:r>
      <w:r w:rsidRPr="00FA4EF4">
        <w:t xml:space="preserve">. </w:t>
      </w:r>
      <w:r w:rsidR="0096238D" w:rsidRPr="00FA4EF4">
        <w:t>For example,</w:t>
      </w:r>
      <w:r w:rsidRPr="00FA4EF4">
        <w:t xml:space="preserve"> </w:t>
      </w:r>
      <w:r w:rsidR="00A812B3" w:rsidRPr="00FA4EF4">
        <w:rPr>
          <w:color w:val="000000"/>
        </w:rPr>
        <w:t>g</w:t>
      </w:r>
      <w:r w:rsidR="00BE7B70" w:rsidRPr="00FA4EF4">
        <w:rPr>
          <w:color w:val="000000"/>
        </w:rPr>
        <w:t xml:space="preserve">alena </w:t>
      </w:r>
      <w:r w:rsidR="004C44CA" w:rsidRPr="00FA4EF4">
        <w:rPr>
          <w:color w:val="000000"/>
        </w:rPr>
        <w:t xml:space="preserve">in the tailings </w:t>
      </w:r>
      <w:r w:rsidR="00A812B3" w:rsidRPr="00FA4EF4">
        <w:rPr>
          <w:color w:val="000000"/>
        </w:rPr>
        <w:t xml:space="preserve">is a possible source </w:t>
      </w:r>
      <w:r w:rsidR="00BE7B70" w:rsidRPr="00FA4EF4">
        <w:rPr>
          <w:color w:val="000000"/>
        </w:rPr>
        <w:t xml:space="preserve">for </w:t>
      </w:r>
      <w:r w:rsidR="00BE2E6C" w:rsidRPr="00FA4EF4">
        <w:t>Ag</w:t>
      </w:r>
      <w:r w:rsidR="00F42DDF" w:rsidRPr="00FA4EF4">
        <w:t xml:space="preserve"> </w:t>
      </w:r>
      <w:r w:rsidR="00F42DDF" w:rsidRPr="00FA4EF4">
        <w:fldChar w:fldCharType="begin"/>
      </w:r>
      <w:r w:rsidR="00F42DDF" w:rsidRPr="00FA4EF4">
        <w:instrText xml:space="preserve"> ADDIN ZOTERO_ITEM CSL_CITATION {"citationID":"Gumq0Pgh","properties":{"formattedCitation":"(Chaumba et al., 2015)","plainCitation":"(Chaumba et al., 2015)","noteIndex":0},"citationItems":[{"id":66,"uris":["http://zotero.org/users/17206691/items/6QNQWHMF"],"itemData":{"id":66,"type":"article-journal","abstract":"The Hamme (Tungsten Queen) mine, Vance County, N.C., was worked for wol-framite-huebnerite and it also produced minor amounts of sulfides (copper and silver). At this deposit, there are about 1 million metric tons of quartz-dominated tailings containing about 0.25% WO 3 , with accessory fluorite and very minor sulfides-mostly ga-lena with accessory silver concentrations. We undertook a petrographic and mineral composition study of the huebnerite, galena, and chalcopyrite to help place constrains on the origin of the deposit. Under the microscope, huebnerite shows zoning which is not reflected in the chemistry of the mineral. All minerals investigated have concentrations which show very limited compositional ranges. Huebnerite is strongly enriched in WO 3 (73.5-75.5 wt.%), MnWO 4 (97.3-99.7%), and Mn (1.037-1.065 atoms per formula unit, apfu) but is depleted in Fe 2+ (0.040-0.029 apfu). Sulfide mineralogy is composed of galena with concentrations of Pb (83.0-85.8 wt.%) and S (13.2-13.9 wt.%), and chalcopyrite with concentrations of Cu (33.8-38.2 wt.%), Fe (29.7-29.9 wt.%), and S (34.5-34.6 wt.%). Sulfur concentrations of galena in Hamme (Tungsten Queen) deposit are comparable to other lead deposits elsewhere. Coarser-grained and anhedral gale-nas have slightly higher Pb concentrations than those which occur either as rims to huebnerites or as 'intercumulus phases' between huebnerites. Hamme (Tungsten Queen) deposit huebnerite compositions reported here are comparable (although slightly enriched in Mn but depleted in Fe 2+) to other huebnerite deposits such as Round Mountain in Nevada and some huebnerites from Portugal. Compared to other wolfram-ite deposits, the Hamme (Tungsten Queen) deposit is more depleted in Fe 2+ and highly enriched in MnWO 4 , an indication of a lack of substitution of its Mn by other cations. Based on findings from this study, it is concluded that Hamme (Tungsten Queen) deposit huebnerites were formed early in the history of formation of the deposit and were little affected by a later hydrothermal event that affected the district. Galena inclusions in huebnerites and coarser-grained galenas, which are comprised of slightly higher Pb concentrations, are interpreted to be primary , likely formed at the time of formation of the enclosing huebnerites, than galenas which occur as 'intercumulus' grains and are also slightly depleted in Pb. These latter galena crystals likely formed later, probably during metamorphism and associated hy-drothermal alteration.","container-title":"Southeastern Geology","issue":"1","page":"33-49","title":"Hamme (Tungsten Queen) Mine Tailings, Vance County, North Carolina: Mineral chemistry of Potentially Recoverable Huebnerite-Wolframite and Sulfide Minerals","volume":"51","author":[{"family":"Chaumba","given":"Jeff B"},{"family":"Reid","given":"Jeffrey C"},{"family":"Parker","given":"Johnathon C"}],"issued":{"date-parts":[["2015"]]}}}],"schema":"https://github.com/citation-style-language/schema/raw/master/csl-citation.json"} </w:instrText>
      </w:r>
      <w:r w:rsidR="00F42DDF" w:rsidRPr="00FA4EF4">
        <w:fldChar w:fldCharType="separate"/>
      </w:r>
      <w:r w:rsidR="00F42DDF" w:rsidRPr="00FA4EF4">
        <w:t>(Chaumba et al., 2015)</w:t>
      </w:r>
      <w:r w:rsidR="00F42DDF" w:rsidRPr="00FA4EF4">
        <w:fldChar w:fldCharType="end"/>
      </w:r>
      <w:r w:rsidRPr="00FA4EF4">
        <w:t xml:space="preserve"> </w:t>
      </w:r>
      <w:r w:rsidR="00BE2E6C" w:rsidRPr="00FA4EF4">
        <w:t>but</w:t>
      </w:r>
      <w:r w:rsidR="00292CD8" w:rsidRPr="00FA4EF4">
        <w:rPr>
          <w:color w:val="000000"/>
        </w:rPr>
        <w:t xml:space="preserve"> also poses a risk for</w:t>
      </w:r>
      <w:r w:rsidRPr="00FA4EF4">
        <w:rPr>
          <w:color w:val="000000"/>
        </w:rPr>
        <w:t xml:space="preserve"> </w:t>
      </w:r>
      <w:r w:rsidR="00BE2E6C" w:rsidRPr="00FA4EF4">
        <w:rPr>
          <w:color w:val="000000"/>
        </w:rPr>
        <w:t>Pb</w:t>
      </w:r>
      <w:r w:rsidRPr="00FA4EF4">
        <w:rPr>
          <w:color w:val="000000"/>
        </w:rPr>
        <w:t xml:space="preserve"> contaminatio</w:t>
      </w:r>
      <w:r w:rsidR="00292CD8" w:rsidRPr="00FA4EF4">
        <w:rPr>
          <w:color w:val="000000"/>
        </w:rPr>
        <w:t>n</w:t>
      </w:r>
      <w:r w:rsidRPr="00FA4EF4">
        <w:rPr>
          <w:color w:val="000000"/>
        </w:rPr>
        <w:t xml:space="preserve">. </w:t>
      </w:r>
      <w:r w:rsidR="005E46A8" w:rsidRPr="00FA4EF4">
        <w:rPr>
          <w:color w:val="000000"/>
        </w:rPr>
        <w:t>Thus</w:t>
      </w:r>
      <w:r w:rsidR="007779A5" w:rsidRPr="00FA4EF4">
        <w:rPr>
          <w:color w:val="000000"/>
        </w:rPr>
        <w:t>, t</w:t>
      </w:r>
      <w:r w:rsidR="008612F4" w:rsidRPr="00FA4EF4">
        <w:rPr>
          <w:color w:val="000000"/>
        </w:rPr>
        <w:t>his study conducted a cursory assessment</w:t>
      </w:r>
      <w:r w:rsidR="007779A5" w:rsidRPr="00FA4EF4">
        <w:rPr>
          <w:color w:val="000000"/>
        </w:rPr>
        <w:t xml:space="preserve"> of the risk for acid production</w:t>
      </w:r>
      <w:r w:rsidR="008612F4" w:rsidRPr="00FA4EF4">
        <w:rPr>
          <w:color w:val="000000"/>
        </w:rPr>
        <w:t xml:space="preserve"> that could help inform environmental </w:t>
      </w:r>
      <w:r w:rsidR="00AC228C" w:rsidRPr="00FA4EF4">
        <w:rPr>
          <w:color w:val="000000"/>
        </w:rPr>
        <w:t>management for</w:t>
      </w:r>
      <w:r w:rsidR="008612F4" w:rsidRPr="00FA4EF4">
        <w:rPr>
          <w:color w:val="000000"/>
        </w:rPr>
        <w:t xml:space="preserve"> two local </w:t>
      </w:r>
      <w:r w:rsidR="00164D14">
        <w:rPr>
          <w:color w:val="000000"/>
        </w:rPr>
        <w:t xml:space="preserve">water supply </w:t>
      </w:r>
      <w:r w:rsidR="008612F4" w:rsidRPr="00FA4EF4">
        <w:rPr>
          <w:color w:val="000000"/>
        </w:rPr>
        <w:t>reservoirs</w:t>
      </w:r>
      <w:r w:rsidR="008612F4" w:rsidRPr="00FA4EF4">
        <w:t xml:space="preserve">. </w:t>
      </w:r>
    </w:p>
    <w:p w14:paraId="659A4EA3" w14:textId="77777777" w:rsidR="0073102B" w:rsidRPr="002C492A" w:rsidRDefault="0073102B" w:rsidP="002C492A">
      <w:pPr>
        <w:pStyle w:val="Heading1"/>
      </w:pPr>
      <w:bookmarkStart w:id="3" w:name="_Toc222230008"/>
      <w:r w:rsidRPr="002C492A">
        <w:t>2. Geologic Setting, Mining History, and Prior Work</w:t>
      </w:r>
      <w:bookmarkEnd w:id="3"/>
    </w:p>
    <w:p w14:paraId="2B8D2718" w14:textId="5137F0F4" w:rsidR="00EC61CD" w:rsidRDefault="0073102B" w:rsidP="002C492A">
      <w:r w:rsidRPr="00FA4EF4">
        <w:t>The Hamme Tungsten Mining District is part of the Carolina terrane</w:t>
      </w:r>
      <w:r w:rsidR="00255420">
        <w:t xml:space="preserve">, which is </w:t>
      </w:r>
      <w:r w:rsidRPr="00FA4EF4">
        <w:t xml:space="preserve">a </w:t>
      </w:r>
      <w:r w:rsidR="00B34328" w:rsidRPr="00FA4EF4">
        <w:t>Neoproterozoic</w:t>
      </w:r>
      <w:r w:rsidRPr="00FA4EF4">
        <w:t xml:space="preserve"> to </w:t>
      </w:r>
      <w:r w:rsidR="00353C11" w:rsidRPr="00FA4EF4">
        <w:t>Cambrian</w:t>
      </w:r>
      <w:r w:rsidRPr="00FA4EF4">
        <w:t xml:space="preserve"> volcanic island arc that formed off the coast of Gondwana </w:t>
      </w:r>
      <w:r w:rsidRPr="00FA4EF4">
        <w:fldChar w:fldCharType="begin"/>
      </w:r>
      <w:r w:rsidRPr="00FA4EF4">
        <w:instrText xml:space="preserve"> ADDIN ZOTERO_ITEM CSL_CITATION {"citationID":"Qq4H0SRa","properties":{"formattedCitation":"(Hibbard et al., 2002, 2006)","plainCitation":"(Hibbard et al., 2002, 2006)","noteIndex":0},"citationItems":[{"id":196,"uris":["http://zotero.org/users/17206691/items/LPSLTWXY"],"itemData":{"id":196,"type":"article-journal","abstract":"The Carolina Zone is an amalgamation of mainly Neoproterozoic–Early Paleozoic metaigneous-dominated terranes that are clustered along the eastern flank of the southern Appalachians. These terranes are distinguished from other divisions of the orogen by a commonality in gross geologic content and by their close spatial association. They are considered exotic relative to Laurentia on the basis of stratigraphic and tectonic evolution, paleontology, and position in the orogen analogous to that of exotic terranes in the northern Appalachians. They are probably peri-Gondwanan in origin. Within this first-order identity, the terranes exhibit remarkable heterogeneity, with respect to deposition, magmatism, and tectonothermal overprint. The depositional–magmatic history of the zone is viewed in three broad stages, including: (I) pre-600 Ma, (II) ca. 590–560 Ma, and (III) younger than ca. 550 Ma. Although each stage records significant felsic volcanism, there are few compelling stratigraphic linkages between terranes. Stage III plutonism may form a link between the two largest terranes in the zone. The isotopic evolution of the zone reflects the stratigraphic heterogeneity; isotopically juvenile magmatism in some terranes is coeval with more crustally evolved magmatism in others. The tectonothermal history of the zone is heterogeneous, producing a patchwork of suprastructural and infrastructural elements of different ages. Major tectonothermal events responsible for this pattern span the Neoproterozoic–earliest Cambrian, the Late Ordovician–Silurian, and the late Paleozoic. Evidence for regionally extensive events in the zone is sparse and such a fundamental concept as its time of accretion to Laurentia is speculative. The central Piedmont shear zone, a late Paleozoic ductile thrust that defines the western limit of the Carolina Zone, marks the final emplacement of the zone against Laurentian elements.","container-title":"Earth-Science Reviews","DOI":"10.1016/S0012-8252(01)00079-4","ISSN":"0012-8252","issue":"3","journalAbbreviation":"Earth-Science Reviews","page":"299-339","source":"ScienceDirect","title":"The Carolina Zone: overview of Neoproterozoic to Early Paleozoic peri-Gondwanan terranes along the eastern Flank of the southern Appalachians","title-short":"The Carolina Zone","volume":"57","author":[{"family":"Hibbard","given":"James P."},{"family":"Stoddard","given":"Edward F."},{"family":"Secor","given":"Donald T."},{"family":"Dennis","given":"Allen J."}],"issued":{"date-parts":[["2002",5,1]]}}},{"id":219,"uris":["http://zotero.org/users/17206691/items/NSKB63UU"],"itemData":{"id":219,"type":"map","collection-title":"Map 02096A","publisher":"Geological Survey of Canada","scale":"1:1500000","title":"Lithotectonic Map of the Appalachian Orogen (South), Canada-United States of America","author":[{"family":"Hibbard","given":"James P."},{"family":"Staal","given":"C.","non-dropping-particle":"van"},{"family":"Rankin","given":"D."},{"family":"Williams","given":"H."}],"issued":{"date-parts":[["2006"]]}}}],"schema":"https://github.com/citation-style-language/schema/raw/master/csl-citation.json"} </w:instrText>
      </w:r>
      <w:r w:rsidRPr="00FA4EF4">
        <w:fldChar w:fldCharType="separate"/>
      </w:r>
      <w:r w:rsidRPr="00FA4EF4">
        <w:t>(Hibbard et al., 2002, 2006)</w:t>
      </w:r>
      <w:r w:rsidRPr="00FA4EF4">
        <w:fldChar w:fldCharType="end"/>
      </w:r>
      <w:r w:rsidRPr="00FA4EF4">
        <w:t xml:space="preserve">. Three lithotectonic units comprise the Carolina terrane. The oldest is the ca. 633 to 612 Ma Hyco Arc </w:t>
      </w:r>
      <w:r w:rsidRPr="00FA4EF4">
        <w:fldChar w:fldCharType="begin"/>
      </w:r>
      <w:r w:rsidRPr="00FA4EF4">
        <w:instrText xml:space="preserve"> ADDIN ZOTERO_ITEM CSL_CITATION {"citationID":"cGWEw1Ln","properties":{"formattedCitation":"(Wortman et al., 2000; Bowman, 2010; Bradley and Miller, 2011)","plainCitation":"(Wortman et al., 2000; Bowman, 2010; Bradley and Miller, 2011)","noteIndex":0},"citationItems":[{"id":223,"uris":["http://zotero.org/users/17206691/items/3NCTVP3I"],"itemData":{"id":223,"type":"article-journal","container-title":"Journal of Geology","page":"321-338","title":"Precise U-Pb zircon constraints on the earliest magmatic history of the Carolina terrane","volume":"108","author":[{"family":"Wortman","given":"G.L."},{"family":"Sampson","given":"S.D."},{"family":"Hibbard","given":"James P."}],"issued":{"date-parts":[["2000"]]}}},{"id":224,"uris":["http://zotero.org/users/17206691/items/PL7CQXCM"],"itemData":{"id":224,"type":"thesis","event-place":"Rakeigh, North Carolina","genre":"M.S.","number-of-pages":"116","publisher":"North Carolina State University","publisher-place":"Rakeigh, North Carolina","title":"The Aaron Formation: Evidence for a New Lithotectonic Unit in Carolinia, North Central North Carolina","author":[{"family":"Bowman","given":"Jeffrey D."}],"issued":{"date-parts":[["2010"]]}}},{"id":222,"uris":["http://zotero.org/users/17206691/items/B3GUD8M9"],"itemData":{"id":222,"type":"article-journal","container-title":"Geological Society of America Abstracts with Programs","issue":"2","title":"New geologic mapping and age constraints in the Hyco Arc of the Carolina terrane in Orange County, North Carolina","volume":"43","author":[{"family":"Bradley","given":"Philip J."},{"family":"Miller","given":"Brent V."}],"issued":{"date-parts":[["2011"]]}}}],"schema":"https://github.com/citation-style-language/schema/raw/master/csl-citation.json"} </w:instrText>
      </w:r>
      <w:r w:rsidRPr="00FA4EF4">
        <w:fldChar w:fldCharType="separate"/>
      </w:r>
      <w:r w:rsidRPr="00FA4EF4">
        <w:t>(Wortman et al., 2000; Bowman, 2010; Bradley and Miller, 2011)</w:t>
      </w:r>
      <w:r w:rsidRPr="00FA4EF4">
        <w:fldChar w:fldCharType="end"/>
      </w:r>
      <w:r w:rsidRPr="00FA4EF4">
        <w:t xml:space="preserve">, interpreted as a mature arc built on oceanic lithosphere </w:t>
      </w:r>
      <w:r w:rsidRPr="00FA4EF4">
        <w:fldChar w:fldCharType="begin"/>
      </w:r>
      <w:r w:rsidRPr="00FA4EF4">
        <w:instrText xml:space="preserve"> ADDIN ZOTERO_ITEM CSL_CITATION {"citationID":"0NKESjDn","properties":{"formattedCitation":"(Hibbard et al., 2013)","plainCitation":"(Hibbard et al., 2013)","noteIndex":0},"citationItems":[{"id":220,"uris":["http://zotero.org/users/17206691/items/8W8LNVDS"],"itemData":{"id":220,"type":"chapter","collection-title":"Carolina Geological Society Annual Meeting and Field Trip","container-title":"One Arc, Two Arcs, Old Arc, New Arc, The Carolina Terrane in Central North Carolina","event-place":"Salisbury, North Carolina","page":"35-61","publisher-place":"Salisbury, North Carolina","title":"One arc, two arcs, old , new arc: An overview of the Carolina terrane in central North Carolina","author":[{"family":"Hibbard","given":"James P."},{"family":"Pollock","given":"Jeffrey"},{"family":"Bradley","given":"Phil"}],"editor":[{"family":"Hibbard","given":"James P."},{"family":"Pollock","given":"Jeffrey"}],"issued":{"date-parts":[["2013"]]}}}],"schema":"https://github.com/citation-style-language/schema/raw/master/csl-citation.json"} </w:instrText>
      </w:r>
      <w:r w:rsidRPr="00FA4EF4">
        <w:fldChar w:fldCharType="separate"/>
      </w:r>
      <w:r w:rsidRPr="00FA4EF4">
        <w:t>(Hibbard et al., 2013)</w:t>
      </w:r>
      <w:r w:rsidRPr="00FA4EF4">
        <w:fldChar w:fldCharType="end"/>
      </w:r>
      <w:r w:rsidRPr="00FA4EF4">
        <w:t xml:space="preserve">. An </w:t>
      </w:r>
      <w:r w:rsidR="00A3455F">
        <w:t xml:space="preserve">approximately </w:t>
      </w:r>
      <w:r w:rsidRPr="00FA4EF4">
        <w:t xml:space="preserve">37 million year disconformity separates the Hyco </w:t>
      </w:r>
      <w:r w:rsidR="00FA58B4">
        <w:t>A</w:t>
      </w:r>
      <w:r w:rsidRPr="00FA4EF4">
        <w:t>rc from the overlying redefined Virgilina sequence of Bowman et al. (2013). The redefined Virgilina sequence is composed of the mostly</w:t>
      </w:r>
      <w:r w:rsidR="00EC61CD" w:rsidRPr="00EC61CD">
        <w:t xml:space="preserve"> </w:t>
      </w:r>
      <w:r w:rsidR="00EC61CD" w:rsidRPr="00FA4EF4">
        <w:lastRenderedPageBreak/>
        <w:t xml:space="preserve">metasedimentary Aaron Formation, which has youngest detrital zircon ages of 588 Ma (Pollock et al., 2010) and 578 Ma (Sampson et al., 2001), and the metavolcanic Virgilina member of the Aaron Formation </w:t>
      </w:r>
      <w:r w:rsidR="00EC61CD" w:rsidRPr="00FA4EF4">
        <w:fldChar w:fldCharType="begin"/>
      </w:r>
      <w:r w:rsidR="00EC61CD" w:rsidRPr="00FA4EF4">
        <w:instrText xml:space="preserve"> ADDIN ZOTERO_ITEM CSL_CITATION {"citationID":"swyJjr9T","properties":{"formattedCitation":"(Bowman et al., 2013; Hibbard et al., 2013)","plainCitation":"(Bowman et al., 2013; Hibbard et al., 2013)","noteIndex":0},"citationItems":[{"id":220,"uris":["http://zotero.org/users/17206691/items/8W8LNVDS"],"itemData":{"id":220,"type":"chapter","collection-title":"Carolina Geological Society Annual Meeting and Field Trip","container-title":"One Arc, Two Arcs, Old Arc, New Arc, The Carolina Terrane in Central North Carolina","event-place":"Salisbury, North Carolina","page":"35-61","publisher-place":"Salisbury, North Carolina","title":"One arc, two arcs, old , new arc: An overview of the Carolina terrane in central North Carolina","author":[{"family":"Hibbard","given":"James P."},{"family":"Pollock","given":"Jeffrey"},{"family":"Bradley","given":"Phil"}],"editor":[{"family":"Hibbard","given":"James P."},{"family":"Pollock","given":"Jeffrey"}],"issued":{"date-parts":[["2013"]]}}},{"id":221,"uris":["http://zotero.org/users/17206691/items/RYZTG4SC"],"itemData":{"id":221,"type":"chapter","collection-title":"Carolina Geological Society Annual Meeting and Field Trip","container-title":"One Arc, Two Arcs, Old Arc, New Arc, The Carolina Terrane in Central North Carolina","event-place":"Salisbury, North Carolina","page":"127-138","publisher-place":"Salisbury, North Carolina","title":"The Virgilina sequence redefined, north central North Carolina","author":[{"family":"Bowman","given":"Jeffrey D."},{"family":"Hibbard","given":"James P."},{"family":"Miller","given":"Brent V."}],"editor":[{"family":"Hibbard","given":"James P."},{"family":"Pollock","given":"Jeffrey"}],"issued":{"date-parts":[["2013"]]}}}],"schema":"https://github.com/citation-style-language/schema/raw/master/csl-citation.json"} </w:instrText>
      </w:r>
      <w:r w:rsidR="00EC61CD" w:rsidRPr="00FA4EF4">
        <w:fldChar w:fldCharType="separate"/>
      </w:r>
      <w:r w:rsidR="00EC61CD" w:rsidRPr="00FA4EF4">
        <w:t>(Bowman et al., 2013; Hibbard et al., 2013)</w:t>
      </w:r>
      <w:r w:rsidR="00EC61CD" w:rsidRPr="00FA4EF4">
        <w:fldChar w:fldCharType="end"/>
      </w:r>
      <w:r w:rsidR="00EC61CD" w:rsidRPr="00FA4EF4">
        <w:t xml:space="preserve">. The youngest lithotectonic unit is the ca. 555 to &lt;528 Ma Albermarle arc </w:t>
      </w:r>
      <w:r w:rsidR="00EC61CD" w:rsidRPr="00FA4EF4">
        <w:fldChar w:fldCharType="begin"/>
      </w:r>
      <w:r w:rsidR="00EC61CD" w:rsidRPr="00FA4EF4">
        <w:instrText xml:space="preserve"> ADDIN ZOTERO_ITEM CSL_CITATION {"citationID":"hHaMAstB","properties":{"formattedCitation":"(Hibbard et al., 2013)","plainCitation":"(Hibbard et al., 2013)","noteIndex":0},"citationItems":[{"id":220,"uris":["http://zotero.org/users/17206691/items/8W8LNVDS"],"itemData":{"id":220,"type":"chapter","collection-title":"Carolina Geological Society Annual Meeting and Field Trip","container-title":"One Arc, Two Arcs, Old Arc, New Arc, The Carolina Terrane in Central North Carolina","event-place":"Salisbury, North Carolina","page":"35-61","publisher-place":"Salisbury, North Carolina","title":"One arc, two arcs, old , new arc: An overview of the Carolina terrane in central North Carolina","author":[{"family":"Hibbard","given":"James P."},{"family":"Pollock","given":"Jeffrey"},{"family":"Bradley","given":"Phil"}],"editor":[{"family":"Hibbard","given":"James P."},{"family":"Pollock","given":"Jeffrey"}],"issued":{"date-parts":[["2013"]]}}}],"schema":"https://github.com/citation-style-language/schema/raw/master/csl-citation.json"} </w:instrText>
      </w:r>
      <w:r w:rsidR="00EC61CD" w:rsidRPr="00FA4EF4">
        <w:fldChar w:fldCharType="separate"/>
      </w:r>
      <w:r w:rsidR="00EC61CD" w:rsidRPr="00FA4EF4">
        <w:t>(Hibbard et al., 2013)</w:t>
      </w:r>
      <w:r w:rsidR="00EC61CD" w:rsidRPr="00FA4EF4">
        <w:fldChar w:fldCharType="end"/>
      </w:r>
      <w:r w:rsidR="00EC61CD" w:rsidRPr="00FA4EF4">
        <w:t xml:space="preserve">, which is built on a basement that includes a continental component </w:t>
      </w:r>
      <w:r w:rsidR="00EC61CD" w:rsidRPr="00FA4EF4">
        <w:fldChar w:fldCharType="begin"/>
      </w:r>
      <w:r w:rsidR="00EC61CD" w:rsidRPr="00FA4EF4">
        <w:instrText xml:space="preserve"> ADDIN ZOTERO_ITEM CSL_CITATION {"citationID":"TZHxbmhm","properties":{"formattedCitation":"(Mueller, P. et al., 1996)","plainCitation":"(Mueller, P. et al., 1996)","noteIndex":0},"citationItems":[{"id":230,"uris":["http://zotero.org/users/17206691/items/7BXPVBIW"],"itemData":{"id":230,"type":"chapter","collection-number":"304","collection-title":"Geological Society of America Special Paper","container-title":"Avalonian and Related Peri-Gondwanan Terranes of the Circum-North Atlantica","page":"207-217","title":"Evidence for Mesoproterozoic basement in the Carolina terrane and speculation on its origins","author":[{"literal":"Mueller, P."},{"literal":"Kozuch, M."},{"literal":"Heatherington, A."},{"literal":"Wooden, J."},{"literal":"Offield, T"},{"literal":"Koeppen, R."},{"literal":"Klein, T."},{"literal":"Nutman, A."}],"editor":[{"literal":"Nance, D."},{"literal":"Thompson, M."}],"issued":{"date-parts":[["1996"]]}}}],"schema":"https://github.com/citation-style-language/schema/raw/master/csl-citation.json"} </w:instrText>
      </w:r>
      <w:r w:rsidR="00EC61CD" w:rsidRPr="00FA4EF4">
        <w:fldChar w:fldCharType="separate"/>
      </w:r>
      <w:r w:rsidR="00EC61CD" w:rsidRPr="00FA4EF4">
        <w:t>(Mueller et al., 1996)</w:t>
      </w:r>
      <w:r w:rsidR="00EC61CD" w:rsidRPr="00FA4EF4">
        <w:fldChar w:fldCharType="end"/>
      </w:r>
      <w:r w:rsidR="00EC61CD" w:rsidRPr="00FA4EF4">
        <w:t xml:space="preserve">. The Carolina terrane is composed of low-grade meta-igneous, metavolcano-sedimentary, and metasedimentary rocks </w:t>
      </w:r>
      <w:r w:rsidR="00EC61CD" w:rsidRPr="00FA4EF4">
        <w:fldChar w:fldCharType="begin"/>
      </w:r>
      <w:r w:rsidR="00EC61CD" w:rsidRPr="00FA4EF4">
        <w:instrText xml:space="preserve"> ADDIN ZOTERO_ITEM CSL_CITATION {"citationID":"UC0iE3hQ","properties":{"formattedCitation":"(Secor et al., 1983; Hibbard et al., 2002, 2006)","plainCitation":"(Secor et al., 1983; Hibbard et al., 2002, 2006)","noteIndex":0},"citationItems":[{"id":198,"uris":["http://zotero.org/users/17206691/items/TYXFBF95"],"itemData":{"id":198,"type":"article-journal","abstract":"An assemblage of Middle Cambrian Atlantic faunal province trilobites has been found in the rocks of the Carolina slate belt near Batesburg, South Carolina. Geologic and paleomagnetic data suggest that the Carolina slate belt and the adjacent Charlotte belt constitute an exotic terrane that was accreted to North America in early to middle Paleozoic time.","container-title":"Science","DOI":"10.1126/science.221.4611.649","issue":"4611","note":"publisher: American Association for the Advancement of Science","page":"649-651","source":"science.org (Atypon)","title":"Confirmation of the Carolina Slate Belt as an Exotic Terrane","volume":"221","author":[{"family":"Secor","given":"Donald T."},{"family":"Samson","given":"Sara L."},{"family":"Snoke","given":"Arthur W."},{"family":"Palmer","given":"Allison R."}],"issued":{"date-parts":[["1983",8,12]]}}},{"id":196,"uris":["http://zotero.org/users/17206691/items/LPSLTWXY"],"itemData":{"id":196,"type":"article-journal","abstract":"The Carolina Zone is an amalgamation of mainly Neoproterozoic–Early Paleozoic metaigneous-dominated terranes that are clustered along the eastern flank of the southern Appalachians. These terranes are distinguished from other divisions of the orogen by a commonality in gross geologic content and by their close spatial association. They are considered exotic relative to Laurentia on the basis of stratigraphic and tectonic evolution, paleontology, and position in the orogen analogous to that of exotic terranes in the northern Appalachians. They are probably peri-Gondwanan in origin. Within this first-order identity, the terranes exhibit remarkable heterogeneity, with respect to deposition, magmatism, and tectonothermal overprint. The depositional–magmatic history of the zone is viewed in three broad stages, including: (I) pre-600 Ma, (II) ca. 590–560 Ma, and (III) younger than ca. 550 Ma. Although each stage records significant felsic volcanism, there are few compelling stratigraphic linkages between terranes. Stage III plutonism may form a link between the two largest terranes in the zone. The isotopic evolution of the zone reflects the stratigraphic heterogeneity; isotopically juvenile magmatism in some terranes is coeval with more crustally evolved magmatism in others. The tectonothermal history of the zone is heterogeneous, producing a patchwork of suprastructural and infrastructural elements of different ages. Major tectonothermal events responsible for this pattern span the Neoproterozoic–earliest Cambrian, the Late Ordovician–Silurian, and the late Paleozoic. Evidence for regionally extensive events in the zone is sparse and such a fundamental concept as its time of accretion to Laurentia is speculative. The central Piedmont shear zone, a late Paleozoic ductile thrust that defines the western limit of the Carolina Zone, marks the final emplacement of the zone against Laurentian elements.","container-title":"Earth-Science Reviews","DOI":"10.1016/S0012-8252(01)00079-4","ISSN":"0012-8252","issue":"3","journalAbbreviation":"Earth-Science Reviews","page":"299-339","source":"ScienceDirect","title":"The Carolina Zone: overview of Neoproterozoic to Early Paleozoic peri-Gondwanan terranes along the eastern Flank of the southern Appalachians","title-short":"The Carolina Zone","volume":"57","author":[{"family":"Hibbard","given":"James P."},{"family":"Stoddard","given":"Edward F."},{"family":"Secor","given":"Donald T."},{"family":"Dennis","given":"Allen J."}],"issued":{"date-parts":[["2002",5,1]]}}},{"id":219,"uris":["http://zotero.org/users/17206691/items/NSKB63UU"],"itemData":{"id":219,"type":"map","collection-title":"Map 02096A","publisher":"Geological Survey of Canada","scale":"1:1500000","title":"Lithotectonic Map of the Appalachian Orogen (South), Canada-United States of America","author":[{"family":"Hibbard","given":"James P."},{"family":"Staal","given":"C.","non-dropping-particle":"van"},{"family":"Rankin","given":"D."},{"family":"Williams","given":"H."}],"issued":{"date-parts":[["2006"]]}}}],"schema":"https://github.com/citation-style-language/schema/raw/master/csl-citation.json"} </w:instrText>
      </w:r>
      <w:r w:rsidR="00EC61CD" w:rsidRPr="00FA4EF4">
        <w:fldChar w:fldCharType="separate"/>
      </w:r>
      <w:r w:rsidR="00EC61CD" w:rsidRPr="00FA4EF4">
        <w:t>(Secor et al., 1983; Hibbard et al., 2002, 2006)</w:t>
      </w:r>
      <w:r w:rsidR="00EC61CD" w:rsidRPr="00FA4EF4">
        <w:fldChar w:fldCharType="end"/>
      </w:r>
      <w:r w:rsidR="00EC61CD" w:rsidRPr="00FA4EF4">
        <w:t xml:space="preserve">. </w:t>
      </w:r>
      <w:r w:rsidR="00052889">
        <w:t>In the eastern part of the field area</w:t>
      </w:r>
      <w:r w:rsidR="00052889" w:rsidRPr="23773914">
        <w:t>, granodiorite of the Vance County pluton was emplaced in the late Neoproterozoic, ca. 571 Ma (</w:t>
      </w:r>
      <w:r w:rsidR="00CC49DA">
        <w:t xml:space="preserve">Fig. 1; </w:t>
      </w:r>
      <w:r w:rsidR="00052889" w:rsidRPr="23773914">
        <w:t>LeHuray, 1989).</w:t>
      </w:r>
    </w:p>
    <w:p w14:paraId="7CDD3384" w14:textId="7216B7EC" w:rsidR="00E34F69" w:rsidRPr="00FA4EF4" w:rsidRDefault="00EC61CD" w:rsidP="002C492A">
      <w:r w:rsidRPr="00FA4EF4">
        <w:t xml:space="preserve">Tungsten was exploited from </w:t>
      </w:r>
      <w:r w:rsidR="00C51B23">
        <w:t xml:space="preserve">hubnerite-bearing quartz veins </w:t>
      </w:r>
      <w:r w:rsidRPr="00FA4EF4">
        <w:fldChar w:fldCharType="begin"/>
      </w:r>
      <w:r w:rsidRPr="00FA4EF4">
        <w:instrText xml:space="preserve"> ADDIN ZOTERO_ITEM CSL_CITATION {"citationID":"9kKWajrv","properties":{"formattedCitation":"(Gair et al., 1975)","plainCitation":"(Gair et al., 1975)","noteIndex":0},"citationItems":[{"id":68,"uris":["http://zotero.org/users/17206691/items/F95WGIWT"],"itemData":{"id":68,"type":"document","abstract":"GEOLOGICAL SURVEY CIRCULAR 711 Trace-element values in soil are related to major underlying rock units and to tungsten mineralization and indicate a large bismuth-copper-molybdenum anomaly west of the principal mineral deposit 1975","note":"page: 1-19\ncontainer-title: Geological Survey Circular 711","title":"Preliminary Results of Geochemical Soil Survey, Hamme Tungsten District, North Carolina","author":[{"family":"Gair","given":"Jacob E."},{"family":"Windolph","given":"John F."},{"family":"Wright","given":"Nancy A."}],"issued":{"date-parts":[["1975"]]}}}],"schema":"https://github.com/citation-style-language/schema/raw/master/csl-citation.json"} </w:instrText>
      </w:r>
      <w:r w:rsidRPr="00FA4EF4">
        <w:fldChar w:fldCharType="separate"/>
      </w:r>
      <w:r w:rsidRPr="00FA4EF4">
        <w:t>(Gair et al., 1975)</w:t>
      </w:r>
      <w:r w:rsidRPr="00FA4EF4">
        <w:fldChar w:fldCharType="end"/>
      </w:r>
      <w:r w:rsidRPr="00FA4EF4">
        <w:t xml:space="preserve">, </w:t>
      </w:r>
      <w:r w:rsidR="00435C44">
        <w:t xml:space="preserve">which were deposited as </w:t>
      </w:r>
      <w:r w:rsidRPr="00FA4EF4">
        <w:t xml:space="preserve">a skarn-replacement-vein W deposit which formed in a porphyry Cu-Mo-Au mineral system </w:t>
      </w:r>
      <w:r w:rsidRPr="00FA4EF4">
        <w:fldChar w:fldCharType="begin"/>
      </w:r>
      <w:r w:rsidRPr="00FA4EF4">
        <w:instrText xml:space="preserve"> ADDIN ZOTERO_ITEM CSL_CITATION {"citationID":"0WKIeseH","properties":{"formattedCitation":"(Hofstra and Kreiner, 2020; Hammarstrom et al., 2022)","plainCitation":"(Hofstra and Kreiner, 2020; Hammarstrom et al., 2022)","noteIndex":0},"citationItems":[{"id":43,"uris":["http://zotero.org/users/17206691/items/4KFWMCN6"],"itemData":{"id":43,"type":"article-journal","abstract":"Hofstra, A.H., and Kreiner, D.C., 2020, Systems-Deposits-Commodities-Critical Minerals Table for the Earth Mapping Resources Initiative (ver. 1.1, May 2021): U.S. Geological Survey Open-File Report 2020–1042, 26 p., https://doi.org/10.3133/ofr20201042.","container-title":"U.S. Geological Survey Open-File Report 2020–1042","ISSN":"2020-1042","page":"26","title":"Mineral Resources Program Systems-Deposits-Commodities-Critical Minerals Table for the Earth Mapping Resources Initiative (ver. 1.1, May 2021)","author":[{"family":"Hofstra","given":"Albert H."},{"family":"Kreiner","given":"Douglas C."}],"issued":{"date-parts":[["2020"]]}}},{"id":199,"uris":["http://zotero.org/users/17206691/items/43U3535V"],"itemData":{"id":199,"type":"report","abstract":"In response to a need for information on potential domestic sources of critical minerals, the Earth Mapping Resources Initiative (Earth MRI) was established to identify and prioritize areas for acquisition of new geologic mapping, geophysical data, and elevation data to improve our knowledge of the geologic framework of the United States. Phase 1 of Earth MRI concentrated on those geologic terranes favorable for hosting the rare earth elements (REEs). Phase 2 continued to address the REEs and also identified focus areas for potential domestic sources of 10 more of the 35 critical minerals on the U.S. critical minerals list (aluminum, cobalt, graphite, lithium, niobium, platinum-group elements, tantalum, tin, titanium, tungsten). This report describes the methodology, data sources, and summary results for mineral systems that host these 11 critical minerals in the conterminous United States, Hawaii, and Puerto Rico; Alaska is covered in a separate report. The mineral systems framework adopted...","genre":"Open-File Report","language":"en","note":"ISSN: 2331-1258\ncontainer-title: Open-File Report\nDOI: 10.3133/ofr20191023B","number":"2019-1023-B Version 1.1","publisher":"U.S. Geological Survey","source":"pubs.usgs.gov","title":"Focus areas for data acquisition for potential domestic resources of 11 critical minerals in the conterminous United States, Hawaii, and Puerto Rico—Aluminum, cobalt, graphite, lithium, niobium, platinum-group elements, rare earth elements, tantalum, tin, titanium, and tungsten","URL":"https://pubs.usgs.gov/publication/ofr20191023B","author":[{"family":"Hammarstrom","given":"Jane M."},{"family":"Dicken","given":"Connie"},{"family":"Day","given":"Warren C."},{"family":"Hofstra","given":"Albert H."},{"family":"Drenth","given":"Benjamin J."},{"family":"Shah","given":"Anjana K."},{"family":"McCafferty","given":"Anne E."},{"family":"Woodruff","given":"Laurel G."},{"family":"Foley","given":"Nora K."},{"family":"Ponce","given":"David A."},{"family":"Frost","given":"Thomas P."},{"family":"Stillings","given":"Lisa L."}],"accessed":{"date-parts":[["2025",5,21]]},"issued":{"date-parts":[["2022"]]}}}],"schema":"https://github.com/citation-style-language/schema/raw/master/csl-citation.json"} </w:instrText>
      </w:r>
      <w:r w:rsidRPr="00FA4EF4">
        <w:fldChar w:fldCharType="separate"/>
      </w:r>
      <w:r w:rsidRPr="00FA4EF4">
        <w:t>(Hofstra and Kreiner, 2020; Hammarstrom et al., 2022)</w:t>
      </w:r>
      <w:r w:rsidRPr="00FA4EF4">
        <w:fldChar w:fldCharType="end"/>
      </w:r>
      <w:r w:rsidRPr="00FA4EF4">
        <w:t xml:space="preserve">. The lenticular to tabular hubnerite-bearing veins are hosted in granodiorite of the </w:t>
      </w:r>
      <w:r w:rsidR="007154E9" w:rsidRPr="00FA4EF4">
        <w:t>Neoproterozoic</w:t>
      </w:r>
      <w:r w:rsidR="009E7305" w:rsidRPr="009E7305">
        <w:t xml:space="preserve"> </w:t>
      </w:r>
      <w:r w:rsidR="009E7305" w:rsidRPr="00FA4EF4">
        <w:t>Vance County</w:t>
      </w:r>
      <w:r w:rsidR="009E7305">
        <w:t xml:space="preserve"> </w:t>
      </w:r>
      <w:r w:rsidR="009E7305" w:rsidRPr="00FA4EF4">
        <w:t xml:space="preserve">pluton and to a lesser extent in adjacent phyllitic rock of the Aaron Formation </w:t>
      </w:r>
      <w:r w:rsidR="009E7305" w:rsidRPr="00FA4EF4">
        <w:rPr>
          <w:color w:val="FF0000"/>
        </w:rPr>
        <w:fldChar w:fldCharType="begin"/>
      </w:r>
      <w:r w:rsidR="009E7305" w:rsidRPr="00FA4EF4">
        <w:rPr>
          <w:color w:val="FF0000"/>
        </w:rPr>
        <w:instrText xml:space="preserve"> ADDIN ZOTERO_ITEM CSL_CITATION {"citationID":"2OZsPozG","properties":{"formattedCitation":"(Espenshade, 1945; Horton et al., 2022)","plainCitation":"(Espenshade, 1945; Horton et al., 2022)","noteIndex":0},"citationItems":[{"id":193,"uris":["http://zotero.org/users/17206691/items/7S2FUXPD"],"itemData":{"id":193,"type":"report","collection-title":"Bulletin","language":"en","number":"948-A","page":"1-17","source":"Zotero","title":"Tungsten Deposits of Vance County North Carolina, and Mecklenburg County, Virginia","author":[{"family":"Espenshade","given":"G.H."}],"issued":{"date-parts":[["1945"]]}}},{"id":205,"uris":["http://zotero.org/users/17206691/items/BVQSJTQP"],"itemData":{"id":205,"type":"report","abstract":"This 1:100,000-scale geologic map of the South Boston 30’ × 60’ quadrangle, Virginia and North Carolina, provides geologic information for the Piedmont along the I–85 and U.S. Route 58 corridors and in the Roanoke River watershed, which includes the John H. Kerr Reservoir and Lake Gaston. The Raleigh terrane (located on the eastern side of the map) contains Neoproterozoic to early Paleozoic(?) polydeformed, amphibolite-facies gneisses and schists. The Carolina slate belt of the Carolina terrane (located in the central part of the map) contains Neoproterozoic metavolcanic and metasedimentary rocks at greenschist facies. Although locally complicated, the slate-belt structure mapped across the South Boston map area is generally a broad, complex anticlinorium of the Hyco Formation (here called the Chase City anticlinorium) and is flanked to the west and east by synclinoria, which are cored by the overlying Aaron and Virgilina Formations. The western flank of the Carolina terrane (located in...","collection-title":"Scientific Investigations","language":"en","note":"ISSN: 2329-132X\ncontainer-title: Scientific Investigations Map\nDOI: 10.3133/sim3483","number":"Map 3483","publisher":"U.S. Geological Survey","source":"pubs.usgs.gov","title":"Geologic map of the South Boston 30' × 60' quadrangle, Virginia and North Carolina","URL":"https://pubs.usgs.gov/publication/sim3483","author":[{"family":"Horton","given":"J. Wright","suffix":"Jr."},{"family":"Peper","given":"John D."},{"family":"Burton","given":"William C."},{"family":"Weems","given":"Robert E."},{"family":"Sacks","given":"Paul E."}],"accessed":{"date-parts":[["2025",5,21]]},"issued":{"date-parts":[["2022"]]}}}],"schema":"https://github.com/citation-style-language/schema/raw/master/csl-citation.json"} </w:instrText>
      </w:r>
      <w:r w:rsidR="009E7305" w:rsidRPr="00FA4EF4">
        <w:rPr>
          <w:color w:val="FF0000"/>
        </w:rPr>
        <w:fldChar w:fldCharType="separate"/>
      </w:r>
      <w:r w:rsidR="009E7305" w:rsidRPr="00FA4EF4">
        <w:t xml:space="preserve">(Espenshade, 1945; </w:t>
      </w:r>
      <w:r w:rsidR="009E7305">
        <w:t xml:space="preserve">Parker, 1963; </w:t>
      </w:r>
      <w:r w:rsidR="009E7305" w:rsidRPr="00FA4EF4">
        <w:t>Horton et al., 2022)</w:t>
      </w:r>
      <w:r w:rsidR="009E7305" w:rsidRPr="00FA4EF4">
        <w:rPr>
          <w:color w:val="FF0000"/>
        </w:rPr>
        <w:fldChar w:fldCharType="end"/>
      </w:r>
      <w:r w:rsidR="009E7305" w:rsidRPr="00FA4EF4">
        <w:t>; Figure 1). Approximately 50 of the ~90 mapped</w:t>
      </w:r>
      <w:r w:rsidR="009E7305">
        <w:t xml:space="preserve"> </w:t>
      </w:r>
      <w:r w:rsidR="009E7305" w:rsidRPr="00FA4EF4">
        <w:t xml:space="preserve">quartz veins </w:t>
      </w:r>
      <w:r w:rsidR="000650F2" w:rsidRPr="00FA4EF4">
        <w:t xml:space="preserve">contain hubnerite </w:t>
      </w:r>
      <w:r w:rsidR="000650F2" w:rsidRPr="00FA4EF4">
        <w:rPr>
          <w:color w:val="FF0000"/>
        </w:rPr>
        <w:fldChar w:fldCharType="begin"/>
      </w:r>
      <w:r w:rsidR="000650F2" w:rsidRPr="00FA4EF4">
        <w:rPr>
          <w:color w:val="FF0000"/>
        </w:rPr>
        <w:instrText xml:space="preserve"> ADDIN ZOTERO_ITEM CSL_CITATION {"citationID":"rludF31M","properties":{"formattedCitation":"(Chaumba et al., 2015)","plainCitation":"(Chaumba et al., 2015)","dontUpdate":true,"noteIndex":0},"citationItems":[{"id":66,"uris":["http://zotero.org/users/17206691/items/6QNQWHMF"],"itemData":{"id":66,"type":"article-journal","abstract":"The Hamme (Tungsten Queen) mine, Vance County, N.C., was worked for wol-framite-huebnerite and it also produced minor amounts of sulfides (copper and silver). At this deposit, there are about 1 million metric tons of quartz-dominated tailings containing about 0.25% WO 3 , with accessory fluorite and very minor sulfides-mostly ga-lena with accessory silver concentrations. We undertook a petrographic and mineral composition study of the huebnerite, galena, and chalcopyrite to help place constrains on the origin of the deposit. Under the microscope, huebnerite shows zoning which is not reflected in the chemistry of the mineral. All minerals investigated have concentrations which show very limited compositional ranges. Huebnerite is strongly enriched in WO 3 (73.5-75.5 wt.%), MnWO 4 (97.3-99.7%), and Mn (1.037-1.065 atoms per formula unit, apfu) but is depleted in Fe 2+ (0.040-0.029 apfu). Sulfide mineralogy is composed of galena with concentrations of Pb (83.0-85.8 wt.%) and S (13.2-13.9 wt.%), and chalcopyrite with concentrations of Cu (33.8-38.2 wt.%), Fe (29.7-29.9 wt.%), and S (34.5-34.6 wt.%). Sulfur concentrations of galena in Hamme (Tungsten Queen) deposit are comparable to other lead deposits elsewhere. Coarser-grained and anhedral gale-nas have slightly higher Pb concentrations than those which occur either as rims to huebnerites or as 'intercumulus phases' between huebnerites. Hamme (Tungsten Queen) deposit huebnerite compositions reported here are comparable (although slightly enriched in Mn but depleted in Fe 2+) to other huebnerite deposits such as Round Mountain in Nevada and some huebnerites from Portugal. Compared to other wolfram-ite deposits, the Hamme (Tungsten Queen) deposit is more depleted in Fe 2+ and highly enriched in MnWO 4 , an indication of a lack of substitution of its Mn by other cations. Based on findings from this study, it is concluded that Hamme (Tungsten Queen) deposit huebnerites were formed early in the history of formation of the deposit and were little affected by a later hydrothermal event that affected the district. Galena inclusions in huebnerites and coarser-grained galenas, which are comprised of slightly higher Pb concentrations, are interpreted to be primary , likely formed at the time of formation of the enclosing huebnerites, than galenas which occur as 'intercumulus' grains and are also slightly depleted in Pb. These latter galena crystals likely formed later, probably during metamorphism and associated hy-drothermal alteration.","container-title":"Southeastern Geology","issue":"1","page":"33-49","title":"Hamme (Tungsten Queen) Mine Tailings, Vance County, North Carolina: Mineral chemistry of Potentially Recoverable Huebnerite-Wolframite and Sulfide Minerals","volume":"51","author":[{"family":"Chaumba","given":"Jeff B"},{"family":"Reid","given":"Jeffrey C"},{"family":"Parker","given":"Johnathon C"}],"issued":{"date-parts":[["2015"]]}}}],"schema":"https://github.com/citation-style-language/schema/raw/master/csl-citation.json"} </w:instrText>
      </w:r>
      <w:r w:rsidR="000650F2" w:rsidRPr="00FA4EF4">
        <w:rPr>
          <w:color w:val="FF0000"/>
        </w:rPr>
        <w:fldChar w:fldCharType="separate"/>
      </w:r>
      <w:r w:rsidR="000650F2" w:rsidRPr="00FA4EF4">
        <w:t>(Chaumba et al., 2015</w:t>
      </w:r>
      <w:r w:rsidR="000650F2" w:rsidRPr="00FA4EF4">
        <w:rPr>
          <w:color w:val="FF0000"/>
        </w:rPr>
        <w:fldChar w:fldCharType="end"/>
      </w:r>
      <w:r w:rsidR="000650F2" w:rsidRPr="00FA4EF4">
        <w:rPr>
          <w:color w:val="FF0000"/>
        </w:rPr>
        <w:t xml:space="preserve"> </w:t>
      </w:r>
      <w:r w:rsidR="000650F2" w:rsidRPr="00FA4EF4">
        <w:t>and references therein), and the</w:t>
      </w:r>
      <w:r w:rsidR="000650F2">
        <w:t xml:space="preserve"> </w:t>
      </w:r>
      <w:r w:rsidR="000650F2" w:rsidRPr="00FA4EF4">
        <w:t xml:space="preserve">granodiorite-hosted veins </w:t>
      </w:r>
      <w:r w:rsidR="000650F2">
        <w:t xml:space="preserve">have more mineralization </w:t>
      </w:r>
      <w:r w:rsidR="000650F2" w:rsidRPr="00FA4EF4">
        <w:t xml:space="preserve">than those hosted in the phyllite </w:t>
      </w:r>
      <w:r w:rsidR="000650F2" w:rsidRPr="00FA4EF4">
        <w:fldChar w:fldCharType="begin"/>
      </w:r>
      <w:r w:rsidR="000650F2" w:rsidRPr="00FA4EF4">
        <w:instrText xml:space="preserve"> ADDIN ZOTERO_ITEM CSL_CITATION {"citationID":"TaQQsFdj","properties":{"formattedCitation":"(Espenshade, 1945)","plainCitation":"(Espenshade, 1945)","noteIndex":0},"citationItems":[{"id":193,"uris":["http://zotero.org/users/17206691/items/7S2FUXPD"],"itemData":{"id":193,"type":"report","collection-title":"Bulletin","language":"en","number":"948-A","page":"1-17","source":"Zotero","title":"Tungsten Deposits of Vance County North Carolina, and Mecklenburg County, Virginia","author":[{"family":"Espenshade","given":"G.H."}],"issued":{"date-parts":[["1945"]]}}}],"schema":"https://github.com/citation-style-language/schema/raw/master/csl-citation.json"} </w:instrText>
      </w:r>
      <w:r w:rsidR="000650F2" w:rsidRPr="00FA4EF4">
        <w:fldChar w:fldCharType="separate"/>
      </w:r>
      <w:r w:rsidR="000650F2" w:rsidRPr="00FA4EF4">
        <w:t>(Espenshade, 1945)</w:t>
      </w:r>
      <w:r w:rsidR="000650F2" w:rsidRPr="00FA4EF4">
        <w:fldChar w:fldCharType="end"/>
      </w:r>
      <w:r w:rsidR="000650F2">
        <w:t xml:space="preserve">. </w:t>
      </w:r>
      <w:r w:rsidR="000650F2" w:rsidRPr="00FA4EF4">
        <w:t>The veins</w:t>
      </w:r>
      <w:r w:rsidR="002C492A">
        <w:t xml:space="preserve"> </w:t>
      </w:r>
      <w:r w:rsidR="00C30FAF" w:rsidRPr="00FA4EF4">
        <w:t xml:space="preserve">are hydrothermal in origin and </w:t>
      </w:r>
      <w:r w:rsidR="00C30FAF">
        <w:t xml:space="preserve">subsequently </w:t>
      </w:r>
      <w:r w:rsidR="00C30FAF" w:rsidRPr="00FA4EF4">
        <w:t>under</w:t>
      </w:r>
      <w:r w:rsidR="00C30FAF">
        <w:t>went</w:t>
      </w:r>
      <w:r w:rsidR="00C30FAF" w:rsidRPr="00FA4EF4">
        <w:t xml:space="preserve"> amphibolite facies-grade</w:t>
      </w:r>
      <w:r w:rsidR="00C30FAF">
        <w:t xml:space="preserve"> </w:t>
      </w:r>
      <w:r w:rsidR="00C30FAF" w:rsidRPr="00FA4EF4">
        <w:t xml:space="preserve">metamorphism </w:t>
      </w:r>
      <w:r w:rsidR="009E7305" w:rsidRPr="00FA4EF4">
        <w:fldChar w:fldCharType="begin"/>
      </w:r>
      <w:r w:rsidR="009E7305" w:rsidRPr="00FA4EF4">
        <w:instrText xml:space="preserve"> ADDIN ZOTERO_ITEM CSL_CITATION {"citationID":"6T6GoG78","properties":{"formattedCitation":"(Foose and Slack John F., 1978; Casadevall and Rye, 1980)","plainCitation":"(Foose and Slack John F., 1978; Casadevall and Rye, 1980)","noteIndex":0},"citationItems":[{"id":81,"uris":["http://zotero.org/users/17206691/items/MIQR35SC"],"itemData":{"id":81,"type":"document","note":"page: 1-34\ncontainer-title: U.S. Geological Survey Open-File Report 78-427","title":"Premetamorphic Hydrothermal Origin of the Tungsten Queen Vein, Hamme District, North Carolina, as Indicated by Mineral Textures and Minor Structures","author":[{"family":"Foose","given":"Michael P."},{"literal":"Slack John F."}],"issued":{"date-parts":[["1978"]]}}},{"id":72,"uris":["http://zotero.org/users/17206691/items/KJNRUKK2"],"itemData":{"id":72,"type":"article-journal","abstract":"The Tungsten Queen mine, Vance County, North Carolina, is a large quartz-huebnerite vein deposit of late Precambrian or early Paleozoic age that has undergone middle Paleozoic regional metamorphism of amphibolite grade. The preservation of large banded huebnerite crystals and the low 8t80 values in the vein minerals and wall rocks indicate a premetamorphic hydrothermal origin for the •ein which involves meteoric waters. Quartz-sericite oxygen isotope distributions in the vein and wall rocks indicate metamorphic temperatures of 550ø+ 50øC. All other isotope distributions except possibly those for hydrogen appear to reflect primary hydrothermal distributions that were not significantly disturbed by the metamorphic event. The stable isotope systematics of the vein are remarkably similar to those of younger huebnerite/wolframite-quartz veins associated with shallow intrusions in orogenic belts. Sulfur isotope fractionations among coexisting sulfides in two mineral assemblages may indicate primary mineralization temperatures of about 260 ø and 320øC. The hydrothermal sulfur was derived from a deep-seated source. The carbon isotope data suggest that a sedimentary organic component was present in the fluids during carbonate deposition. Except for reequilibration between coexisting quartz and sericite, the xsO systematics of the vein minerals appear to reflect primary hydrothermal distributions and indicate that the vein was largely a closed system during metamorphism. Hydrous minerals and waters in fluid inclusions in the vein minerals show nearly a 50 per mil range in 8D values which may also reflect primary variations in the hydrothermal vein system.","container-title":"Economic Geology","page":"523-537","title":"The Tungsten Queen Deposit, Hamme District, Vance County, North Carolina: A Stable Isotope Study of a Metamorphosed Quartz-Huebnerite Vein","volume":"75","author":[{"family":"Casadevall","given":"Tom"},{"family":"Rye","given":"Robert O."}],"issued":{"date-parts":[["1980"]]}}}],"schema":"https://github.com/citation-style-language/schema/raw/master/csl-citation.json"} </w:instrText>
      </w:r>
      <w:r w:rsidR="009E7305" w:rsidRPr="00FA4EF4">
        <w:fldChar w:fldCharType="separate"/>
      </w:r>
      <w:r w:rsidR="009E7305" w:rsidRPr="00FA4EF4">
        <w:t>(Foose and Slac</w:t>
      </w:r>
      <w:r w:rsidR="000C0C18">
        <w:t>k</w:t>
      </w:r>
      <w:r w:rsidR="009E7305" w:rsidRPr="00FA4EF4">
        <w:t>, 1978; Casadevall and Rye, 1980)</w:t>
      </w:r>
      <w:r w:rsidR="009E7305" w:rsidRPr="00FA4EF4">
        <w:fldChar w:fldCharType="end"/>
      </w:r>
      <w:r w:rsidR="009E7305" w:rsidRPr="00FA4EF4">
        <w:t xml:space="preserve">. </w:t>
      </w:r>
      <w:r w:rsidR="00E8477F" w:rsidRPr="00E8477F">
        <w:t xml:space="preserve">Horton et.al. (2022) proposed that the veins are of Mississippian age (ca. 358.9 - 323.2 </w:t>
      </w:r>
      <w:r w:rsidR="00E8477F">
        <w:t>M</w:t>
      </w:r>
      <w:r w:rsidR="00E8477F" w:rsidRPr="00E8477F">
        <w:t xml:space="preserve">a) and </w:t>
      </w:r>
      <w:r w:rsidR="00303038">
        <w:t xml:space="preserve">were </w:t>
      </w:r>
      <w:r w:rsidR="00E8477F" w:rsidRPr="00E8477F">
        <w:t xml:space="preserve">metamorphosed to amphibolite grade conditions during the Alleghenian Orogeny (320-280 ma), but they also acknowledge that a significant, older metamorphic </w:t>
      </w:r>
      <w:r w:rsidR="00D34569">
        <w:t>event</w:t>
      </w:r>
      <w:r w:rsidR="00E8477F" w:rsidRPr="00E8477F">
        <w:t xml:space="preserve"> also occurred in this region of the Carolina Terrane. </w:t>
      </w:r>
      <w:r w:rsidR="009E7305" w:rsidRPr="00FA4EF4">
        <w:t>The most hubnerite-</w:t>
      </w:r>
      <w:r w:rsidR="00BB0D08" w:rsidRPr="00FA4EF4">
        <w:t xml:space="preserve">rich veins are concentrated in </w:t>
      </w:r>
      <w:r w:rsidR="00260487" w:rsidRPr="00FA4EF4">
        <w:t>a</w:t>
      </w:r>
      <w:r w:rsidR="00B846DE" w:rsidRPr="00FA4EF4">
        <w:t>n ~</w:t>
      </w:r>
      <w:r w:rsidR="00E04DAB">
        <w:t>3</w:t>
      </w:r>
      <w:r w:rsidR="00B846DE" w:rsidRPr="00FA4EF4">
        <w:t xml:space="preserve"> </w:t>
      </w:r>
      <w:r w:rsidR="00E04DAB">
        <w:t>km-</w:t>
      </w:r>
      <w:r w:rsidR="00B846DE" w:rsidRPr="00FA4EF4">
        <w:t xml:space="preserve">long, </w:t>
      </w:r>
      <w:r w:rsidR="007D733B">
        <w:t>0.5 km</w:t>
      </w:r>
      <w:r w:rsidR="00B846DE" w:rsidRPr="00FA4EF4">
        <w:t>-wide zone in the central portion of the district</w:t>
      </w:r>
      <w:r w:rsidR="007D21BE">
        <w:t>,</w:t>
      </w:r>
      <w:r w:rsidR="00B25A42" w:rsidRPr="00FA4EF4">
        <w:t xml:space="preserve"> </w:t>
      </w:r>
      <w:r w:rsidR="003C5D6F" w:rsidRPr="00FA4EF4">
        <w:t>with the most important being the Tungsten Queen vein</w:t>
      </w:r>
      <w:r w:rsidR="002C720C" w:rsidRPr="00FA4EF4">
        <w:t xml:space="preserve"> </w:t>
      </w:r>
      <w:r w:rsidR="002C720C" w:rsidRPr="00FA4EF4">
        <w:fldChar w:fldCharType="begin"/>
      </w:r>
      <w:r w:rsidR="002C720C" w:rsidRPr="00FA4EF4">
        <w:instrText xml:space="preserve"> ADDIN ZOTERO_ITEM CSL_CITATION {"citationID":"CXQ3rJC3","properties":{"formattedCitation":"(Feiss et al., 1991)","plainCitation":"(Feiss et al., 1991)","noteIndex":0},"citationItems":[{"id":218,"uris":["http://zotero.org/users/17206691/items/6PVVACJG"],"itemData":{"id":218,"type":"chapter","container-title":"The Geology of the Carolinas","page":"319-345","publisher":"The University of Tennessee Press","title":"Mineral Resources of the Carolinas","author":[{"family":"Feiss","given":"Geoffrey"},{"family":"Maybin","given":"Arthur H.","suffix":"III"},{"family":"Riggs","given":"Stanley R."},{"family":"Grosz","given":"Andrew E."}],"editor":[{"family":"Horton","given":"J. Wright","suffix":"Jr."},{"family":"Zullo","given":"Victor A."}],"issued":{"date-parts":[["1991"]]}}}],"schema":"https://github.com/citation-style-language/schema/raw/master/csl-citation.json"} </w:instrText>
      </w:r>
      <w:r w:rsidR="002C720C" w:rsidRPr="00FA4EF4">
        <w:fldChar w:fldCharType="separate"/>
      </w:r>
      <w:r w:rsidR="002C720C" w:rsidRPr="00FA4EF4">
        <w:t>(</w:t>
      </w:r>
      <w:r w:rsidR="007D21BE" w:rsidRPr="00FA4EF4">
        <w:t>(Espenshade, 1945</w:t>
      </w:r>
      <w:r w:rsidR="007D21BE">
        <w:t xml:space="preserve">; </w:t>
      </w:r>
      <w:r w:rsidR="002C720C" w:rsidRPr="00FA4EF4">
        <w:t>Feiss et al., 1991)</w:t>
      </w:r>
      <w:r w:rsidR="002C720C" w:rsidRPr="00FA4EF4">
        <w:fldChar w:fldCharType="end"/>
      </w:r>
      <w:r w:rsidR="00B846DE" w:rsidRPr="00FA4EF4">
        <w:t>.</w:t>
      </w:r>
      <w:r w:rsidR="0062697F" w:rsidRPr="00FA4EF4">
        <w:t xml:space="preserve"> </w:t>
      </w:r>
      <w:r w:rsidR="00674854" w:rsidRPr="00FA4EF4">
        <w:t xml:space="preserve">The </w:t>
      </w:r>
      <w:r w:rsidR="00036FD5" w:rsidRPr="00FA4EF4">
        <w:t>Tungsten Queen</w:t>
      </w:r>
      <w:r w:rsidR="00674854" w:rsidRPr="00FA4EF4">
        <w:t xml:space="preserve"> vein</w:t>
      </w:r>
      <w:r w:rsidR="009A7E05" w:rsidRPr="00FA4EF4">
        <w:t xml:space="preserve"> is ~3,000 m long</w:t>
      </w:r>
      <w:r w:rsidR="00A47F02" w:rsidRPr="00FA4EF4">
        <w:t xml:space="preserve"> an</w:t>
      </w:r>
      <w:r w:rsidR="00DC0EB9" w:rsidRPr="00FA4EF4">
        <w:t>d ranges from</w:t>
      </w:r>
      <w:r w:rsidR="00A47F02" w:rsidRPr="00FA4EF4">
        <w:t xml:space="preserve"> &lt;1 m to</w:t>
      </w:r>
      <w:r w:rsidR="00DC0EB9" w:rsidRPr="00FA4EF4">
        <w:t xml:space="preserve"> 10 m</w:t>
      </w:r>
      <w:r w:rsidR="009A2B86" w:rsidRPr="00FA4EF4">
        <w:t xml:space="preserve"> wide</w:t>
      </w:r>
      <w:r w:rsidR="00DC0EB9" w:rsidRPr="00FA4EF4">
        <w:t>,</w:t>
      </w:r>
      <w:r w:rsidR="009A7E05" w:rsidRPr="00FA4EF4">
        <w:t xml:space="preserve"> striking </w:t>
      </w:r>
      <w:r w:rsidR="00DC0EB9" w:rsidRPr="00FA4EF4">
        <w:t>N35E</w:t>
      </w:r>
      <w:r w:rsidR="009A7E05" w:rsidRPr="00FA4EF4">
        <w:t xml:space="preserve"> </w:t>
      </w:r>
      <w:r w:rsidR="00DC0EB9" w:rsidRPr="00FA4EF4">
        <w:t xml:space="preserve">and dipping </w:t>
      </w:r>
      <w:r w:rsidR="00991B0B" w:rsidRPr="00FA4EF4">
        <w:t>eastward at 70 to 90</w:t>
      </w:r>
      <w:r w:rsidR="00991B0B" w:rsidRPr="00FA4EF4">
        <w:rPr>
          <w:vertAlign w:val="superscript"/>
        </w:rPr>
        <w:t>o</w:t>
      </w:r>
      <w:r w:rsidR="00933F41" w:rsidRPr="00FA4EF4">
        <w:t xml:space="preserve"> </w:t>
      </w:r>
      <w:r w:rsidR="008B103D" w:rsidRPr="00FA4EF4">
        <w:fldChar w:fldCharType="begin"/>
      </w:r>
      <w:r w:rsidR="008B103D" w:rsidRPr="00FA4EF4">
        <w:instrText xml:space="preserve"> ADDIN ZOTERO_ITEM CSL_CITATION {"citationID":"flNcP4F8","properties":{"formattedCitation":"(Casadevall and Rye, 1980)","plainCitation":"(Casadevall and Rye, 1980)","noteIndex":0},"citationItems":[{"id":72,"uris":["http://zotero.org/users/17206691/items/KJNRUKK2"],"itemData":{"id":72,"type":"article-journal","abstract":"The Tungsten Queen mine, Vance County, North Carolina, is a large quartz-huebnerite vein deposit of late Precambrian or early Paleozoic age that has undergone middle Paleozoic regional metamorphism of amphibolite grade. The preservation of large banded huebnerite crystals and the low 8t80 values in the vein minerals and wall rocks indicate a premetamorphic hydrothermal origin for the •ein which involves meteoric waters. Quartz-sericite oxygen isotope distributions in the vein and wall rocks indicate metamorphic temperatures of 550ø+ 50øC. All other isotope distributions except possibly those for hydrogen appear to reflect primary hydrothermal distributions that were not significantly disturbed by the metamorphic event. The stable isotope systematics of the vein are remarkably similar to those of younger huebnerite/wolframite-quartz veins associated with shallow intrusions in orogenic belts. Sulfur isotope fractionations among coexisting sulfides in two mineral assemblages may indicate primary mineralization temperatures of about 260 ø and 320øC. The hydrothermal sulfur was derived from a deep-seated source. The carbon isotope data suggest that a sedimentary organic component was present in the fluids during carbonate deposition. Except for reequilibration between coexisting quartz and sericite, the xsO systematics of the vein minerals appear to reflect primary hydrothermal distributions and indicate that the vein was largely a closed system during metamorphism. Hydrous minerals and waters in fluid inclusions in the vein minerals show nearly a 50 per mil range in 8D values which may also reflect primary variations in the hydrothermal vein system.","container-title":"Economic Geology","page":"523-537","title":"The Tungsten Queen Deposit, Hamme District, Vance County, North Carolina: A Stable Isotope Study of a Metamorphosed Quartz-Huebnerite Vein","volume":"75","author":[{"family":"Casadevall","given":"Tom"},{"family":"Rye","given":"Robert O."}],"issued":{"date-parts":[["1980"]]}}}],"schema":"https://github.com/citation-style-language/schema/raw/master/csl-citation.json"} </w:instrText>
      </w:r>
      <w:r w:rsidR="008B103D" w:rsidRPr="00FA4EF4">
        <w:fldChar w:fldCharType="separate"/>
      </w:r>
      <w:r w:rsidR="008B103D" w:rsidRPr="00FA4EF4">
        <w:t>(Casadevall and Rye, 1980)</w:t>
      </w:r>
      <w:r w:rsidR="008B103D" w:rsidRPr="00FA4EF4">
        <w:fldChar w:fldCharType="end"/>
      </w:r>
      <w:r w:rsidR="00991B0B" w:rsidRPr="00FA4EF4">
        <w:t>.</w:t>
      </w:r>
      <w:r w:rsidR="00F430F4" w:rsidRPr="00FA4EF4">
        <w:t xml:space="preserve"> </w:t>
      </w:r>
      <w:r w:rsidR="00F8299D" w:rsidRPr="00FA4EF4">
        <w:t xml:space="preserve">The most abundant minerals in the vein are </w:t>
      </w:r>
      <w:r w:rsidR="00A76F6E" w:rsidRPr="00FA4EF4">
        <w:t xml:space="preserve">quartz (92%), </w:t>
      </w:r>
      <w:r w:rsidR="00EE6ADA" w:rsidRPr="00FA4EF4">
        <w:t>sericite (3</w:t>
      </w:r>
      <w:r w:rsidR="00001D36" w:rsidRPr="00FA4EF4">
        <w:t xml:space="preserve">%), fluorite </w:t>
      </w:r>
      <w:r w:rsidR="00D57572" w:rsidRPr="00FA4EF4">
        <w:t xml:space="preserve">(1%), </w:t>
      </w:r>
      <w:r w:rsidR="0026490A" w:rsidRPr="00FA4EF4">
        <w:t>hubnerite</w:t>
      </w:r>
      <w:r w:rsidR="00D57572" w:rsidRPr="00FA4EF4">
        <w:t xml:space="preserve"> (&lt;0.5%), and pyrite (</w:t>
      </w:r>
      <w:r w:rsidR="00572A15" w:rsidRPr="00FA4EF4">
        <w:t>&lt;0.5%</w:t>
      </w:r>
      <w:r w:rsidR="00F430F4" w:rsidRPr="00FA4EF4">
        <w:t>;</w:t>
      </w:r>
      <w:r w:rsidR="008B103D" w:rsidRPr="00FA4EF4">
        <w:fldChar w:fldCharType="begin"/>
      </w:r>
      <w:r w:rsidR="002C720C" w:rsidRPr="00FA4EF4">
        <w:instrText xml:space="preserve"> ADDIN ZOTERO_ITEM CSL_CITATION {"citationID":"zHAadokq","properties":{"formattedCitation":"(Casadevall and Rye, 1980)","plainCitation":"(Casadevall and Rye, 1980)","dontUpdate":true,"noteIndex":0},"citationItems":[{"id":72,"uris":["http://zotero.org/users/17206691/items/KJNRUKK2"],"itemData":{"id":72,"type":"article-journal","abstract":"The Tungsten Queen mine, Vance County, North Carolina, is a large quartz-huebnerite vein deposit of late Precambrian or early Paleozoic age that has undergone middle Paleozoic regional metamorphism of amphibolite grade. The preservation of large banded huebnerite crystals and the low 8t80 values in the vein minerals and wall rocks indicate a premetamorphic hydrothermal origin for the •ein which involves meteoric waters. Quartz-sericite oxygen isotope distributions in the vein and wall rocks indicate metamorphic temperatures of 550ø+ 50øC. All other isotope distributions except possibly those for hydrogen appear to reflect primary hydrothermal distributions that were not significantly disturbed by the metamorphic event. The stable isotope systematics of the vein are remarkably similar to those of younger huebnerite/wolframite-quartz veins associated with shallow intrusions in orogenic belts. Sulfur isotope fractionations among coexisting sulfides in two mineral assemblages may indicate primary mineralization temperatures of about 260 ø and 320øC. The hydrothermal sulfur was derived from a deep-seated source. The carbon isotope data suggest that a sedimentary organic component was present in the fluids during carbonate deposition. Except for reequilibration between coexisting quartz and sericite, the xsO systematics of the vein minerals appear to reflect primary hydrothermal distributions and indicate that the vein was largely a closed system during metamorphism. Hydrous minerals and waters in fluid inclusions in the vein minerals show nearly a 50 per mil range in 8D values which may also reflect primary variations in the hydrothermal vein system.","container-title":"Economic Geology","page":"523-537","title":"The Tungsten Queen Deposit, Hamme District, Vance County, North Carolina: A Stable Isotope Study of a Metamorphosed Quartz-Huebnerite Vein","volume":"75","author":[{"family":"Casadevall","given":"Tom"},{"family":"Rye","given":"Robert O."}],"issued":{"date-parts":[["1980"]]}}}],"schema":"https://github.com/citation-style-language/schema/raw/master/csl-citation.json"} </w:instrText>
      </w:r>
      <w:r w:rsidR="008B103D" w:rsidRPr="00FA4EF4">
        <w:fldChar w:fldCharType="separate"/>
      </w:r>
      <w:r w:rsidR="008B103D" w:rsidRPr="00FA4EF4">
        <w:t xml:space="preserve"> Casadevall and Rye, 1980</w:t>
      </w:r>
      <w:r w:rsidR="008B103D" w:rsidRPr="00FA4EF4">
        <w:fldChar w:fldCharType="end"/>
      </w:r>
      <w:r w:rsidR="00572A15" w:rsidRPr="00FA4EF4">
        <w:t xml:space="preserve">). Additional minerals reported in trace </w:t>
      </w:r>
      <w:r w:rsidR="006340A4" w:rsidRPr="00FA4EF4">
        <w:t xml:space="preserve">quantities are listed in Table </w:t>
      </w:r>
      <w:r w:rsidR="00DC394E" w:rsidRPr="00FA4EF4">
        <w:t>1</w:t>
      </w:r>
      <w:r w:rsidR="006340A4" w:rsidRPr="00FA4EF4">
        <w:t>.</w:t>
      </w:r>
      <w:r w:rsidR="00F430F4" w:rsidRPr="00FA4EF4">
        <w:t xml:space="preserve"> </w:t>
      </w:r>
      <w:r w:rsidR="0026490A" w:rsidRPr="00FA4EF4">
        <w:t>Hubnerite</w:t>
      </w:r>
      <w:r w:rsidR="00F430F4" w:rsidRPr="00FA4EF4">
        <w:t xml:space="preserve"> is the principal tungsten ore, although scheelite is also present in quantities of &lt;0.1% (</w:t>
      </w:r>
      <w:r w:rsidR="0064260E" w:rsidRPr="00FA4EF4">
        <w:t>e.g.,</w:t>
      </w:r>
      <w:r w:rsidR="008B103D" w:rsidRPr="00FA4EF4">
        <w:t xml:space="preserve"> </w:t>
      </w:r>
      <w:r w:rsidR="008B103D" w:rsidRPr="00FA4EF4">
        <w:fldChar w:fldCharType="begin"/>
      </w:r>
      <w:r w:rsidR="002C720C" w:rsidRPr="00FA4EF4">
        <w:instrText xml:space="preserve"> ADDIN ZOTERO_ITEM CSL_CITATION {"citationID":"nqrC5f2A","properties":{"formattedCitation":"(Casadevall and Rye, 1980)","plainCitation":"(Casadevall and Rye, 1980)","dontUpdate":true,"noteIndex":0},"citationItems":[{"id":72,"uris":["http://zotero.org/users/17206691/items/KJNRUKK2"],"itemData":{"id":72,"type":"article-journal","abstract":"The Tungsten Queen mine, Vance County, North Carolina, is a large quartz-huebnerite vein deposit of late Precambrian or early Paleozoic age that has undergone middle Paleozoic regional metamorphism of amphibolite grade. The preservation of large banded huebnerite crystals and the low 8t80 values in the vein minerals and wall rocks indicate a premetamorphic hydrothermal origin for the •ein which involves meteoric waters. Quartz-sericite oxygen isotope distributions in the vein and wall rocks indicate metamorphic temperatures of 550ø+ 50øC. All other isotope distributions except possibly those for hydrogen appear to reflect primary hydrothermal distributions that were not significantly disturbed by the metamorphic event. The stable isotope systematics of the vein are remarkably similar to those of younger huebnerite/wolframite-quartz veins associated with shallow intrusions in orogenic belts. Sulfur isotope fractionations among coexisting sulfides in two mineral assemblages may indicate primary mineralization temperatures of about 260 ø and 320øC. The hydrothermal sulfur was derived from a deep-seated source. The carbon isotope data suggest that a sedimentary organic component was present in the fluids during carbonate deposition. Except for reequilibration between coexisting quartz and sericite, the xsO systematics of the vein minerals appear to reflect primary hydrothermal distributions and indicate that the vein was largely a closed system during metamorphism. Hydrous minerals and waters in fluid inclusions in the vein minerals show nearly a 50 per mil range in 8D values which may also reflect primary variations in the hydrothermal vein system.","container-title":"Economic Geology","page":"523-537","title":"The Tungsten Queen Deposit, Hamme District, Vance County, North Carolina: A Stable Isotope Study of a Metamorphosed Quartz-Huebnerite Vein","volume":"75","author":[{"family":"Casadevall","given":"Tom"},{"family":"Rye","given":"Robert O."}],"issued":{"date-parts":[["1980"]]}}}],"schema":"https://github.com/citation-style-language/schema/raw/master/csl-citation.json"} </w:instrText>
      </w:r>
      <w:r w:rsidR="008B103D" w:rsidRPr="00FA4EF4">
        <w:fldChar w:fldCharType="separate"/>
      </w:r>
      <w:r w:rsidR="008B103D" w:rsidRPr="00FA4EF4">
        <w:t>Casadevall and Rye, 1980)</w:t>
      </w:r>
      <w:r w:rsidR="008B103D" w:rsidRPr="00FA4EF4">
        <w:fldChar w:fldCharType="end"/>
      </w:r>
      <w:r w:rsidR="00F430F4" w:rsidRPr="00FA4EF4">
        <w:t>.</w:t>
      </w:r>
      <w:r w:rsidR="00537285" w:rsidRPr="00FA4EF4">
        <w:t xml:space="preserve"> </w:t>
      </w:r>
    </w:p>
    <w:p w14:paraId="055F6CAD" w14:textId="2575EB44" w:rsidR="004B0257" w:rsidRDefault="00537E6F" w:rsidP="002C492A">
      <w:r w:rsidRPr="00FA4EF4">
        <w:t>Tungsten</w:t>
      </w:r>
      <w:r w:rsidR="00791B48" w:rsidRPr="00FA4EF4">
        <w:t xml:space="preserve"> </w:t>
      </w:r>
      <w:r w:rsidR="00464808" w:rsidRPr="00FA4EF4">
        <w:t xml:space="preserve">minerals were discovered in what would become the Hamme </w:t>
      </w:r>
      <w:r w:rsidR="00401589" w:rsidRPr="00FA4EF4">
        <w:t xml:space="preserve">Tungsten Mining District by brothers </w:t>
      </w:r>
      <w:r w:rsidR="00345FB1" w:rsidRPr="00FA4EF4">
        <w:t>Joseph and Richard Hamme in 1942</w:t>
      </w:r>
      <w:r w:rsidR="003707D5" w:rsidRPr="00FA4EF4">
        <w:t xml:space="preserve"> </w:t>
      </w:r>
      <w:r w:rsidR="003707D5" w:rsidRPr="00FA4EF4">
        <w:fldChar w:fldCharType="begin"/>
      </w:r>
      <w:r w:rsidR="003707D5" w:rsidRPr="00FA4EF4">
        <w:instrText xml:space="preserve"> ADDIN ZOTERO_ITEM CSL_CITATION {"citationID":"GRRV39ll","properties":{"formattedCitation":"(U.S. Department of Interior Bureau of Mines, 1944; Espenshade, 1945; Meyertons, 1975)","plainCitation":"(U.S. Department of Interior Bureau of Mines, 1944; Espenshade, 1945; Meyertons, 1975)","noteIndex":0},"citationItems":[{"id":207,"uris":["http://zotero.org/users/17206691/items/W94MVFTP"],"itemData":{"id":207,"type":"report","collection-title":"Regional File","number":"No. E-453-A","page":"1-67","title":"War Minerals Report","author":[{"literal":"U.S. Department of Interior Bureau of Mines"}],"issued":{"date-parts":[["1944"]]}}},{"id":193,"uris":["http://zotero.org/users/17206691/items/7S2FUXPD"],"itemData":{"id":193,"type":"report","collection-title":"Bulletin","language":"en","number":"948-A","page":"1-17","source":"Zotero","title":"Tungsten Deposits of Vance County North Carolina, and Mecklenburg County, Virginia","author":[{"family":"Espenshade","given":"G.H."}],"issued":{"date-parts":[["1945"]]}}},{"id":77,"uris":["http://zotero.org/users/17206691/items/B3WBRLXM"],"itemData":{"id":77,"type":"report","page":"1-11","title":"A Preliminary Estimate of Tungsten Content of Tungsten Queen Tailing for Ranchers Exploration &amp; Development Corporation","author":[{"family":"Meyertons","given":"Ralph"}],"issued":{"date-parts":[["1975"]]}}}],"schema":"https://github.com/citation-style-language/schema/raw/master/csl-citation.json"} </w:instrText>
      </w:r>
      <w:r w:rsidR="003707D5" w:rsidRPr="00FA4EF4">
        <w:fldChar w:fldCharType="separate"/>
      </w:r>
      <w:r w:rsidR="003707D5" w:rsidRPr="00FA4EF4">
        <w:t>(U.S. Department of Interior Bureau of Mines, 1944; Espenshade, 1945; Meyertons, 1975)</w:t>
      </w:r>
      <w:r w:rsidR="003707D5" w:rsidRPr="00FA4EF4">
        <w:fldChar w:fldCharType="end"/>
      </w:r>
      <w:r w:rsidR="00CC1191" w:rsidRPr="00FA4EF4">
        <w:t xml:space="preserve">. </w:t>
      </w:r>
      <w:r w:rsidR="008F6C45" w:rsidRPr="00FA4EF4">
        <w:t xml:space="preserve">The Hamme brothers mined </w:t>
      </w:r>
      <w:r w:rsidR="00A04BEC" w:rsidRPr="00FA4EF4">
        <w:t xml:space="preserve">some veins using shallow pits and shafts until </w:t>
      </w:r>
      <w:r w:rsidR="00274388" w:rsidRPr="00FA4EF4">
        <w:t>August</w:t>
      </w:r>
      <w:r w:rsidR="00E6291B" w:rsidRPr="00FA4EF4">
        <w:t xml:space="preserve"> 1943 when Ha</w:t>
      </w:r>
      <w:r w:rsidR="00014361">
        <w:t>i</w:t>
      </w:r>
      <w:r w:rsidR="00E6291B" w:rsidRPr="00FA4EF4">
        <w:t>le Mines, Inc. acquired the property</w:t>
      </w:r>
      <w:r w:rsidR="00904F82" w:rsidRPr="00FA4EF4">
        <w:t xml:space="preserve"> and began </w:t>
      </w:r>
      <w:r w:rsidR="00274388" w:rsidRPr="00FA4EF4">
        <w:t xml:space="preserve">large scale </w:t>
      </w:r>
      <w:r w:rsidR="00904F82" w:rsidRPr="00FA4EF4">
        <w:t>minin</w:t>
      </w:r>
      <w:r w:rsidR="00274388" w:rsidRPr="00FA4EF4">
        <w:t>g</w:t>
      </w:r>
      <w:r w:rsidR="00CC1191" w:rsidRPr="00FA4EF4">
        <w:t xml:space="preserve"> </w:t>
      </w:r>
      <w:r w:rsidR="00CC1191" w:rsidRPr="00FA4EF4">
        <w:fldChar w:fldCharType="begin"/>
      </w:r>
      <w:r w:rsidR="00CC1191" w:rsidRPr="00FA4EF4">
        <w:instrText xml:space="preserve"> ADDIN ZOTERO_ITEM CSL_CITATION {"citationID":"kagDYcKM","properties":{"formattedCitation":"(Espenshade, 1945)","plainCitation":"(Espenshade, 1945)","noteIndex":0},"citationItems":[{"id":193,"uris":["http://zotero.org/users/17206691/items/7S2FUXPD"],"itemData":{"id":193,"type":"report","collection-title":"Bulletin","language":"en","number":"948-A","page":"1-17","source":"Zotero","title":"Tungsten Deposits of Vance County North Carolina, and Mecklenburg County, Virginia","author":[{"family":"Espenshade","given":"G.H."}],"issued":{"date-parts":[["1945"]]}}}],"schema":"https://github.com/citation-style-language/schema/raw/master/csl-citation.json"} </w:instrText>
      </w:r>
      <w:r w:rsidR="00CC1191" w:rsidRPr="00FA4EF4">
        <w:fldChar w:fldCharType="separate"/>
      </w:r>
      <w:r w:rsidR="00CC1191" w:rsidRPr="00FA4EF4">
        <w:t>(Espenshade, 1945)</w:t>
      </w:r>
      <w:r w:rsidR="00CC1191" w:rsidRPr="00FA4EF4">
        <w:fldChar w:fldCharType="end"/>
      </w:r>
      <w:r w:rsidR="00274388" w:rsidRPr="00FA4EF4">
        <w:t>.</w:t>
      </w:r>
      <w:r w:rsidR="00953E31" w:rsidRPr="00FA4EF4">
        <w:t xml:space="preserve"> In June 1945, Ha</w:t>
      </w:r>
      <w:r w:rsidR="00C51BF3">
        <w:t>i</w:t>
      </w:r>
      <w:r w:rsidR="00953E31" w:rsidRPr="00FA4EF4">
        <w:t>le Mines</w:t>
      </w:r>
      <w:r w:rsidR="00CC3A0E" w:rsidRPr="00FA4EF4">
        <w:t>,</w:t>
      </w:r>
      <w:r w:rsidR="00953E31" w:rsidRPr="00FA4EF4">
        <w:t xml:space="preserve"> In</w:t>
      </w:r>
      <w:r w:rsidR="00CC3A0E" w:rsidRPr="00FA4EF4">
        <w:t xml:space="preserve">c., joined with General Electric Co. to form </w:t>
      </w:r>
      <w:r w:rsidR="004C5411" w:rsidRPr="00FA4EF4">
        <w:t xml:space="preserve">Tungsten Mining Corp., </w:t>
      </w:r>
      <w:r w:rsidR="00FB6796" w:rsidRPr="00FA4EF4">
        <w:t xml:space="preserve">and the </w:t>
      </w:r>
      <w:r w:rsidR="00F908E6" w:rsidRPr="00FA4EF4">
        <w:t xml:space="preserve">operations produced a combined </w:t>
      </w:r>
      <w:r w:rsidR="00EB1923">
        <w:t>21,457</w:t>
      </w:r>
      <w:r w:rsidR="002B3651" w:rsidRPr="00FA4EF4">
        <w:t xml:space="preserve"> </w:t>
      </w:r>
      <w:r w:rsidR="00EB1923">
        <w:t xml:space="preserve">t </w:t>
      </w:r>
      <w:r w:rsidR="002B3651" w:rsidRPr="00FA4EF4">
        <w:t>of WO</w:t>
      </w:r>
      <w:r w:rsidR="002B3651" w:rsidRPr="00FA4EF4">
        <w:rPr>
          <w:vertAlign w:val="subscript"/>
        </w:rPr>
        <w:t>3</w:t>
      </w:r>
      <w:r w:rsidR="002B3651" w:rsidRPr="00FA4EF4">
        <w:t xml:space="preserve"> from May 1</w:t>
      </w:r>
      <w:r w:rsidR="00E84FC0" w:rsidRPr="00FA4EF4">
        <w:t>943 to March 1946</w:t>
      </w:r>
      <w:r w:rsidR="00CC1191" w:rsidRPr="00FA4EF4">
        <w:t xml:space="preserve"> </w:t>
      </w:r>
      <w:r w:rsidR="00CC1191" w:rsidRPr="00FA4EF4">
        <w:fldChar w:fldCharType="begin"/>
      </w:r>
      <w:r w:rsidR="00CC1191" w:rsidRPr="00FA4EF4">
        <w:instrText xml:space="preserve"> ADDIN ZOTERO_ITEM CSL_CITATION {"citationID":"9SwHSCnR","properties":{"formattedCitation":"(Espenshade, 1945)","plainCitation":"(Espenshade, 1945)","noteIndex":0},"citationItems":[{"id":193,"uris":["http://zotero.org/users/17206691/items/7S2FUXPD"],"itemData":{"id":193,"type":"report","collection-title":"Bulletin","language":"en","number":"948-A","page":"1-17","source":"Zotero","title":"Tungsten Deposits of Vance County North Carolina, and Mecklenburg County, Virginia","author":[{"family":"Espenshade","given":"G.H."}],"issued":{"date-parts":[["1945"]]}}}],"schema":"https://github.com/citation-style-language/schema/raw/master/csl-citation.json"} </w:instrText>
      </w:r>
      <w:r w:rsidR="00CC1191" w:rsidRPr="00FA4EF4">
        <w:fldChar w:fldCharType="separate"/>
      </w:r>
      <w:r w:rsidR="00CC1191" w:rsidRPr="00FA4EF4">
        <w:t>(Espenshade, 1945)</w:t>
      </w:r>
      <w:r w:rsidR="00CC1191" w:rsidRPr="00FA4EF4">
        <w:fldChar w:fldCharType="end"/>
      </w:r>
      <w:r w:rsidR="00E84FC0" w:rsidRPr="00FA4EF4">
        <w:t>.</w:t>
      </w:r>
      <w:r w:rsidR="00F908E6" w:rsidRPr="00FA4EF4">
        <w:t xml:space="preserve"> </w:t>
      </w:r>
      <w:r w:rsidR="00A06623" w:rsidRPr="00FA4EF4">
        <w:t xml:space="preserve">Mining continued </w:t>
      </w:r>
      <w:r w:rsidR="009A13A7" w:rsidRPr="00FA4EF4">
        <w:t xml:space="preserve">until market fluctuations </w:t>
      </w:r>
      <w:r w:rsidR="003B6950">
        <w:t xml:space="preserve">forced the mine to close </w:t>
      </w:r>
      <w:r w:rsidR="009A13A7" w:rsidRPr="00FA4EF4">
        <w:t xml:space="preserve">from </w:t>
      </w:r>
      <w:r w:rsidR="00E41696" w:rsidRPr="00FA4EF4">
        <w:t>June 30, 1958</w:t>
      </w:r>
      <w:r w:rsidR="00C616F3">
        <w:t>,</w:t>
      </w:r>
      <w:r w:rsidR="00E41696" w:rsidRPr="00FA4EF4">
        <w:t xml:space="preserve"> to </w:t>
      </w:r>
      <w:r w:rsidR="00BE1F84" w:rsidRPr="00FA4EF4">
        <w:t xml:space="preserve">June 1, 1960, then </w:t>
      </w:r>
      <w:r w:rsidR="00B057E0" w:rsidRPr="00FA4EF4">
        <w:t>close</w:t>
      </w:r>
      <w:r w:rsidR="005E7EC0" w:rsidRPr="00FA4EF4">
        <w:t>d</w:t>
      </w:r>
      <w:r w:rsidR="00B057E0" w:rsidRPr="00FA4EF4">
        <w:t xml:space="preserve"> </w:t>
      </w:r>
      <w:r w:rsidR="00BE1F84" w:rsidRPr="00FA4EF4">
        <w:t>again from early 1963 to 1968</w:t>
      </w:r>
      <w:r w:rsidR="003D16C4" w:rsidRPr="00FA4EF4">
        <w:t xml:space="preserve"> </w:t>
      </w:r>
      <w:r w:rsidR="003D16C4" w:rsidRPr="00FA4EF4">
        <w:fldChar w:fldCharType="begin"/>
      </w:r>
      <w:r w:rsidR="003D16C4" w:rsidRPr="00FA4EF4">
        <w:instrText xml:space="preserve"> ADDIN ZOTERO_ITEM CSL_CITATION {"citationID":"cmavTfuc","properties":{"formattedCitation":"(North Carolina Department of Natural and Cultural Resources, 2023)","plainCitation":"(North Carolina Department of Natural and Cultural Resources, 2023)","noteIndex":0},"citationItems":[{"id":208,"uris":["http://zotero.org/users/17206691/items/JBIFYPNH"],"itemData":{"id":208,"type":"post-weblog","title":"Tungsten Queen (G-139)","URL":"https://www.dncr.nc.gov/blog/2023/12/20/tungsten-queen-g-139#:~:text=Haile%20expanded%20the%20Vance%20County,Exploration%20Company%20acquired%20the%20property","author":[{"literal":"North Carolina Department of Natural and Cultural Resources"}],"accessed":{"date-parts":[["2025",5,6]]},"issued":{"date-parts":[["2023"]]}}}],"schema":"https://github.com/citation-style-language/schema/raw/master/csl-citation.json"} </w:instrText>
      </w:r>
      <w:r w:rsidR="003D16C4" w:rsidRPr="00FA4EF4">
        <w:fldChar w:fldCharType="separate"/>
      </w:r>
      <w:r w:rsidR="003D16C4" w:rsidRPr="00FA4EF4">
        <w:t>(North Carolina Department of Natural and Cultural Resources, 2023)</w:t>
      </w:r>
      <w:r w:rsidR="003D16C4" w:rsidRPr="00FA4EF4">
        <w:fldChar w:fldCharType="end"/>
      </w:r>
      <w:r w:rsidR="009765EB" w:rsidRPr="00FA4EF4">
        <w:rPr>
          <w:color w:val="000000"/>
        </w:rPr>
        <w:t>.</w:t>
      </w:r>
      <w:r w:rsidR="00ED5003" w:rsidRPr="00FA4EF4">
        <w:rPr>
          <w:color w:val="000000"/>
        </w:rPr>
        <w:t xml:space="preserve"> Ranchers Exploration Company </w:t>
      </w:r>
      <w:r w:rsidR="00782783" w:rsidRPr="00FA4EF4">
        <w:rPr>
          <w:color w:val="000000"/>
        </w:rPr>
        <w:t xml:space="preserve">acquired the mine in </w:t>
      </w:r>
      <w:r w:rsidR="002053EF" w:rsidRPr="00FA4EF4">
        <w:rPr>
          <w:color w:val="000000"/>
        </w:rPr>
        <w:t>1968 and rename</w:t>
      </w:r>
      <w:r w:rsidR="00835B10" w:rsidRPr="00FA4EF4">
        <w:rPr>
          <w:color w:val="000000"/>
        </w:rPr>
        <w:t>d</w:t>
      </w:r>
      <w:r w:rsidR="002053EF" w:rsidRPr="00FA4EF4">
        <w:rPr>
          <w:color w:val="000000"/>
        </w:rPr>
        <w:t xml:space="preserve"> it Tungsten Queen</w:t>
      </w:r>
      <w:r w:rsidR="003D16C4" w:rsidRPr="00FA4EF4">
        <w:rPr>
          <w:color w:val="000000"/>
        </w:rPr>
        <w:t xml:space="preserve"> </w:t>
      </w:r>
      <w:r w:rsidR="003D16C4" w:rsidRPr="00FA4EF4">
        <w:rPr>
          <w:color w:val="000000"/>
        </w:rPr>
        <w:fldChar w:fldCharType="begin"/>
      </w:r>
      <w:r w:rsidR="003D16C4" w:rsidRPr="00FA4EF4">
        <w:rPr>
          <w:color w:val="000000"/>
        </w:rPr>
        <w:instrText xml:space="preserve"> ADDIN ZOTERO_ITEM CSL_CITATION {"citationID":"3b05JZro","properties":{"formattedCitation":"(Meyertons, 1975)","plainCitation":"(Meyertons, 1975)","noteIndex":0},"citationItems":[{"id":77,"uris":["http://zotero.org/users/17206691/items/B3WBRLXM"],"itemData":{"id":77,"type":"report","page":"1-11","title":"A Preliminary Estimate of Tungsten Content of Tungsten Queen Tailing for Ranchers Exploration &amp; Development Corporation","author":[{"family":"Meyertons","given":"Ralph"}],"issued":{"date-parts":[["1975"]]}}}],"schema":"https://github.com/citation-style-language/schema/raw/master/csl-citation.json"} </w:instrText>
      </w:r>
      <w:r w:rsidR="003D16C4" w:rsidRPr="00FA4EF4">
        <w:rPr>
          <w:color w:val="000000"/>
        </w:rPr>
        <w:fldChar w:fldCharType="separate"/>
      </w:r>
      <w:r w:rsidR="003D16C4" w:rsidRPr="00FA4EF4">
        <w:t>(Meyertons, 1975)</w:t>
      </w:r>
      <w:r w:rsidR="003D16C4" w:rsidRPr="00FA4EF4">
        <w:rPr>
          <w:color w:val="000000"/>
        </w:rPr>
        <w:fldChar w:fldCharType="end"/>
      </w:r>
      <w:r w:rsidR="009664EB" w:rsidRPr="00FA4EF4">
        <w:rPr>
          <w:color w:val="000000"/>
        </w:rPr>
        <w:t>.</w:t>
      </w:r>
      <w:r w:rsidR="00835B10" w:rsidRPr="00FA4EF4">
        <w:rPr>
          <w:color w:val="000000"/>
        </w:rPr>
        <w:t xml:space="preserve"> The Tungsten Queen was in operation until </w:t>
      </w:r>
      <w:r w:rsidR="000F56AD" w:rsidRPr="00FA4EF4">
        <w:rPr>
          <w:color w:val="000000"/>
        </w:rPr>
        <w:t xml:space="preserve">declining </w:t>
      </w:r>
      <w:r w:rsidR="009E59BF" w:rsidRPr="00FA4EF4">
        <w:t>WO</w:t>
      </w:r>
      <w:r w:rsidR="009E59BF" w:rsidRPr="00FA4EF4">
        <w:rPr>
          <w:vertAlign w:val="subscript"/>
        </w:rPr>
        <w:t>3</w:t>
      </w:r>
      <w:r w:rsidR="000F56AD" w:rsidRPr="00FA4EF4">
        <w:rPr>
          <w:color w:val="000000"/>
        </w:rPr>
        <w:t xml:space="preserve"> prices</w:t>
      </w:r>
      <w:r w:rsidR="00D751B0" w:rsidRPr="00FA4EF4">
        <w:rPr>
          <w:color w:val="000000"/>
        </w:rPr>
        <w:t xml:space="preserve"> led to its final closure in </w:t>
      </w:r>
      <w:r w:rsidR="005711AF" w:rsidRPr="00FA4EF4">
        <w:rPr>
          <w:color w:val="000000"/>
        </w:rPr>
        <w:t>August</w:t>
      </w:r>
      <w:r w:rsidR="00D751B0" w:rsidRPr="00FA4EF4">
        <w:rPr>
          <w:color w:val="000000"/>
        </w:rPr>
        <w:t xml:space="preserve"> 1971</w:t>
      </w:r>
      <w:r w:rsidR="003D16C4" w:rsidRPr="00FA4EF4">
        <w:rPr>
          <w:color w:val="000000"/>
        </w:rPr>
        <w:t xml:space="preserve"> </w:t>
      </w:r>
      <w:r w:rsidR="003D16C4" w:rsidRPr="00FA4EF4">
        <w:rPr>
          <w:color w:val="000000"/>
        </w:rPr>
        <w:fldChar w:fldCharType="begin"/>
      </w:r>
      <w:r w:rsidR="003D16C4" w:rsidRPr="00FA4EF4">
        <w:rPr>
          <w:color w:val="000000"/>
        </w:rPr>
        <w:instrText xml:space="preserve"> ADDIN ZOTERO_ITEM CSL_CITATION {"citationID":"YNjlTieY","properties":{"formattedCitation":"(Meyertons, 1975)","plainCitation":"(Meyertons, 1975)","noteIndex":0},"citationItems":[{"id":77,"uris":["http://zotero.org/users/17206691/items/B3WBRLXM"],"itemData":{"id":77,"type":"report","page":"1-11","title":"A Preliminary Estimate of Tungsten Content of Tungsten Queen Tailing for Ranchers Exploration &amp; Development Corporation","author":[{"family":"Meyertons","given":"Ralph"}],"issued":{"date-parts":[["1975"]]}}}],"schema":"https://github.com/citation-style-language/schema/raw/master/csl-citation.json"} </w:instrText>
      </w:r>
      <w:r w:rsidR="003D16C4" w:rsidRPr="00FA4EF4">
        <w:rPr>
          <w:color w:val="000000"/>
        </w:rPr>
        <w:fldChar w:fldCharType="separate"/>
      </w:r>
      <w:r w:rsidR="003D16C4" w:rsidRPr="00FA4EF4">
        <w:t>(Meyertons, 1975)</w:t>
      </w:r>
      <w:r w:rsidR="003D16C4" w:rsidRPr="00FA4EF4">
        <w:rPr>
          <w:color w:val="000000"/>
        </w:rPr>
        <w:fldChar w:fldCharType="end"/>
      </w:r>
      <w:r w:rsidR="00D751B0" w:rsidRPr="00FA4EF4">
        <w:rPr>
          <w:color w:val="000000"/>
        </w:rPr>
        <w:t>.</w:t>
      </w:r>
      <w:r w:rsidR="00DC1A99" w:rsidRPr="00FA4EF4">
        <w:rPr>
          <w:color w:val="000000"/>
        </w:rPr>
        <w:t xml:space="preserve"> </w:t>
      </w:r>
      <w:r w:rsidR="00423790" w:rsidRPr="00FA4EF4">
        <w:t>O</w:t>
      </w:r>
      <w:r w:rsidR="00DC1A99" w:rsidRPr="00FA4EF4">
        <w:t xml:space="preserve">perations </w:t>
      </w:r>
      <w:r w:rsidR="00423790" w:rsidRPr="00FA4EF4">
        <w:t xml:space="preserve">over the life of the mine </w:t>
      </w:r>
      <w:r w:rsidR="00425E9D" w:rsidRPr="00FA4EF4">
        <w:t>left a</w:t>
      </w:r>
      <w:r w:rsidR="00DC1A99" w:rsidRPr="00FA4EF4">
        <w:t xml:space="preserve"> tailings</w:t>
      </w:r>
      <w:r w:rsidR="00425E9D" w:rsidRPr="00FA4EF4">
        <w:t xml:space="preserve"> </w:t>
      </w:r>
      <w:r w:rsidR="00AA51C8" w:rsidRPr="00FA4EF4">
        <w:t>impoundment</w:t>
      </w:r>
      <w:r w:rsidR="00DC1A99" w:rsidRPr="00FA4EF4">
        <w:t xml:space="preserve"> </w:t>
      </w:r>
      <w:r w:rsidR="00425E9D" w:rsidRPr="00FA4EF4">
        <w:t>composed of</w:t>
      </w:r>
      <w:r w:rsidR="00DC1A99" w:rsidRPr="00FA4EF4">
        <w:t xml:space="preserve"> three tailings ponds </w:t>
      </w:r>
      <w:r w:rsidR="00425E9D" w:rsidRPr="00FA4EF4">
        <w:t>(</w:t>
      </w:r>
      <w:r w:rsidR="00DC1A99" w:rsidRPr="00FA4EF4">
        <w:t>Figure 2</w:t>
      </w:r>
      <w:r w:rsidR="00425E9D" w:rsidRPr="00FA4EF4">
        <w:t>)</w:t>
      </w:r>
      <w:r w:rsidR="00DC1A99" w:rsidRPr="00FA4EF4">
        <w:t xml:space="preserve">. </w:t>
      </w:r>
      <w:r w:rsidR="005C7DB5" w:rsidRPr="00FA4EF4">
        <w:t>Tailings</w:t>
      </w:r>
      <w:r w:rsidR="00DC1A99" w:rsidRPr="00FA4EF4">
        <w:t xml:space="preserve"> ponds </w:t>
      </w:r>
      <w:r w:rsidR="005C7DB5" w:rsidRPr="00FA4EF4">
        <w:t xml:space="preserve">1 and 2 </w:t>
      </w:r>
      <w:r w:rsidR="00DC1A99" w:rsidRPr="00FA4EF4">
        <w:t xml:space="preserve">and </w:t>
      </w:r>
      <w:r w:rsidR="00425E9D" w:rsidRPr="00FA4EF4">
        <w:t xml:space="preserve">a </w:t>
      </w:r>
      <w:r w:rsidR="00DC1A99" w:rsidRPr="00FA4EF4">
        <w:t xml:space="preserve">portion of </w:t>
      </w:r>
      <w:r w:rsidR="005C7DB5" w:rsidRPr="00FA4EF4">
        <w:t>tailings</w:t>
      </w:r>
      <w:r w:rsidR="00DC1A99" w:rsidRPr="00FA4EF4">
        <w:t xml:space="preserve"> pond</w:t>
      </w:r>
      <w:r w:rsidR="005C7DB5" w:rsidRPr="00FA4EF4">
        <w:t xml:space="preserve"> 3</w:t>
      </w:r>
      <w:r w:rsidR="00DC1A99" w:rsidRPr="00FA4EF4">
        <w:t xml:space="preserve"> are </w:t>
      </w:r>
      <w:r w:rsidR="00423790" w:rsidRPr="00FA4EF4">
        <w:t xml:space="preserve">currently </w:t>
      </w:r>
      <w:r w:rsidR="00DC1A99" w:rsidRPr="00FA4EF4">
        <w:t>located on</w:t>
      </w:r>
      <w:r w:rsidR="00CC68FA">
        <w:t xml:space="preserve"> land owned by</w:t>
      </w:r>
      <w:r w:rsidR="00DC1A99" w:rsidRPr="00FA4EF4">
        <w:t xml:space="preserve"> Townsville Timber, Inc.</w:t>
      </w:r>
      <w:r w:rsidR="00B8465E" w:rsidRPr="00FA4EF4">
        <w:t>,</w:t>
      </w:r>
      <w:r w:rsidR="00DC1A99" w:rsidRPr="00FA4EF4">
        <w:t xml:space="preserve"> while </w:t>
      </w:r>
      <w:r w:rsidR="00ED05B7" w:rsidRPr="00FA4EF4">
        <w:t>most of</w:t>
      </w:r>
      <w:r w:rsidR="00DC1A99" w:rsidRPr="00FA4EF4">
        <w:t xml:space="preserve"> </w:t>
      </w:r>
      <w:r w:rsidR="00005A5E" w:rsidRPr="00FA4EF4">
        <w:t>tailings</w:t>
      </w:r>
      <w:r w:rsidR="00DC1A99" w:rsidRPr="00FA4EF4">
        <w:t xml:space="preserve"> pond</w:t>
      </w:r>
      <w:r w:rsidR="00005A5E" w:rsidRPr="00FA4EF4">
        <w:t xml:space="preserve"> 3</w:t>
      </w:r>
      <w:r w:rsidR="00DC1A99" w:rsidRPr="00FA4EF4">
        <w:t xml:space="preserve"> is on</w:t>
      </w:r>
      <w:r w:rsidR="00B8465E" w:rsidRPr="00FA4EF4">
        <w:t xml:space="preserve"> property owned by the</w:t>
      </w:r>
      <w:r w:rsidR="00DC1A99" w:rsidRPr="00FA4EF4">
        <w:t xml:space="preserve"> </w:t>
      </w:r>
      <w:r w:rsidR="00C11CE6" w:rsidRPr="00FA4EF4">
        <w:t xml:space="preserve">United States Army Corps of Engineers </w:t>
      </w:r>
    </w:p>
    <w:p w14:paraId="47D79CB8" w14:textId="77777777" w:rsidR="002C492A" w:rsidRPr="00FA4EF4" w:rsidRDefault="002C492A" w:rsidP="00126239">
      <w:pPr>
        <w:spacing w:after="0"/>
        <w:ind w:firstLine="0"/>
        <w:rPr>
          <w:rFonts w:cs="Times New Roman"/>
          <w:sz w:val="20"/>
          <w:szCs w:val="20"/>
        </w:rPr>
      </w:pPr>
      <w:r>
        <w:rPr>
          <w:rFonts w:cs="Times New Roman"/>
          <w:noProof/>
          <w:sz w:val="20"/>
          <w:szCs w:val="20"/>
          <w14:ligatures w14:val="standardContextual"/>
        </w:rPr>
        <w:lastRenderedPageBreak/>
        <w:drawing>
          <wp:inline distT="0" distB="0" distL="0" distR="0" wp14:anchorId="741A1A52" wp14:editId="05790D2A">
            <wp:extent cx="5489459" cy="3968503"/>
            <wp:effectExtent l="0" t="0" r="0" b="0"/>
            <wp:docPr id="1046566844" name="Picture 1" descr="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566844" name="Picture 1" descr="Map&#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89459" cy="3968503"/>
                    </a:xfrm>
                    <a:prstGeom prst="rect">
                      <a:avLst/>
                    </a:prstGeom>
                  </pic:spPr>
                </pic:pic>
              </a:graphicData>
            </a:graphic>
          </wp:inline>
        </w:drawing>
      </w:r>
    </w:p>
    <w:p w14:paraId="35A41DDB" w14:textId="77777777" w:rsidR="002C492A" w:rsidRPr="002C492A" w:rsidRDefault="002C492A" w:rsidP="002C492A">
      <w:pPr>
        <w:pStyle w:val="Caption1"/>
      </w:pPr>
      <w:r w:rsidRPr="002C492A">
        <w:t xml:space="preserve">Figure 1. Map of Tungsten Queen Mine in norther Vance County, NC, near the border with Granville County to the west. Inset map shows location of mine near the border with Virginia. Geology is from </w:t>
      </w:r>
      <w:r w:rsidRPr="002C492A">
        <w:fldChar w:fldCharType="begin"/>
      </w:r>
      <w:r w:rsidRPr="002C492A">
        <w:instrText xml:space="preserve"> ADDIN ZOTERO_ITEM CSL_CITATION {"citationID":"43NR2TfO","properties":{"formattedCitation":"(Horton et al., 2022)","plainCitation":"(Horton et al., 2022)","dontUpdate":true,"noteIndex":0},"citationItems":[{"id":205,"uris":["http://zotero.org/users/17206691/items/BVQSJTQP"],"itemData":{"id":205,"type":"report","abstract":"This 1:100,000-scale geologic map of the South Boston 30’ × 60’ quadrangle, Virginia and North Carolina, provides geologic information for the Piedmont along the I–85 and U.S. Route 58 corridors and in the Roanoke River watershed, which includes the John H. Kerr Reservoir and Lake Gaston. The Raleigh terrane (located on the eastern side of the map) contains Neoproterozoic to early Paleozoic(?) polydeformed, amphibolite-facies gneisses and schists. The Carolina slate belt of the Carolina terrane (located in the central part of the map) contains Neoproterozoic metavolcanic and metasedimentary rocks at greenschist facies. Although locally complicated, the slate-belt structure mapped across the South Boston map area is generally a broad, complex anticlinorium of the Hyco Formation (here called the Chase City anticlinorium) and is flanked to the west and east by synclinoria, which are cored by the overlying Aaron and Virgilina Formations. The western flank of the Carolina terrane (located in...","collection-title":"Scientific Investigations","language":"en","note":"ISSN: 2329-132X\ncontainer-title: Scientific Investigations Map\nDOI: 10.3133/sim3483","number":"Map 3483","publisher":"U.S. Geological Survey","source":"pubs.usgs.gov","title":"Geologic map of the South Boston 30' × 60' quadrangle, Virginia and North Carolina","URL":"https://pubs.usgs.gov/publication/sim3483","author":[{"family":"Horton","given":"J. Wright","suffix":"Jr."},{"family":"Peper","given":"John D."},{"family":"Burton","given":"William C."},{"family":"Weems","given":"Robert E."},{"family":"Sacks","given":"Paul E."}],"accessed":{"date-parts":[["2025",5,21]]},"issued":{"date-parts":[["2022"]]}}}],"schema":"https://github.com/citation-style-language/schema/raw/master/csl-citation.json"} </w:instrText>
      </w:r>
      <w:r w:rsidRPr="002C492A">
        <w:fldChar w:fldCharType="separate"/>
      </w:r>
      <w:r w:rsidRPr="002C492A">
        <w:t>Horton et al. (2022)</w:t>
      </w:r>
      <w:r w:rsidRPr="002C492A">
        <w:fldChar w:fldCharType="end"/>
      </w:r>
      <w:r w:rsidRPr="002C492A">
        <w:t xml:space="preserve">  and Blake et al. (2025) and overlies a h</w:t>
      </w:r>
      <w:r w:rsidRPr="002C492A">
        <w:rPr>
          <w:rStyle w:val="Caption1Char"/>
        </w:rPr>
        <w:t>illshade built from a 3-ft resolution DEM</w:t>
      </w:r>
      <w:r w:rsidRPr="002C492A">
        <w:t xml:space="preserve">. </w:t>
      </w:r>
    </w:p>
    <w:p w14:paraId="2AE5AD1C" w14:textId="47C73046" w:rsidR="00475231" w:rsidRDefault="00475231" w:rsidP="002C492A">
      <w:pPr>
        <w:ind w:firstLine="0"/>
      </w:pPr>
      <w:r w:rsidRPr="00FA4EF4">
        <w:t xml:space="preserve">(USACE; Figure 2). </w:t>
      </w:r>
      <w:r w:rsidRPr="00016FA5">
        <w:t>Tailings ponds 2 and 3 are separated by a dam constructed on top of existing tailings by the mine operators in 1970.</w:t>
      </w:r>
      <w:r>
        <w:t xml:space="preserve"> </w:t>
      </w:r>
    </w:p>
    <w:p w14:paraId="47993568" w14:textId="6430261A" w:rsidR="002C492A" w:rsidRDefault="002C492A" w:rsidP="00475231">
      <w:r w:rsidRPr="00FA4EF4">
        <w:t xml:space="preserve">The Tungsten Queen deposit has been the subject of multiple studies </w:t>
      </w:r>
      <w:r w:rsidRPr="00FA4EF4">
        <w:fldChar w:fldCharType="begin"/>
      </w:r>
      <w:r w:rsidRPr="00FA4EF4">
        <w:instrText xml:space="preserve"> ADDIN ZOTERO_ITEM CSL_CITATION {"citationID":"td0j4Pd7","properties":{"formattedCitation":"(U.S. Department of Interior Bureau of Mines, 1944; Espenshade, 1945; Parker, 1963; Gair et al., 1975; Gair, 1977; Foose and Slack John F., 1978; Casadevall and Rye, 1980; Foose et al., 1980, 1981; Chaumba et al., 2015; Parker et al., 2015)","plainCitation":"(U.S. Department of Interior Bureau of Mines, 1944; Espenshade, 1945; Parker, 1963; Gair et al., 1975; Gair, 1977; Foose and Slack John F., 1978; Casadevall and Rye, 1980; Foose et al., 1980, 1981; Chaumba et al., 2015; Parker et al., 2015)","noteIndex":0},"citationItems":[{"id":207,"uris":["http://zotero.org/users/17206691/items/W94MVFTP"],"itemData":{"id":207,"type":"report","collection-title":"Regional File","number":"No. E-453-A","page":"1-67","title":"War Minerals Report","author":[{"literal":"U.S. Department of Interior Bureau of Mines"}],"issued":{"date-parts":[["1944"]]}}},{"id":193,"uris":["http://zotero.org/users/17206691/items/7S2FUXPD"],"itemData":{"id":193,"type":"report","collection-title":"Bulletin","language":"en","number":"948-A","page":"1-17","source":"Zotero","title":"Tungsten Deposits of Vance County North Carolina, and Mecklenburg County, Virginia","author":[{"family":"Espenshade","given":"G.H."}],"issued":{"date-parts":[["1945"]]}}},{"id":202,"uris":["http://zotero.org/users/17206691/items/6Z42NWJB"],"itemData":{"id":202,"type":"report","genre":"Bulletin","language":"en","note":"DOI: 10.3133/b1122G","number":"1122-G","page":"1-66","publisher":"U.S. Geological Survey","source":"DOI.org (Crossref)","title":"Geologic Setting of the Hamme Tungsten District, North Carolina and Virginia","URL":"https://pubs.usgs.gov/publication/b1122G","author":[{"family":"Parker","given":"John M."}],"accessed":{"date-parts":[["2025",5,21]]},"issued":{"date-parts":[["1963"]]}}},{"id":68,"uris":["http://zotero.org/users/17206691/items/F95WGIWT"],"itemData":{"id":68,"type":"document","abstract":"GEOLOGICAL SURVEY CIRCULAR 711 Trace-element values in soil are related to major underlying rock units and to tungsten mineralization and indicate a large bismuth-copper-molybdenum anomaly west of the principal mineral deposit 1975","note":"page: 1-19\ncontainer-title: Geological Survey Circular 711","title":"Preliminary Results of Geochemical Soil Survey, Hamme Tungsten District, North Carolina","author":[{"family":"Gair","given":"Jacob E."},{"family":"Windolph","given":"John F."},{"family":"Wright","given":"Nancy A."}],"issued":{"date-parts":[["1975"]]}}},{"id":98,"uris":["http://zotero.org/users/17206691/items/6GP22Z8T"],"itemData":{"id":98,"type":"report","collection-title":"U.S. Geological Survey Miscellaneous Investigations Series","note":"page: 1","number":"Map I-1009","title":"Maps and Diagrams Showing Structural Control of the Hamme Tungsten Deposit, Vance County, North Carolina","author":[{"family":"Gair","given":"Jacob E."}],"issued":{"date-parts":[["1977"]]}}},{"id":81,"uris":["http://zotero.org/users/17206691/items/MIQR35SC"],"itemData":{"id":81,"type":"document","note":"page: 1-34\ncontainer-title: U.S. Geological Survey Open-File Report 78-427","title":"Premetamorphic Hydrothermal Origin of the Tungsten Queen Vein, Hamme District, North Carolina, as Indicated by Mineral Textures and Minor Structures","author":[{"family":"Foose","given":"Michael P."},{"literal":"Slack John F."}],"issued":{"date-parts":[["1978"]]}}},{"id":72,"uris":["http://zotero.org/users/17206691/items/KJNRUKK2"],"itemData":{"id":72,"type":"article-journal","abstract":"The Tungsten Queen mine, Vance County, North Carolina, is a large quartz-huebnerite vein deposit of late Precambrian or early Paleozoic age that has undergone middle Paleozoic regional metamorphism of amphibolite grade. The preservation of large banded huebnerite crystals and the low 8t80 values in the vein minerals and wall rocks indicate a premetamorphic hydrothermal origin for the •ein which involves meteoric waters. Quartz-sericite oxygen isotope distributions in the vein and wall rocks indicate metamorphic temperatures of 550ø+ 50øC. All other isotope distributions except possibly those for hydrogen appear to reflect primary hydrothermal distributions that were not significantly disturbed by the metamorphic event. The stable isotope systematics of the vein are remarkably similar to those of younger huebnerite/wolframite-quartz veins associated with shallow intrusions in orogenic belts. Sulfur isotope fractionations among coexisting sulfides in two mineral assemblages may indicate primary mineralization temperatures of about 260 ø and 320øC. The hydrothermal sulfur was derived from a deep-seated source. The carbon isotope data suggest that a sedimentary organic component was present in the fluids during carbonate deposition. Except for reequilibration between coexisting quartz and sericite, the xsO systematics of the vein minerals appear to reflect primary hydrothermal distributions and indicate that the vein was largely a closed system during metamorphism. Hydrous minerals and waters in fluid inclusions in the vein minerals show nearly a 50 per mil range in 8D values which may also reflect primary variations in the hydrothermal vein system.","container-title":"Economic Geology","page":"523-537","title":"The Tungsten Queen Deposit, Hamme District, Vance County, North Carolina: A Stable Isotope Study of a Metamorphosed Quartz-Huebnerite Vein","volume":"75","author":[{"family":"Casadevall","given":"Tom"},{"family":"Rye","given":"Robert O."}],"issued":{"date-parts":[["1980"]]}}},{"id":79,"uris":["http://zotero.org/users/17206691/items/A4BBQ9UZ"],"itemData":{"id":79,"type":"article-journal","abstract":"The Hamme tungsten district is composed of a series of steeply dipping quartz-wolframite veins in the Piedmont of North Carolina. Veins are concentrated near the border of the lower Paleozoic Vance County pluton, along its western contact with green-schist-facies metapelites and metavolcanic rocks of the Carolina slate belt. One of these quartz veins, the Snead-Walker, hosts the Tungsten Queen deposit. The vein is 0 to 10 m thick and trends N 35 ø E for approximately 3,500 m through slate belt rocks and the granitic pluton. The deposit has been worked to a depth of nearly 520 m and contains eight en echelon ore lodes that plunge 42 ø to 65 ø between S 10 ø E and S 10 ø W. Ore lodes commonly are encased in thin lenses of quartz-sericite greisen. The principal ore mineral is huebnerite and is accompanied by scattered occurrences of pyrite, sphalerite, galena, chalcopyrite, and tetrahedrite. The gangue is predominantly quartz with minor amounts of fluorite, sericite, and carbonate. Studies of minor structures and mineral textures indicate that both the wall rock and the ore and gangue minerals within the vein have been deformed by at least two events. The first event produced relatively gentle, open, and shallow-plunging folds; later, an intense episode of right-lateral shearing developed steeply plunging, tight folds and numerous northeast-trending shears. This latter deformation also developed a prominent alignment of ore and gangue minerals oblique to the vein walls and may have formed the en echelon distribution of ore lodes. In relatively undeformed parts of the vein, clusters of euhedral huebnerite crystals are oriented perpendicular to vein layering. Some prismatic crystals have terminations with cappings of sulfides and in polished thin section show concentric growth zones. These features are similar to textures found in unmetamorphosed tungsten-bearing hydrothermal vein deposits such as those at Pasto Bueno, Peru; Carrock Fell, England; and Panasqueria, Portugal. The relationships of mineral textures and minor structures indicate that the Tungsten Queen deposit formed by open-space fillings of linear faults or fractures and was subsequently deformed by at least two episodes of folding and shearing.","container-title":"Economic Geology","page":"515-522","title":"Textural and Structural Evidence for a Predeformation Hydrothermal Origin of the Tungsten Queen Deposit, Hamme District, North Carolina","volume":"75","author":[{"family":"Foose","given":"Michael P"},{"family":"Slack","given":"John F"},{"family":"Casadevall","given":"Tom"}],"issued":{"date-parts":[["1980"]]}}},{"id":70,"uris":["http://zotero.org/users/17206691/items/PPQ3CZS2"],"itemData":{"id":70,"type":"article-journal","abstract":"Sir: We welcome Gair's discussion of our structural interpretation of the Tungsten Queen deposit, North Carolina, particularly because it raises the old and often-debated problem in economic geology of whether a deposit is a replacement in previously deformed rocks or whether it formed earlier and subsequently was deformed at the same time as the country rocks. Controversy surrounding these two interpretations has touched many different types of deposits and some of the world's most famous mining districts. A few examples include massive base metal sulfides at Broken Hill, Australia (Gustarson et al., 1950; Johnson and Klingner, 1975); gold deposits at Homestake, South Dakota (Noble, 1950; Rye and Rye, 1974); and iron deposits in the Adirondacks, New York (Leonard and Buddington, 1964; Gillies, 1950). Clearly, the genesis of each deposit must be evaluated individually. At the Hamme district, we feel that the evidence overwhelmingly indicates a predeforma-tion, open-space filling origin for the tungsten-bearing quartz veins. Before proceeding, one of us (T.C.) would like to express regrets for any inadvertent misrepresentation of Gair's 1977 work in the companion article, \"The Tungsten Queen Deposit, Hamme District, Vance County, North Carolina: A Stable Isotope Study of a Metamorphosed Quartz-Huebnerite Vein\" (Cas-adevall and Rye, 1980). The summarization of Gair's study in that article focused mostly on his interpretation that silica-rich mineralizing solutions replaced deformed schistose country rock; the summary failed to make clear the source from which Gair believed those fluids were derived. Gair's discussion summarized many of the important observations made in both his original work (Gair, 1977) and in our study (Foose et al., 1980) of the Tungsten Queen mine. We agree with virtually all these observations but also feel that other important evidence clearly indicates that the vein quartz has been deformed. Three sets of observations are particularly important. First, fragments of what clearly were once euhedral crystals of huebnerite are now locally dispersed in a homogeneous quartz matrix , showing that the quartz deformed plastically, whereas the enclosed huebnerite broke into angular fragments. In thin section, these fragments show concentric growth bands that are truncated at boundaries along which the crystal broke. Second, deformation of homogeneous-appearing quartz is locally shown by folded layers defined by concentrations of ore minerals. In some folds, huebnerite grains are locally bent and broken, and sulfide minerals may define an axial-plane foliation. These ore minerals are encased entirely within quartz; thus, their alignments could not have been affected by the configuration of a previously deformed country rock. Instead, they must reflect the deformation that has affected all vein minerals. Third, quartz in the axial zones of many folds has a fracture cleavage that parallels the fold axial surface (see fig. 4c, Foose et al., 1980), indicating that the quartz and enclosed mineralization have been affected by the same stresses that formed the folds. Gair's discussion appears to suggest that these fractures could have been formed by a late tensional event. To resolve this ambiguity clearly, $00 quartz c-axes were measured by Rosemarie Graves (U. S. Geological Survey) from two samples of vein quartz collected from the 1710 stope (Fig. 1). The thin sections were cut perpendicular to the Fe fold axes observed in that part of the mine. One of these samples (Fig. 1A) is from the axial zone of a minor fold in quartz; the other (Fig. lB) is from quartz that has a fracture cleavage but no visible folding. Both samples show remarkably similar c-axes fabrics defined by two great circle girdles disposed roughly symmetrically about the megascopic fabric axes. The patterns approximate an orthorhombic symmetry (Patterson and Weiss, 1961) and are similar to quartz c-axes patterns observed in other metamorphic tectonites, for example, the Moine schist (Phillips, 1957; Christie, 1965), Finnish quartzites (Sahama, 1956; Hietanen, 1988), and sheared granites in Japan (Hara et al., 1975). The particular deformation fabric shown by a tectonite depends on a large number of variables, the most important of which include the types of deformation, temperature, strain rate, and initial rock fabric. Although the specific variables involved in the preferred crystallographic orientation of quartz at the Tungsten Queen deposit are not known, the symmetrical disposition of quartz axes around megascopic","container-title":"Economic Geology","issue":"4","page":"980-982","title":"Textural and Structural Evidence for a Predeformation Hydrothermal Origin of the Tungsten Queen Deposit, Hamme District, North Carolina - A Reply","volume":"74","author":[{"family":"Foose","given":"M.P."},{"family":"Slack","given":"J.F."},{"family":"Casadevall","given":"T.J."}],"issued":{"date-parts":[["1981"]]}}},{"id":66,"uris":["http://zotero.org/users/17206691/items/6QNQWHMF"],"itemData":{"id":66,"type":"article-journal","abstract":"The Hamme (Tungsten Queen) mine, Vance County, N.C., was worked for wol-framite-huebnerite and it also produced minor amounts of sulfides (copper and silver). At this deposit, there are about 1 million metric tons of quartz-dominated tailings containing about 0.25% WO 3 , with accessory fluorite and very minor sulfides-mostly ga-lena with accessory silver concentrations. We undertook a petrographic and mineral composition study of the huebnerite, galena, and chalcopyrite to help place constrains on the origin of the deposit. Under the microscope, huebnerite shows zoning which is not reflected in the chemistry of the mineral. All minerals investigated have concentrations which show very limited compositional ranges. Huebnerite is strongly enriched in WO 3 (73.5-75.5 wt.%), MnWO 4 (97.3-99.7%), and Mn (1.037-1.065 atoms per formula unit, apfu) but is depleted in Fe 2+ (0.040-0.029 apfu). Sulfide mineralogy is composed of galena with concentrations of Pb (83.0-85.8 wt.%) and S (13.2-13.9 wt.%), and chalcopyrite with concentrations of Cu (33.8-38.2 wt.%), Fe (29.7-29.9 wt.%), and S (34.5-34.6 wt.%). Sulfur concentrations of galena in Hamme (Tungsten Queen) deposit are comparable to other lead deposits elsewhere. Coarser-grained and anhedral gale-nas have slightly higher Pb concentrations than those which occur either as rims to huebnerites or as 'intercumulus phases' between huebnerites. Hamme (Tungsten Queen) deposit huebnerite compositions reported here are comparable (although slightly enriched in Mn but depleted in Fe 2+) to other huebnerite deposits such as Round Mountain in Nevada and some huebnerites from Portugal. Compared to other wolfram-ite deposits, the Hamme (Tungsten Queen) deposit is more depleted in Fe 2+ and highly enriched in MnWO 4 , an indication of a lack of substitution of its Mn by other cations. Based on findings from this study, it is concluded that Hamme (Tungsten Queen) deposit huebnerites were formed early in the history of formation of the deposit and were little affected by a later hydrothermal event that affected the district. Galena inclusions in huebnerites and coarser-grained galenas, which are comprised of slightly higher Pb concentrations, are interpreted to be primary , likely formed at the time of formation of the enclosing huebnerites, than galenas which occur as 'intercumulus' grains and are also slightly depleted in Pb. These latter galena crystals likely formed later, probably during metamorphism and associated hy-drothermal alteration.","container-title":"Southeastern Geology","issue":"1","page":"33-49","title":"Hamme (Tungsten Queen) Mine Tailings, Vance County, North Carolina: Mineral chemistry of Potentially Recoverable Huebnerite-Wolframite and Sulfide Minerals","volume":"51","author":[{"family":"Chaumba","given":"Jeff B"},{"family":"Reid","given":"Jeffrey C"},{"family":"Parker","given":"Johnathon C"}],"issued":{"date-parts":[["2015"]]}}},{"id":62,"uris":["http://zotero.org/users/17206691/items/J5WDDJNY"],"itemData":{"id":62,"type":"article-journal","container-title":"Geological Society of America Abstracts with Programs","issue":"2","page":"6","title":"Hamme (Tungsten Queen) Mine Tailings, Vance County, North Carolina: Mineral Chemistry of Potentially Recoverable Huebernite-Wolframite and Sulfide Minerals","volume":"47","author":[{"family":"Parker","given":"Johnathon C."},{"family":"Reid","given":"Jeffrey C."},{"family":"Chaumba","given":"Jeff B."}],"issued":{"date-parts":[["2015"]]}}}],"schema":"https://github.com/citation-style-language/schema/raw/master/csl-citation.json"} </w:instrText>
      </w:r>
      <w:r w:rsidRPr="00FA4EF4">
        <w:fldChar w:fldCharType="separate"/>
      </w:r>
      <w:r w:rsidRPr="00FA4EF4">
        <w:t>(U.S. Department of Interior Bureau of Mines, 1944; Espenshade, 1945; Parker, 1963; Gair et al., 1975; Gair, 1977; Foose and Slack, 1978; Casadevall and Rye, 1980; Foose et al., 1980, 1981; Chaumba et al., 2015; Parker et al., 2015)</w:t>
      </w:r>
      <w:r w:rsidRPr="00FA4EF4">
        <w:fldChar w:fldCharType="end"/>
      </w:r>
      <w:r w:rsidRPr="00FA4EF4">
        <w:t xml:space="preserve">, however, publicly-available work on the Tungsten Queen tailings is more limited and has primarily focused on W, galena, and quartz </w:t>
      </w:r>
      <w:r w:rsidRPr="00FA4EF4">
        <w:fldChar w:fldCharType="begin"/>
      </w:r>
      <w:r w:rsidRPr="00FA4EF4">
        <w:instrText xml:space="preserve"> ADDIN ZOTERO_ITEM CSL_CITATION {"citationID":"5oojSMIo","properties":{"formattedCitation":"(Meyertons, 1975; Chaumba et al., 2015; Parker et al., 2015; Reid et al., 2017)","plainCitation":"(Meyertons, 1975; Chaumba et al., 2015; Parker et al., 2015; Reid et al., 2017)","noteIndex":0},"citationItems":[{"id":77,"uris":["http://zotero.org/users/17206691/items/B3WBRLXM"],"itemData":{"id":77,"type":"report","page":"1-11","title":"A Preliminary Estimate of Tungsten Content of Tungsten Queen Tailing for Ranchers Exploration &amp; Development Corporation","author":[{"family":"Meyertons","given":"Ralph"}],"issued":{"date-parts":[["1975"]]}}},{"id":66,"uris":["http://zotero.org/users/17206691/items/6QNQWHMF"],"itemData":{"id":66,"type":"article-journal","abstract":"The Hamme (Tungsten Queen) mine, Vance County, N.C., was worked for wol-framite-huebnerite and it also produced minor amounts of sulfides (copper and silver). At this deposit, there are about 1 million metric tons of quartz-dominated tailings containing about 0.25% WO 3 , with accessory fluorite and very minor sulfides-mostly ga-lena with accessory silver concentrations. We undertook a petrographic and mineral composition study of the huebnerite, galena, and chalcopyrite to help place constrains on the origin of the deposit. Under the microscope, huebnerite shows zoning which is not reflected in the chemistry of the mineral. All minerals investigated have concentrations which show very limited compositional ranges. Huebnerite is strongly enriched in WO 3 (73.5-75.5 wt.%), MnWO 4 (97.3-99.7%), and Mn (1.037-1.065 atoms per formula unit, apfu) but is depleted in Fe 2+ (0.040-0.029 apfu). Sulfide mineralogy is composed of galena with concentrations of Pb (83.0-85.8 wt.%) and S (13.2-13.9 wt.%), and chalcopyrite with concentrations of Cu (33.8-38.2 wt.%), Fe (29.7-29.9 wt.%), and S (34.5-34.6 wt.%). Sulfur concentrations of galena in Hamme (Tungsten Queen) deposit are comparable to other lead deposits elsewhere. Coarser-grained and anhedral gale-nas have slightly higher Pb concentrations than those which occur either as rims to huebnerites or as 'intercumulus phases' between huebnerites. Hamme (Tungsten Queen) deposit huebnerite compositions reported here are comparable (although slightly enriched in Mn but depleted in Fe 2+) to other huebnerite deposits such as Round Mountain in Nevada and some huebnerites from Portugal. Compared to other wolfram-ite deposits, the Hamme (Tungsten Queen) deposit is more depleted in Fe 2+ and highly enriched in MnWO 4 , an indication of a lack of substitution of its Mn by other cations. Based on findings from this study, it is concluded that Hamme (Tungsten Queen) deposit huebnerites were formed early in the history of formation of the deposit and were little affected by a later hydrothermal event that affected the district. Galena inclusions in huebnerites and coarser-grained galenas, which are comprised of slightly higher Pb concentrations, are interpreted to be primary , likely formed at the time of formation of the enclosing huebnerites, than galenas which occur as 'intercumulus' grains and are also slightly depleted in Pb. These latter galena crystals likely formed later, probably during metamorphism and associated hy-drothermal alteration.","container-title":"Southeastern Geology","issue":"1","page":"33-49","title":"Hamme (Tungsten Queen) Mine Tailings, Vance County, North Carolina: Mineral chemistry of Potentially Recoverable Huebnerite-Wolframite and Sulfide Minerals","volume":"51","author":[{"family":"Chaumba","given":"Jeff B"},{"family":"Reid","given":"Jeffrey C"},{"family":"Parker","given":"Johnathon C"}],"issued":{"date-parts":[["2015"]]}}},{"id":62,"uris":["http://zotero.org/users/17206691/items/J5WDDJNY"],"itemData":{"id":62,"type":"article-journal","container-title":"Geological Society of America Abstracts with Programs","issue":"2","page":"6","title":"Hamme (Tungsten Queen) Mine Tailings, Vance County, North Carolina: Mineral Chemistry of Potentially Recoverable Huebernite-Wolframite and Sulfide Minerals","volume":"47","author":[{"family":"Parker","given":"Johnathon C."},{"family":"Reid","given":"Jeffrey C."},{"family":"Chaumba","given":"Jeff B."}],"issued":{"date-parts":[["2015"]]}}},{"id":64,"uris":["http://zotero.org/users/17206691/items/XUZ4MF6F"],"itemData":{"id":64,"type":"article-journal","abstract":"The Tungsten (Hamme) Queen mine is located at Tungsten, NC, 16 miles northwest of Henderson, NC, and 2 miles south of the Virginia state line. The ore occurs in a near vertical quartz vein ranging in width from a few inches to several ft. Hübnerite, the principal tungsten mineral, is accompanied by a minor amount of scheelite. Pyrite, the predominate metallic mineral in the quartz veins, is accompanied by subordinate chalcopyrite, galena, sphalerite, and tetrahedrite. Fluorite is a common accessory mineral in the ore and tailings. Our objective was a preliminary evaluation to produce a high quality quartz concentrate from the approximately 2 million tons of tailings present. Shallow drilling and pits &lt;6 ft deep recovered ~60-pounds of wet tailings from gridded sites on the tailings fan from just below the mill discharge point. The quartz concentrate was produced using bench scale beneeciation methods including otation, magnetic, and gravity separation. Size fractions were evaluated for full mineral liberation and non-quartz species using binocular and petrographic microscopes. Quartz analyses were obtained by ICP mass-spectrometry. A concentration ow chart was developed for the heavy and light speciic gravity fractions. Chemical analysis indicates that the quartz may be suitable for fused quartz and silica glass applications. Fluorite comprises up to ~2.5 wt. % of the heavy fraction and is a potential glass ux and other uses. Accessory hübnerite, scheelite, galena, chalcopy-rite, and sphalerite may also be recoverable. Study objectives A high purity quartz concentrate was produced using bench scale beneeciation methods including otation, magnetic, and gravity separation. Chemical analysis indicates that the quartz may be suitable for fused quartz and silica glass applications. Fluorite comprises up to ~2.5 wt. % of the heavy fraction and is a potential glass ux and other uses. Accessory hüebnerite, scheelite, galena, chalcopyrite, and sphalerite may also be recoverable.","container-title":"North Carolina Geological Survey Open-file report","page":"1","title":"Tungsten Queen Mine Tailings Evaluation, Vance Co., NC: A Potential Silica Resource","volume":"2017-01","author":[{"family":"Reid","given":"Jeffrey C."},{"family":"Taylor","given":"Kenneth B"},{"family":"Mensah-Biney","given":"Robert"},{"family":"Simms","given":"Jonathan"},{"family":"Akbari","given":"Hamid"}],"issued":{"date-parts":[["2017"]]}}}],"schema":"https://github.com/citation-style-language/schema/raw/master/csl-citation.json"} </w:instrText>
      </w:r>
      <w:r w:rsidRPr="00FA4EF4">
        <w:fldChar w:fldCharType="separate"/>
      </w:r>
      <w:r w:rsidRPr="00FA4EF4">
        <w:t>(Meyertons, 1975; Chaumba et al., 2015; Parker et al., 2015; Reid et al., 2017)</w:t>
      </w:r>
      <w:r w:rsidRPr="00FA4EF4">
        <w:fldChar w:fldCharType="end"/>
      </w:r>
      <w:r w:rsidRPr="00FA4EF4">
        <w:t xml:space="preserve">. </w:t>
      </w:r>
      <w:r w:rsidRPr="00FA4EF4">
        <w:fldChar w:fldCharType="begin"/>
      </w:r>
      <w:r w:rsidRPr="00FA4EF4">
        <w:instrText xml:space="preserve"> ADDIN ZOTERO_ITEM CSL_CITATION {"citationID":"aQAssVQj","properties":{"formattedCitation":"(Meyertons, 1975)","plainCitation":"(Meyertons, 1975)","dontUpdate":true,"noteIndex":0},"citationItems":[{"id":77,"uris":["http://zotero.org/users/17206691/items/B3WBRLXM"],"itemData":{"id":77,"type":"report","page":"1-11","title":"A Preliminary Estimate of Tungsten Content of Tungsten Queen Tailing for Ranchers Exploration &amp; Development Corporation","author":[{"family":"Meyertons","given":"Ralph"}],"issued":{"date-parts":[["1975"]]}}}],"schema":"https://github.com/citation-style-language/schema/raw/master/csl-citation.json"} </w:instrText>
      </w:r>
      <w:r w:rsidRPr="00FA4EF4">
        <w:fldChar w:fldCharType="separate"/>
      </w:r>
      <w:r w:rsidRPr="00FA4EF4">
        <w:t>Meyertons (1975)</w:t>
      </w:r>
      <w:r w:rsidRPr="00FA4EF4">
        <w:fldChar w:fldCharType="end"/>
      </w:r>
      <w:r w:rsidRPr="00FA4EF4">
        <w:t xml:space="preserve"> concluded the Tungsten Queen tailings are a </w:t>
      </w:r>
      <w:r>
        <w:t>‘</w:t>
      </w:r>
      <w:r w:rsidRPr="00FA4EF4">
        <w:t>probable reserve</w:t>
      </w:r>
      <w:r>
        <w:t>’ of W</w:t>
      </w:r>
      <w:r w:rsidRPr="00FA4EF4">
        <w:t>, with 2,038,000 t of tailings containing a total of 4</w:t>
      </w:r>
      <w:r>
        <w:t>04,242</w:t>
      </w:r>
      <w:r w:rsidRPr="00FA4EF4">
        <w:t xml:space="preserve"> </w:t>
      </w:r>
      <w:r>
        <w:t>t</w:t>
      </w:r>
      <w:r w:rsidRPr="00FA4EF4">
        <w:t xml:space="preserve"> W0</w:t>
      </w:r>
      <w:r w:rsidRPr="00FA4EF4">
        <w:rPr>
          <w:vertAlign w:val="subscript"/>
        </w:rPr>
        <w:t>3</w:t>
      </w:r>
      <w:r w:rsidRPr="00FA4EF4">
        <w:t>.</w:t>
      </w:r>
      <w:r w:rsidR="00C25B8F">
        <w:t xml:space="preserve"> Note that </w:t>
      </w:r>
      <w:r w:rsidR="00C25B8F" w:rsidRPr="00FA4EF4">
        <w:fldChar w:fldCharType="begin"/>
      </w:r>
      <w:r w:rsidR="00C25B8F" w:rsidRPr="00FA4EF4">
        <w:instrText xml:space="preserve"> ADDIN ZOTERO_ITEM CSL_CITATION {"citationID":"aQAssVQj","properties":{"formattedCitation":"(Meyertons, 1975)","plainCitation":"(Meyertons, 1975)","dontUpdate":true,"noteIndex":0},"citationItems":[{"id":77,"uris":["http://zotero.org/users/17206691/items/B3WBRLXM"],"itemData":{"id":77,"type":"report","page":"1-11","title":"A Preliminary Estimate of Tungsten Content of Tungsten Queen Tailing for Ranchers Exploration &amp; Development Corporation","author":[{"family":"Meyertons","given":"Ralph"}],"issued":{"date-parts":[["1975"]]}}}],"schema":"https://github.com/citation-style-language/schema/raw/master/csl-citation.json"} </w:instrText>
      </w:r>
      <w:r w:rsidR="00C25B8F" w:rsidRPr="00FA4EF4">
        <w:fldChar w:fldCharType="separate"/>
      </w:r>
      <w:r w:rsidR="00C25B8F" w:rsidRPr="00FA4EF4">
        <w:t>Meyertons (1975)</w:t>
      </w:r>
      <w:r w:rsidR="00C25B8F" w:rsidRPr="00FA4EF4">
        <w:fldChar w:fldCharType="end"/>
      </w:r>
      <w:r w:rsidR="00C25B8F">
        <w:t xml:space="preserve"> does not specify </w:t>
      </w:r>
      <w:r w:rsidR="00A6549B">
        <w:t xml:space="preserve">whether this </w:t>
      </w:r>
      <w:r w:rsidR="00A6549B" w:rsidRPr="00FA4EF4">
        <w:t>2,038,000</w:t>
      </w:r>
      <w:r w:rsidR="00A6549B">
        <w:t xml:space="preserve"> is </w:t>
      </w:r>
      <w:r w:rsidR="00C25B8F">
        <w:t>metric tons (t) or short ton units (STU)</w:t>
      </w:r>
      <w:r w:rsidR="00A6549B">
        <w:t>, but given his use of STU throughout the publication, we assume it to be STU.</w:t>
      </w:r>
      <w:r w:rsidRPr="00FA4EF4">
        <w:rPr>
          <w:color w:val="000000"/>
        </w:rPr>
        <w:t xml:space="preserve"> </w:t>
      </w:r>
      <w:r w:rsidRPr="00FA4EF4">
        <w:rPr>
          <w:color w:val="000000"/>
        </w:rPr>
        <w:fldChar w:fldCharType="begin"/>
      </w:r>
      <w:r w:rsidRPr="00FA4EF4">
        <w:rPr>
          <w:color w:val="000000"/>
        </w:rPr>
        <w:instrText xml:space="preserve"> ADDIN ZOTERO_ITEM CSL_CITATION {"citationID":"hivx1ttD","properties":{"formattedCitation":"(Reid et al., 2017)","plainCitation":"(Reid et al., 2017)","dontUpdate":true,"noteIndex":0},"citationItems":[{"id":64,"uris":["http://zotero.org/users/17206691/items/XUZ4MF6F"],"itemData":{"id":64,"type":"article-journal","abstract":"The Tungsten (Hamme) Queen mine is located at Tungsten, NC, 16 miles northwest of Henderson, NC, and 2 miles south of the Virginia state line. The ore occurs in a near vertical quartz vein ranging in width from a few inches to several ft. Hübnerite, the principal tungsten mineral, is accompanied by a minor amount of scheelite. Pyrite, the predominate metallic mineral in the quartz veins, is accompanied by subordinate chalcopyrite, galena, sphalerite, and tetrahedrite. Fluorite is a common accessory mineral in the ore and tailings. Our objective was a preliminary evaluation to produce a high quality quartz concentrate from the approximately 2 million tons of tailings present. Shallow drilling and pits &lt;6 ft deep recovered ~60-pounds of wet tailings from gridded sites on the tailings fan from just below the mill discharge point. The quartz concentrate was produced using bench scale beneeciation methods including otation, magnetic, and gravity separation. Size fractions were evaluated for full mineral liberation and non-quartz species using binocular and petrographic microscopes. Quartz analyses were obtained by ICP mass-spectrometry. A concentration ow chart was developed for the heavy and light speciic gravity fractions. Chemical analysis indicates that the quartz may be suitable for fused quartz and silica glass applications. Fluorite comprises up to ~2.5 wt. % of the heavy fraction and is a potential glass ux and other uses. Accessory hübnerite, scheelite, galena, chalcopy-rite, and sphalerite may also be recoverable. Study objectives A high purity quartz concentrate was produced using bench scale beneeciation methods including otation, magnetic, and gravity separation. Chemical analysis indicates that the quartz may be suitable for fused quartz and silica glass applications. Fluorite comprises up to ~2.5 wt. % of the heavy fraction and is a potential glass ux and other uses. Accessory hüebnerite, scheelite, galena, chalcopyrite, and sphalerite may also be recoverable.","container-title":"North Carolina Geological Survey Open-file report","page":"1","title":"Tungsten Queen Mine Tailings Evaluation, Vance Co., NC: A Potential Silica Resource","volume":"2017-01","author":[{"family":"Reid","given":"Jeffrey C."},{"family":"Taylor","given":"Kenneth B"},{"family":"Mensah-Biney","given":"Robert"},{"family":"Simms","given":"Jonathan"},{"family":"Akbari","given":"Hamid"}],"issued":{"date-parts":[["2017"]]}}}],"schema":"https://github.com/citation-style-language/schema/raw/master/csl-citation.json"} </w:instrText>
      </w:r>
      <w:r w:rsidRPr="00FA4EF4">
        <w:rPr>
          <w:color w:val="000000"/>
        </w:rPr>
        <w:fldChar w:fldCharType="separate"/>
      </w:r>
      <w:r w:rsidRPr="00FA4EF4">
        <w:t>Reid et al. (2017)</w:t>
      </w:r>
      <w:r w:rsidRPr="00FA4EF4">
        <w:rPr>
          <w:color w:val="000000"/>
        </w:rPr>
        <w:fldChar w:fldCharType="end"/>
      </w:r>
      <w:r w:rsidRPr="00FA4EF4">
        <w:rPr>
          <w:color w:val="000000"/>
        </w:rPr>
        <w:t xml:space="preserve"> evaluated the Tungsten Queen mine tailings as a source of high-purity quartz, concluding it could be suitable for silica glass and fused quartz applications. </w:t>
      </w:r>
      <w:r w:rsidRPr="00FA4EF4">
        <w:rPr>
          <w:color w:val="000000"/>
        </w:rPr>
        <w:fldChar w:fldCharType="begin"/>
      </w:r>
      <w:r w:rsidRPr="00FA4EF4">
        <w:rPr>
          <w:color w:val="000000"/>
        </w:rPr>
        <w:instrText xml:space="preserve"> ADDIN ZOTERO_ITEM CSL_CITATION {"citationID":"7PnqiS8E","properties":{"formattedCitation":"(Reid et al., 2017)","plainCitation":"(Reid et al., 2017)","dontUpdate":true,"noteIndex":0},"citationItems":[{"id":64,"uris":["http://zotero.org/users/17206691/items/XUZ4MF6F"],"itemData":{"id":64,"type":"article-journal","abstract":"The Tungsten (Hamme) Queen mine is located at Tungsten, NC, 16 miles northwest of Henderson, NC, and 2 miles south of the Virginia state line. The ore occurs in a near vertical quartz vein ranging in width from a few inches to several ft. Hübnerite, the principal tungsten mineral, is accompanied by a minor amount of scheelite. Pyrite, the predominate metallic mineral in the quartz veins, is accompanied by subordinate chalcopyrite, galena, sphalerite, and tetrahedrite. Fluorite is a common accessory mineral in the ore and tailings. Our objective was a preliminary evaluation to produce a high quality quartz concentrate from the approximately 2 million tons of tailings present. Shallow drilling and pits &lt;6 ft deep recovered ~60-pounds of wet tailings from gridded sites on the tailings fan from just below the mill discharge point. The quartz concentrate was produced using bench scale beneeciation methods including otation, magnetic, and gravity separation. Size fractions were evaluated for full mineral liberation and non-quartz species using binocular and petrographic microscopes. Quartz analyses were obtained by ICP mass-spectrometry. A concentration ow chart was developed for the heavy and light speciic gravity fractions. Chemical analysis indicates that the quartz may be suitable for fused quartz and silica glass applications. Fluorite comprises up to ~2.5 wt. % of the heavy fraction and is a potential glass ux and other uses. Accessory hübnerite, scheelite, galena, chalcopy-rite, and sphalerite may also be recoverable. Study objectives A high purity quartz concentrate was produced using bench scale beneeciation methods including otation, magnetic, and gravity separation. Chemical analysis indicates that the quartz may be suitable for fused quartz and silica glass applications. Fluorite comprises up to ~2.5 wt. % of the heavy fraction and is a potential glass ux and other uses. Accessory hüebnerite, scheelite, galena, chalcopyrite, and sphalerite may also be recoverable.","container-title":"North Carolina Geological Survey Open-file report","page":"1","title":"Tungsten Queen Mine Tailings Evaluation, Vance Co., NC: A Potential Silica Resource","volume":"2017-01","author":[{"family":"Reid","given":"Jeffrey C."},{"family":"Taylor","given":"Kenneth B"},{"family":"Mensah-Biney","given":"Robert"},{"family":"Simms","given":"Jonathan"},{"family":"Akbari","given":"Hamid"}],"issued":{"date-parts":[["2017"]]}}}],"schema":"https://github.com/citation-style-language/schema/raw/master/csl-citation.json"} </w:instrText>
      </w:r>
      <w:r w:rsidRPr="00FA4EF4">
        <w:rPr>
          <w:color w:val="000000"/>
        </w:rPr>
        <w:fldChar w:fldCharType="separate"/>
      </w:r>
      <w:r w:rsidRPr="00FA4EF4">
        <w:t>Reid et al. (2017)</w:t>
      </w:r>
      <w:r w:rsidRPr="00FA4EF4">
        <w:rPr>
          <w:color w:val="000000"/>
        </w:rPr>
        <w:fldChar w:fldCharType="end"/>
      </w:r>
      <w:r w:rsidRPr="00FA4EF4">
        <w:rPr>
          <w:color w:val="000000"/>
        </w:rPr>
        <w:t xml:space="preserve"> also noted that fluorite represents up to 2.5 weight percent (wt%) of the heavy fraction, with potentially recoverable hubnerite, scheelite, galena, chalcopyrite, and sphalerite as accessory minerals. </w:t>
      </w:r>
      <w:r w:rsidRPr="00FA4EF4">
        <w:rPr>
          <w:color w:val="000000"/>
        </w:rPr>
        <w:fldChar w:fldCharType="begin"/>
      </w:r>
      <w:r w:rsidRPr="00FA4EF4">
        <w:rPr>
          <w:color w:val="000000"/>
        </w:rPr>
        <w:instrText xml:space="preserve"> ADDIN ZOTERO_ITEM CSL_CITATION {"citationID":"nF4LnRQX","properties":{"formattedCitation":"(Chaumba et al., 2015)","plainCitation":"(Chaumba et al., 2015)","dontUpdate":true,"noteIndex":0},"citationItems":[{"id":66,"uris":["http://zotero.org/users/17206691/items/6QNQWHMF"],"itemData":{"id":66,"type":"article-journal","abstract":"The Hamme (Tungsten Queen) mine, Vance County, N.C., was worked for wol-framite-huebnerite and it also produced minor amounts of sulfides (copper and silver). At this deposit, there are about 1 million metric tons of quartz-dominated tailings containing about 0.25% WO 3 , with accessory fluorite and very minor sulfides-mostly ga-lena with accessory silver concentrations. We undertook a petrographic and mineral composition study of the huebnerite, galena, and chalcopyrite to help place constrains on the origin of the deposit. Under the microscope, huebnerite shows zoning which is not reflected in the chemistry of the mineral. All minerals investigated have concentrations which show very limited compositional ranges. Huebnerite is strongly enriched in WO 3 (73.5-75.5 wt.%), MnWO 4 (97.3-99.7%), and Mn (1.037-1.065 atoms per formula unit, apfu) but is depleted in Fe 2+ (0.040-0.029 apfu). Sulfide mineralogy is composed of galena with concentrations of Pb (83.0-85.8 wt.%) and S (13.2-13.9 wt.%), and chalcopyrite with concentrations of Cu (33.8-38.2 wt.%), Fe (29.7-29.9 wt.%), and S (34.5-34.6 wt.%). Sulfur concentrations of galena in Hamme (Tungsten Queen) deposit are comparable to other lead deposits elsewhere. Coarser-grained and anhedral gale-nas have slightly higher Pb concentrations than those which occur either as rims to huebnerites or as 'intercumulus phases' between huebnerites. Hamme (Tungsten Queen) deposit huebnerite compositions reported here are comparable (although slightly enriched in Mn but depleted in Fe 2+) to other huebnerite deposits such as Round Mountain in Nevada and some huebnerites from Portugal. Compared to other wolfram-ite deposits, the Hamme (Tungsten Queen) deposit is more depleted in Fe 2+ and highly enriched in MnWO 4 , an indication of a lack of substitution of its Mn by other cations. Based on findings from this study, it is concluded that Hamme (Tungsten Queen) deposit huebnerites were formed early in the history of formation of the deposit and were little affected by a later hydrothermal event that affected the district. Galena inclusions in huebnerites and coarser-grained galenas, which are comprised of slightly higher Pb concentrations, are interpreted to be primary , likely formed at the time of formation of the enclosing huebnerites, than galenas which occur as 'intercumulus' grains and are also slightly depleted in Pb. These latter galena crystals likely formed later, probably during metamorphism and associated hy-drothermal alteration.","container-title":"Southeastern Geology","issue":"1","page":"33-49","title":"Hamme (Tungsten Queen) Mine Tailings, Vance County, North Carolina: Mineral chemistry of Potentially Recoverable Huebnerite-Wolframite and Sulfide Minerals","volume":"51","author":[{"family":"Chaumba","given":"Jeff B"},{"family":"Reid","given":"Jeffrey C"},{"family":"Parker","given":"Johnathon C"}],"issued":{"date-parts":[["2015"]]}}}],"schema":"https://github.com/citation-style-language/schema/raw/master/csl-citation.json"} </w:instrText>
      </w:r>
      <w:r w:rsidRPr="00FA4EF4">
        <w:rPr>
          <w:color w:val="000000"/>
        </w:rPr>
        <w:fldChar w:fldCharType="separate"/>
      </w:r>
      <w:r w:rsidRPr="00FA4EF4">
        <w:t>Chaumba et al. (2015)</w:t>
      </w:r>
      <w:r w:rsidRPr="00FA4EF4">
        <w:rPr>
          <w:color w:val="000000"/>
        </w:rPr>
        <w:fldChar w:fldCharType="end"/>
      </w:r>
      <w:r w:rsidRPr="00FA4EF4">
        <w:rPr>
          <w:color w:val="000000"/>
        </w:rPr>
        <w:t xml:space="preserve"> and </w:t>
      </w:r>
      <w:r w:rsidRPr="00FA4EF4">
        <w:rPr>
          <w:color w:val="000000"/>
        </w:rPr>
        <w:fldChar w:fldCharType="begin"/>
      </w:r>
      <w:r w:rsidRPr="00FA4EF4">
        <w:rPr>
          <w:color w:val="000000"/>
        </w:rPr>
        <w:instrText xml:space="preserve"> ADDIN ZOTERO_ITEM CSL_CITATION {"citationID":"j3M3zmWr","properties":{"formattedCitation":"(Parker et al., 2015)","plainCitation":"(Parker et al., 2015)","dontUpdate":true,"noteIndex":0},"citationItems":[{"id":62,"uris":["http://zotero.org/users/17206691/items/J5WDDJNY"],"itemData":{"id":62,"type":"article-journal","container-title":"Geological Society of America Abstracts with Programs","issue":"2","page":"6","title":"Hamme (Tungsten Queen) Mine Tailings, Vance County, North Carolina: Mineral Chemistry of Potentially Recoverable Huebernite-Wolframite and Sulfide Minerals","volume":"47","author":[{"family":"Parker","given":"Johnathon C."},{"family":"Reid","given":"Jeffrey C."},{"family":"Chaumba","given":"Jeff B."}],"issued":{"date-parts":[["2015"]]}}}],"schema":"https://github.com/citation-style-language/schema/raw/master/csl-citation.json"} </w:instrText>
      </w:r>
      <w:r w:rsidRPr="00FA4EF4">
        <w:rPr>
          <w:color w:val="000000"/>
        </w:rPr>
        <w:fldChar w:fldCharType="separate"/>
      </w:r>
      <w:r w:rsidRPr="00FA4EF4">
        <w:t>Parker et al. (2015)</w:t>
      </w:r>
      <w:r w:rsidRPr="00FA4EF4">
        <w:rPr>
          <w:color w:val="000000"/>
        </w:rPr>
        <w:fldChar w:fldCharType="end"/>
      </w:r>
      <w:r w:rsidRPr="00FA4EF4">
        <w:rPr>
          <w:color w:val="000000"/>
        </w:rPr>
        <w:t xml:space="preserve"> conducted electron</w:t>
      </w:r>
      <w:r>
        <w:rPr>
          <w:color w:val="000000"/>
        </w:rPr>
        <w:t xml:space="preserve"> m</w:t>
      </w:r>
      <w:r w:rsidRPr="00FA4EF4">
        <w:rPr>
          <w:color w:val="000000"/>
        </w:rPr>
        <w:t xml:space="preserve">icroprobe analysis on hubnerite-wolframite in Tungsten Queen ore and tailings samples and concluded they were highly enriched in the critical mineral manganese. </w:t>
      </w:r>
      <w:r w:rsidRPr="00FA4EF4">
        <w:t>The microprobe</w:t>
      </w:r>
      <w:r>
        <w:t xml:space="preserve"> </w:t>
      </w:r>
      <w:r w:rsidRPr="00FA4EF4">
        <w:t xml:space="preserve">studies also </w:t>
      </w:r>
      <w:r w:rsidRPr="00FA4EF4">
        <w:rPr>
          <w:color w:val="000000"/>
        </w:rPr>
        <w:t>provided</w:t>
      </w:r>
      <w:r w:rsidRPr="00FA4EF4">
        <w:t xml:space="preserve"> information on the chemistry of Tungsten Queen chalcopyrite and galena; however, the work focused on constraining the deposit’s geologic environment of formation </w:t>
      </w:r>
    </w:p>
    <w:p w14:paraId="051E0D70" w14:textId="77777777" w:rsidR="002C492A" w:rsidRDefault="002C492A" w:rsidP="002C492A">
      <w:pPr>
        <w:ind w:firstLine="0"/>
      </w:pPr>
    </w:p>
    <w:tbl>
      <w:tblPr>
        <w:tblW w:w="8907" w:type="dxa"/>
        <w:tblLook w:val="04A0" w:firstRow="1" w:lastRow="0" w:firstColumn="1" w:lastColumn="0" w:noHBand="0" w:noVBand="1"/>
      </w:tblPr>
      <w:tblGrid>
        <w:gridCol w:w="2168"/>
        <w:gridCol w:w="2689"/>
        <w:gridCol w:w="1980"/>
        <w:gridCol w:w="2070"/>
      </w:tblGrid>
      <w:tr w:rsidR="004B0257" w:rsidRPr="00FA4EF4" w14:paraId="41FC8827" w14:textId="77777777" w:rsidTr="002C492A">
        <w:trPr>
          <w:trHeight w:val="312"/>
        </w:trPr>
        <w:tc>
          <w:tcPr>
            <w:tcW w:w="8907" w:type="dxa"/>
            <w:gridSpan w:val="4"/>
            <w:tcBorders>
              <w:top w:val="nil"/>
              <w:left w:val="nil"/>
              <w:bottom w:val="nil"/>
              <w:right w:val="nil"/>
            </w:tcBorders>
            <w:noWrap/>
            <w:vAlign w:val="bottom"/>
            <w:hideMark/>
          </w:tcPr>
          <w:p w14:paraId="2994869A" w14:textId="77777777" w:rsidR="004B0257" w:rsidRPr="00D1375B" w:rsidRDefault="004B0257" w:rsidP="009743E1">
            <w:pPr>
              <w:spacing w:after="0"/>
              <w:rPr>
                <w:rFonts w:eastAsia="Times New Roman" w:cs="Times New Roman"/>
                <w:color w:val="000000"/>
                <w:sz w:val="20"/>
                <w:szCs w:val="20"/>
              </w:rPr>
            </w:pPr>
            <w:r w:rsidRPr="00D1375B">
              <w:rPr>
                <w:rFonts w:eastAsia="Times New Roman" w:cs="Times New Roman"/>
                <w:color w:val="000000"/>
                <w:sz w:val="20"/>
                <w:szCs w:val="20"/>
              </w:rPr>
              <w:lastRenderedPageBreak/>
              <w:t>Table 1. Deposit Mineralogy, Critical Minerals, and Estimated Mineral Abundance</w:t>
            </w:r>
          </w:p>
        </w:tc>
      </w:tr>
      <w:tr w:rsidR="004B0257" w:rsidRPr="00161102" w14:paraId="499B106A" w14:textId="77777777" w:rsidTr="002C492A">
        <w:trPr>
          <w:trHeight w:val="485"/>
        </w:trPr>
        <w:tc>
          <w:tcPr>
            <w:tcW w:w="2168" w:type="dxa"/>
            <w:tcBorders>
              <w:top w:val="single" w:sz="4" w:space="0" w:color="auto"/>
              <w:left w:val="nil"/>
              <w:bottom w:val="double" w:sz="6" w:space="0" w:color="auto"/>
              <w:right w:val="nil"/>
            </w:tcBorders>
            <w:vAlign w:val="bottom"/>
            <w:hideMark/>
          </w:tcPr>
          <w:p w14:paraId="10002194" w14:textId="77777777" w:rsidR="004B0257" w:rsidRPr="00161102" w:rsidRDefault="004B0257" w:rsidP="00303038">
            <w:pPr>
              <w:spacing w:after="0"/>
              <w:ind w:firstLine="0"/>
              <w:jc w:val="center"/>
              <w:rPr>
                <w:rFonts w:eastAsia="Times New Roman" w:cs="Times New Roman"/>
                <w:b/>
                <w:bCs/>
                <w:color w:val="000000"/>
                <w:sz w:val="20"/>
                <w:szCs w:val="20"/>
              </w:rPr>
            </w:pPr>
            <w:r w:rsidRPr="00161102">
              <w:rPr>
                <w:rFonts w:eastAsia="Times New Roman" w:cs="Times New Roman"/>
                <w:b/>
                <w:bCs/>
                <w:color w:val="000000"/>
                <w:sz w:val="20"/>
                <w:szCs w:val="20"/>
              </w:rPr>
              <w:t>Mineral Reported in Vein</w:t>
            </w:r>
          </w:p>
        </w:tc>
        <w:tc>
          <w:tcPr>
            <w:tcW w:w="2689" w:type="dxa"/>
            <w:tcBorders>
              <w:top w:val="single" w:sz="4" w:space="0" w:color="auto"/>
              <w:left w:val="nil"/>
              <w:bottom w:val="double" w:sz="6" w:space="0" w:color="auto"/>
              <w:right w:val="nil"/>
            </w:tcBorders>
            <w:vAlign w:val="bottom"/>
            <w:hideMark/>
          </w:tcPr>
          <w:p w14:paraId="7014E355" w14:textId="77777777" w:rsidR="004B0257" w:rsidRPr="00161102" w:rsidRDefault="004B0257" w:rsidP="00303038">
            <w:pPr>
              <w:spacing w:after="0"/>
              <w:rPr>
                <w:rFonts w:eastAsia="Times New Roman" w:cs="Times New Roman"/>
                <w:b/>
                <w:bCs/>
                <w:color w:val="000000"/>
                <w:sz w:val="20"/>
                <w:szCs w:val="20"/>
              </w:rPr>
            </w:pPr>
            <w:r w:rsidRPr="00161102">
              <w:rPr>
                <w:rFonts w:eastAsia="Times New Roman" w:cs="Times New Roman"/>
                <w:b/>
                <w:bCs/>
                <w:color w:val="000000"/>
                <w:sz w:val="20"/>
                <w:szCs w:val="20"/>
              </w:rPr>
              <w:t>Chemical Formula</w:t>
            </w:r>
          </w:p>
        </w:tc>
        <w:tc>
          <w:tcPr>
            <w:tcW w:w="1980" w:type="dxa"/>
            <w:tcBorders>
              <w:top w:val="single" w:sz="4" w:space="0" w:color="auto"/>
              <w:left w:val="nil"/>
              <w:bottom w:val="double" w:sz="6" w:space="0" w:color="auto"/>
              <w:right w:val="nil"/>
            </w:tcBorders>
            <w:vAlign w:val="bottom"/>
            <w:hideMark/>
          </w:tcPr>
          <w:p w14:paraId="6C623966" w14:textId="77777777" w:rsidR="004B0257" w:rsidRPr="00161102" w:rsidRDefault="004B0257" w:rsidP="00303038">
            <w:pPr>
              <w:spacing w:after="0"/>
              <w:ind w:firstLine="0"/>
              <w:rPr>
                <w:rFonts w:eastAsia="Times New Roman" w:cs="Times New Roman"/>
                <w:b/>
                <w:bCs/>
                <w:color w:val="000000"/>
                <w:sz w:val="20"/>
                <w:szCs w:val="20"/>
              </w:rPr>
            </w:pPr>
            <w:r w:rsidRPr="00161102">
              <w:rPr>
                <w:rFonts w:eastAsia="Times New Roman" w:cs="Times New Roman"/>
                <w:b/>
                <w:bCs/>
                <w:color w:val="000000"/>
                <w:sz w:val="20"/>
                <w:szCs w:val="20"/>
              </w:rPr>
              <w:t>Critical Minerals</w:t>
            </w:r>
            <w:r w:rsidRPr="00161102">
              <w:rPr>
                <w:rFonts w:eastAsia="Times New Roman" w:cs="Times New Roman"/>
                <w:b/>
                <w:bCs/>
                <w:color w:val="000000"/>
                <w:sz w:val="20"/>
                <w:szCs w:val="20"/>
                <w:vertAlign w:val="superscript"/>
              </w:rPr>
              <w:t>4</w:t>
            </w:r>
          </w:p>
        </w:tc>
        <w:tc>
          <w:tcPr>
            <w:tcW w:w="2070" w:type="dxa"/>
            <w:tcBorders>
              <w:top w:val="single" w:sz="4" w:space="0" w:color="auto"/>
              <w:left w:val="nil"/>
              <w:bottom w:val="double" w:sz="6" w:space="0" w:color="auto"/>
              <w:right w:val="nil"/>
            </w:tcBorders>
            <w:vAlign w:val="bottom"/>
            <w:hideMark/>
          </w:tcPr>
          <w:p w14:paraId="0F40F246" w14:textId="77777777" w:rsidR="004B0257" w:rsidRPr="00161102" w:rsidRDefault="004B0257" w:rsidP="00303038">
            <w:pPr>
              <w:spacing w:after="0"/>
              <w:ind w:firstLine="0"/>
              <w:rPr>
                <w:rFonts w:eastAsia="Times New Roman" w:cs="Times New Roman"/>
                <w:b/>
                <w:bCs/>
                <w:color w:val="000000"/>
                <w:sz w:val="20"/>
                <w:szCs w:val="20"/>
              </w:rPr>
            </w:pPr>
            <w:r w:rsidRPr="00161102">
              <w:rPr>
                <w:rFonts w:eastAsia="Times New Roman" w:cs="Times New Roman"/>
                <w:b/>
                <w:bCs/>
                <w:color w:val="000000"/>
                <w:sz w:val="20"/>
                <w:szCs w:val="20"/>
              </w:rPr>
              <w:t xml:space="preserve">Estimated Mineral Abundance </w:t>
            </w:r>
            <w:r w:rsidRPr="007F0D68">
              <w:rPr>
                <w:rFonts w:eastAsia="Times New Roman" w:cs="Times New Roman"/>
                <w:b/>
                <w:bCs/>
                <w:color w:val="000000"/>
                <w:sz w:val="20"/>
                <w:szCs w:val="20"/>
              </w:rPr>
              <w:t>in</w:t>
            </w:r>
            <w:r w:rsidRPr="00161102">
              <w:rPr>
                <w:rFonts w:eastAsia="Times New Roman" w:cs="Times New Roman"/>
                <w:b/>
                <w:bCs/>
                <w:color w:val="000000"/>
                <w:sz w:val="20"/>
                <w:szCs w:val="20"/>
              </w:rPr>
              <w:t xml:space="preserve"> Vein</w:t>
            </w:r>
            <w:r w:rsidRPr="00161102">
              <w:rPr>
                <w:rFonts w:eastAsia="Times New Roman" w:cs="Times New Roman"/>
                <w:b/>
                <w:bCs/>
                <w:color w:val="000000"/>
                <w:sz w:val="20"/>
                <w:szCs w:val="20"/>
                <w:vertAlign w:val="superscript"/>
              </w:rPr>
              <w:t>1</w:t>
            </w:r>
          </w:p>
        </w:tc>
      </w:tr>
      <w:tr w:rsidR="004B0257" w:rsidRPr="00161102" w14:paraId="0379A6E3" w14:textId="77777777" w:rsidTr="002C492A">
        <w:trPr>
          <w:trHeight w:val="245"/>
        </w:trPr>
        <w:tc>
          <w:tcPr>
            <w:tcW w:w="2168" w:type="dxa"/>
            <w:tcBorders>
              <w:top w:val="nil"/>
              <w:left w:val="nil"/>
              <w:bottom w:val="nil"/>
              <w:right w:val="nil"/>
            </w:tcBorders>
            <w:noWrap/>
            <w:vAlign w:val="center"/>
            <w:hideMark/>
          </w:tcPr>
          <w:p w14:paraId="5CD19A0F"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Quartz</w:t>
            </w:r>
            <w:r w:rsidRPr="00161102">
              <w:rPr>
                <w:rFonts w:eastAsia="Times New Roman" w:cs="Times New Roman"/>
                <w:color w:val="000000"/>
                <w:sz w:val="20"/>
                <w:szCs w:val="20"/>
                <w:vertAlign w:val="superscript"/>
              </w:rPr>
              <w:t>1</w:t>
            </w:r>
          </w:p>
        </w:tc>
        <w:tc>
          <w:tcPr>
            <w:tcW w:w="2689" w:type="dxa"/>
            <w:tcBorders>
              <w:top w:val="nil"/>
              <w:left w:val="nil"/>
              <w:bottom w:val="nil"/>
              <w:right w:val="nil"/>
            </w:tcBorders>
            <w:noWrap/>
            <w:vAlign w:val="center"/>
            <w:hideMark/>
          </w:tcPr>
          <w:p w14:paraId="70100C56"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SiO</w:t>
            </w:r>
            <w:r w:rsidRPr="00161102">
              <w:rPr>
                <w:rFonts w:eastAsia="Times New Roman" w:cs="Times New Roman"/>
                <w:color w:val="000000"/>
                <w:sz w:val="20"/>
                <w:szCs w:val="20"/>
                <w:vertAlign w:val="subscript"/>
              </w:rPr>
              <w:t>2</w:t>
            </w:r>
          </w:p>
        </w:tc>
        <w:tc>
          <w:tcPr>
            <w:tcW w:w="1980" w:type="dxa"/>
            <w:tcBorders>
              <w:top w:val="nil"/>
              <w:left w:val="nil"/>
              <w:bottom w:val="nil"/>
              <w:right w:val="nil"/>
            </w:tcBorders>
            <w:noWrap/>
            <w:vAlign w:val="center"/>
            <w:hideMark/>
          </w:tcPr>
          <w:p w14:paraId="32B625BF"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N/A</w:t>
            </w:r>
          </w:p>
        </w:tc>
        <w:tc>
          <w:tcPr>
            <w:tcW w:w="2070" w:type="dxa"/>
            <w:tcBorders>
              <w:top w:val="nil"/>
              <w:left w:val="nil"/>
              <w:bottom w:val="nil"/>
              <w:right w:val="nil"/>
            </w:tcBorders>
            <w:noWrap/>
            <w:vAlign w:val="bottom"/>
            <w:hideMark/>
          </w:tcPr>
          <w:p w14:paraId="10D2D673"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92%</w:t>
            </w:r>
          </w:p>
        </w:tc>
      </w:tr>
      <w:tr w:rsidR="004B0257" w:rsidRPr="00161102" w14:paraId="2976DF22" w14:textId="77777777" w:rsidTr="002C492A">
        <w:trPr>
          <w:trHeight w:val="245"/>
        </w:trPr>
        <w:tc>
          <w:tcPr>
            <w:tcW w:w="2168" w:type="dxa"/>
            <w:tcBorders>
              <w:top w:val="nil"/>
              <w:left w:val="nil"/>
              <w:bottom w:val="nil"/>
              <w:right w:val="nil"/>
            </w:tcBorders>
            <w:noWrap/>
            <w:vAlign w:val="center"/>
            <w:hideMark/>
          </w:tcPr>
          <w:p w14:paraId="6D041347"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Sericite</w:t>
            </w:r>
            <w:r w:rsidRPr="00161102">
              <w:rPr>
                <w:rFonts w:eastAsia="Times New Roman" w:cs="Times New Roman"/>
                <w:color w:val="000000"/>
                <w:sz w:val="20"/>
                <w:szCs w:val="20"/>
                <w:vertAlign w:val="superscript"/>
              </w:rPr>
              <w:t>1</w:t>
            </w:r>
          </w:p>
        </w:tc>
        <w:tc>
          <w:tcPr>
            <w:tcW w:w="2689" w:type="dxa"/>
            <w:tcBorders>
              <w:top w:val="nil"/>
              <w:left w:val="nil"/>
              <w:bottom w:val="nil"/>
              <w:right w:val="nil"/>
            </w:tcBorders>
            <w:noWrap/>
            <w:vAlign w:val="center"/>
            <w:hideMark/>
          </w:tcPr>
          <w:p w14:paraId="50646934"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KAl</w:t>
            </w:r>
            <w:r w:rsidRPr="00161102">
              <w:rPr>
                <w:rFonts w:eastAsia="Times New Roman" w:cs="Times New Roman"/>
                <w:color w:val="000000"/>
                <w:sz w:val="20"/>
                <w:szCs w:val="20"/>
                <w:vertAlign w:val="subscript"/>
              </w:rPr>
              <w:t>3</w:t>
            </w:r>
            <w:r w:rsidRPr="00161102">
              <w:rPr>
                <w:rFonts w:eastAsia="Times New Roman" w:cs="Times New Roman"/>
                <w:color w:val="000000"/>
                <w:sz w:val="20"/>
                <w:szCs w:val="20"/>
              </w:rPr>
              <w:t>Si</w:t>
            </w:r>
            <w:r w:rsidRPr="00161102">
              <w:rPr>
                <w:rFonts w:eastAsia="Times New Roman" w:cs="Times New Roman"/>
                <w:color w:val="000000"/>
                <w:sz w:val="20"/>
                <w:szCs w:val="20"/>
                <w:vertAlign w:val="subscript"/>
              </w:rPr>
              <w:t>3</w:t>
            </w:r>
            <w:r w:rsidRPr="00161102">
              <w:rPr>
                <w:rFonts w:eastAsia="Times New Roman" w:cs="Times New Roman"/>
                <w:color w:val="000000"/>
                <w:sz w:val="20"/>
                <w:szCs w:val="20"/>
              </w:rPr>
              <w:t>O</w:t>
            </w:r>
            <w:r w:rsidRPr="00161102">
              <w:rPr>
                <w:rFonts w:eastAsia="Times New Roman" w:cs="Times New Roman"/>
                <w:color w:val="000000"/>
                <w:sz w:val="20"/>
                <w:szCs w:val="20"/>
                <w:vertAlign w:val="subscript"/>
              </w:rPr>
              <w:t>10</w:t>
            </w:r>
            <w:r w:rsidRPr="00161102">
              <w:rPr>
                <w:rFonts w:eastAsia="Times New Roman" w:cs="Times New Roman"/>
                <w:color w:val="000000"/>
                <w:sz w:val="20"/>
                <w:szCs w:val="20"/>
              </w:rPr>
              <w:t>(OH,F)</w:t>
            </w:r>
            <w:r w:rsidRPr="00161102">
              <w:rPr>
                <w:rFonts w:eastAsia="Times New Roman" w:cs="Times New Roman"/>
                <w:color w:val="000000"/>
                <w:sz w:val="20"/>
                <w:szCs w:val="20"/>
                <w:vertAlign w:val="subscript"/>
              </w:rPr>
              <w:t>2</w:t>
            </w:r>
          </w:p>
        </w:tc>
        <w:tc>
          <w:tcPr>
            <w:tcW w:w="1980" w:type="dxa"/>
            <w:tcBorders>
              <w:top w:val="nil"/>
              <w:left w:val="nil"/>
              <w:bottom w:val="nil"/>
              <w:right w:val="nil"/>
            </w:tcBorders>
            <w:noWrap/>
            <w:vAlign w:val="center"/>
            <w:hideMark/>
          </w:tcPr>
          <w:p w14:paraId="3724C4A3"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Al</w:t>
            </w:r>
          </w:p>
        </w:tc>
        <w:tc>
          <w:tcPr>
            <w:tcW w:w="2070" w:type="dxa"/>
            <w:tcBorders>
              <w:top w:val="nil"/>
              <w:left w:val="nil"/>
              <w:bottom w:val="nil"/>
              <w:right w:val="nil"/>
            </w:tcBorders>
            <w:noWrap/>
            <w:vAlign w:val="bottom"/>
            <w:hideMark/>
          </w:tcPr>
          <w:p w14:paraId="18986567"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3%</w:t>
            </w:r>
          </w:p>
        </w:tc>
      </w:tr>
      <w:tr w:rsidR="004B0257" w:rsidRPr="00161102" w14:paraId="1A8B7FFA" w14:textId="77777777" w:rsidTr="002C492A">
        <w:trPr>
          <w:trHeight w:val="245"/>
        </w:trPr>
        <w:tc>
          <w:tcPr>
            <w:tcW w:w="2168" w:type="dxa"/>
            <w:tcBorders>
              <w:top w:val="nil"/>
              <w:left w:val="nil"/>
              <w:bottom w:val="nil"/>
              <w:right w:val="nil"/>
            </w:tcBorders>
            <w:noWrap/>
            <w:vAlign w:val="center"/>
            <w:hideMark/>
          </w:tcPr>
          <w:p w14:paraId="505AF677"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Fluorite</w:t>
            </w:r>
            <w:r w:rsidRPr="00161102">
              <w:rPr>
                <w:rFonts w:eastAsia="Times New Roman" w:cs="Times New Roman"/>
                <w:color w:val="000000"/>
                <w:sz w:val="20"/>
                <w:szCs w:val="20"/>
                <w:vertAlign w:val="superscript"/>
              </w:rPr>
              <w:t>1</w:t>
            </w:r>
          </w:p>
        </w:tc>
        <w:tc>
          <w:tcPr>
            <w:tcW w:w="2689" w:type="dxa"/>
            <w:tcBorders>
              <w:top w:val="nil"/>
              <w:left w:val="nil"/>
              <w:bottom w:val="nil"/>
              <w:right w:val="nil"/>
            </w:tcBorders>
            <w:noWrap/>
            <w:vAlign w:val="center"/>
            <w:hideMark/>
          </w:tcPr>
          <w:p w14:paraId="4CAE0846"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CaF</w:t>
            </w:r>
            <w:r w:rsidRPr="00161102">
              <w:rPr>
                <w:rFonts w:eastAsia="Times New Roman" w:cs="Times New Roman"/>
                <w:color w:val="000000"/>
                <w:sz w:val="20"/>
                <w:szCs w:val="20"/>
                <w:vertAlign w:val="subscript"/>
              </w:rPr>
              <w:t>2</w:t>
            </w:r>
          </w:p>
        </w:tc>
        <w:tc>
          <w:tcPr>
            <w:tcW w:w="1980" w:type="dxa"/>
            <w:tcBorders>
              <w:top w:val="nil"/>
              <w:left w:val="nil"/>
              <w:bottom w:val="nil"/>
              <w:right w:val="nil"/>
            </w:tcBorders>
            <w:noWrap/>
            <w:vAlign w:val="center"/>
            <w:hideMark/>
          </w:tcPr>
          <w:p w14:paraId="4B80457D"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Fluorite</w:t>
            </w:r>
          </w:p>
        </w:tc>
        <w:tc>
          <w:tcPr>
            <w:tcW w:w="2070" w:type="dxa"/>
            <w:tcBorders>
              <w:top w:val="nil"/>
              <w:left w:val="nil"/>
              <w:bottom w:val="nil"/>
              <w:right w:val="nil"/>
            </w:tcBorders>
            <w:noWrap/>
            <w:vAlign w:val="bottom"/>
            <w:hideMark/>
          </w:tcPr>
          <w:p w14:paraId="12F6A102"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1%</w:t>
            </w:r>
          </w:p>
        </w:tc>
      </w:tr>
      <w:tr w:rsidR="004B0257" w:rsidRPr="00161102" w14:paraId="011D8D9E" w14:textId="77777777" w:rsidTr="002C492A">
        <w:trPr>
          <w:trHeight w:val="245"/>
        </w:trPr>
        <w:tc>
          <w:tcPr>
            <w:tcW w:w="2168" w:type="dxa"/>
            <w:tcBorders>
              <w:top w:val="nil"/>
              <w:left w:val="nil"/>
              <w:bottom w:val="nil"/>
              <w:right w:val="nil"/>
            </w:tcBorders>
            <w:noWrap/>
            <w:vAlign w:val="center"/>
            <w:hideMark/>
          </w:tcPr>
          <w:p w14:paraId="74B960C6"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Hubnerite</w:t>
            </w:r>
            <w:r w:rsidRPr="00161102">
              <w:rPr>
                <w:rFonts w:eastAsia="Times New Roman" w:cs="Times New Roman"/>
                <w:color w:val="000000"/>
                <w:sz w:val="20"/>
                <w:szCs w:val="20"/>
                <w:vertAlign w:val="superscript"/>
              </w:rPr>
              <w:t>1</w:t>
            </w:r>
          </w:p>
        </w:tc>
        <w:tc>
          <w:tcPr>
            <w:tcW w:w="2689" w:type="dxa"/>
            <w:tcBorders>
              <w:top w:val="nil"/>
              <w:left w:val="nil"/>
              <w:bottom w:val="nil"/>
              <w:right w:val="nil"/>
            </w:tcBorders>
            <w:noWrap/>
            <w:vAlign w:val="center"/>
            <w:hideMark/>
          </w:tcPr>
          <w:p w14:paraId="06C28CA9"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MnWO</w:t>
            </w:r>
            <w:r w:rsidRPr="00161102">
              <w:rPr>
                <w:rFonts w:eastAsia="Times New Roman" w:cs="Times New Roman"/>
                <w:color w:val="000000"/>
                <w:sz w:val="20"/>
                <w:szCs w:val="20"/>
                <w:vertAlign w:val="subscript"/>
              </w:rPr>
              <w:t>4</w:t>
            </w:r>
          </w:p>
        </w:tc>
        <w:tc>
          <w:tcPr>
            <w:tcW w:w="1980" w:type="dxa"/>
            <w:tcBorders>
              <w:top w:val="nil"/>
              <w:left w:val="nil"/>
              <w:bottom w:val="nil"/>
              <w:right w:val="nil"/>
            </w:tcBorders>
            <w:noWrap/>
            <w:vAlign w:val="center"/>
            <w:hideMark/>
          </w:tcPr>
          <w:p w14:paraId="709AE544"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Mn, W</w:t>
            </w:r>
          </w:p>
        </w:tc>
        <w:tc>
          <w:tcPr>
            <w:tcW w:w="2070" w:type="dxa"/>
            <w:tcBorders>
              <w:top w:val="nil"/>
              <w:left w:val="nil"/>
              <w:bottom w:val="nil"/>
              <w:right w:val="nil"/>
            </w:tcBorders>
            <w:noWrap/>
            <w:vAlign w:val="center"/>
            <w:hideMark/>
          </w:tcPr>
          <w:p w14:paraId="015A528D"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&lt;0.5%</w:t>
            </w:r>
          </w:p>
        </w:tc>
      </w:tr>
      <w:tr w:rsidR="004B0257" w:rsidRPr="00161102" w14:paraId="2EDE0DB0" w14:textId="77777777" w:rsidTr="002C492A">
        <w:trPr>
          <w:trHeight w:val="245"/>
        </w:trPr>
        <w:tc>
          <w:tcPr>
            <w:tcW w:w="2168" w:type="dxa"/>
            <w:tcBorders>
              <w:top w:val="nil"/>
              <w:left w:val="nil"/>
              <w:bottom w:val="nil"/>
              <w:right w:val="nil"/>
            </w:tcBorders>
            <w:noWrap/>
            <w:vAlign w:val="center"/>
            <w:hideMark/>
          </w:tcPr>
          <w:p w14:paraId="65CEA82F"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Pyrite</w:t>
            </w:r>
            <w:r w:rsidRPr="00161102">
              <w:rPr>
                <w:rFonts w:eastAsia="Times New Roman" w:cs="Times New Roman"/>
                <w:color w:val="000000"/>
                <w:sz w:val="20"/>
                <w:szCs w:val="20"/>
                <w:vertAlign w:val="superscript"/>
              </w:rPr>
              <w:t>1</w:t>
            </w:r>
          </w:p>
        </w:tc>
        <w:tc>
          <w:tcPr>
            <w:tcW w:w="2689" w:type="dxa"/>
            <w:tcBorders>
              <w:top w:val="nil"/>
              <w:left w:val="nil"/>
              <w:bottom w:val="nil"/>
              <w:right w:val="nil"/>
            </w:tcBorders>
            <w:noWrap/>
            <w:vAlign w:val="center"/>
            <w:hideMark/>
          </w:tcPr>
          <w:p w14:paraId="44170AD8"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FeS</w:t>
            </w:r>
            <w:r w:rsidRPr="00161102">
              <w:rPr>
                <w:rFonts w:eastAsia="Times New Roman" w:cs="Times New Roman"/>
                <w:color w:val="000000"/>
                <w:sz w:val="20"/>
                <w:szCs w:val="20"/>
                <w:vertAlign w:val="subscript"/>
              </w:rPr>
              <w:t>2</w:t>
            </w:r>
          </w:p>
        </w:tc>
        <w:tc>
          <w:tcPr>
            <w:tcW w:w="1980" w:type="dxa"/>
            <w:tcBorders>
              <w:top w:val="nil"/>
              <w:left w:val="nil"/>
              <w:bottom w:val="nil"/>
              <w:right w:val="nil"/>
            </w:tcBorders>
            <w:noWrap/>
            <w:vAlign w:val="center"/>
            <w:hideMark/>
          </w:tcPr>
          <w:p w14:paraId="4307E40C"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N/A</w:t>
            </w:r>
          </w:p>
        </w:tc>
        <w:tc>
          <w:tcPr>
            <w:tcW w:w="2070" w:type="dxa"/>
            <w:tcBorders>
              <w:top w:val="nil"/>
              <w:left w:val="nil"/>
              <w:bottom w:val="nil"/>
              <w:right w:val="nil"/>
            </w:tcBorders>
            <w:noWrap/>
            <w:vAlign w:val="center"/>
            <w:hideMark/>
          </w:tcPr>
          <w:p w14:paraId="20C48990"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&lt;0.5%</w:t>
            </w:r>
          </w:p>
        </w:tc>
      </w:tr>
      <w:tr w:rsidR="004B0257" w:rsidRPr="00161102" w14:paraId="326946E4" w14:textId="77777777" w:rsidTr="002C492A">
        <w:trPr>
          <w:trHeight w:val="245"/>
        </w:trPr>
        <w:tc>
          <w:tcPr>
            <w:tcW w:w="2168" w:type="dxa"/>
            <w:tcBorders>
              <w:top w:val="nil"/>
              <w:left w:val="nil"/>
              <w:bottom w:val="nil"/>
              <w:right w:val="nil"/>
            </w:tcBorders>
            <w:noWrap/>
            <w:vAlign w:val="center"/>
            <w:hideMark/>
          </w:tcPr>
          <w:p w14:paraId="17BFF181"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Chalcopyrite</w:t>
            </w:r>
            <w:r w:rsidRPr="00161102">
              <w:rPr>
                <w:rFonts w:eastAsia="Times New Roman" w:cs="Times New Roman"/>
                <w:color w:val="000000"/>
                <w:sz w:val="20"/>
                <w:szCs w:val="20"/>
                <w:vertAlign w:val="superscript"/>
              </w:rPr>
              <w:t>1</w:t>
            </w:r>
          </w:p>
        </w:tc>
        <w:tc>
          <w:tcPr>
            <w:tcW w:w="2689" w:type="dxa"/>
            <w:tcBorders>
              <w:top w:val="nil"/>
              <w:left w:val="nil"/>
              <w:bottom w:val="nil"/>
              <w:right w:val="nil"/>
            </w:tcBorders>
            <w:noWrap/>
            <w:vAlign w:val="center"/>
            <w:hideMark/>
          </w:tcPr>
          <w:p w14:paraId="39A0B02A"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CuFeS</w:t>
            </w:r>
            <w:r w:rsidRPr="00161102">
              <w:rPr>
                <w:rFonts w:eastAsia="Times New Roman" w:cs="Times New Roman"/>
                <w:color w:val="000000"/>
                <w:sz w:val="20"/>
                <w:szCs w:val="20"/>
                <w:vertAlign w:val="subscript"/>
              </w:rPr>
              <w:t>2</w:t>
            </w:r>
          </w:p>
        </w:tc>
        <w:tc>
          <w:tcPr>
            <w:tcW w:w="1980" w:type="dxa"/>
            <w:tcBorders>
              <w:top w:val="nil"/>
              <w:left w:val="nil"/>
              <w:bottom w:val="nil"/>
              <w:right w:val="nil"/>
            </w:tcBorders>
            <w:noWrap/>
            <w:vAlign w:val="center"/>
            <w:hideMark/>
          </w:tcPr>
          <w:p w14:paraId="64930DFA"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N/A</w:t>
            </w:r>
          </w:p>
        </w:tc>
        <w:tc>
          <w:tcPr>
            <w:tcW w:w="2070" w:type="dxa"/>
            <w:tcBorders>
              <w:top w:val="nil"/>
              <w:left w:val="nil"/>
              <w:bottom w:val="nil"/>
              <w:right w:val="nil"/>
            </w:tcBorders>
            <w:noWrap/>
            <w:vAlign w:val="center"/>
            <w:hideMark/>
          </w:tcPr>
          <w:p w14:paraId="788C1E09"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&lt;0.1%</w:t>
            </w:r>
          </w:p>
        </w:tc>
      </w:tr>
      <w:tr w:rsidR="004B0257" w:rsidRPr="00161102" w14:paraId="3D77025F" w14:textId="77777777" w:rsidTr="002C492A">
        <w:trPr>
          <w:trHeight w:val="245"/>
        </w:trPr>
        <w:tc>
          <w:tcPr>
            <w:tcW w:w="2168" w:type="dxa"/>
            <w:tcBorders>
              <w:top w:val="nil"/>
              <w:left w:val="nil"/>
              <w:bottom w:val="nil"/>
              <w:right w:val="nil"/>
            </w:tcBorders>
            <w:noWrap/>
            <w:vAlign w:val="center"/>
            <w:hideMark/>
          </w:tcPr>
          <w:p w14:paraId="0BD169FB"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Sphalerite</w:t>
            </w:r>
            <w:r w:rsidRPr="00161102">
              <w:rPr>
                <w:rFonts w:eastAsia="Times New Roman" w:cs="Times New Roman"/>
                <w:color w:val="000000"/>
                <w:sz w:val="20"/>
                <w:szCs w:val="20"/>
                <w:vertAlign w:val="superscript"/>
              </w:rPr>
              <w:t>1</w:t>
            </w:r>
          </w:p>
        </w:tc>
        <w:tc>
          <w:tcPr>
            <w:tcW w:w="2689" w:type="dxa"/>
            <w:tcBorders>
              <w:top w:val="nil"/>
              <w:left w:val="nil"/>
              <w:bottom w:val="nil"/>
              <w:right w:val="nil"/>
            </w:tcBorders>
            <w:noWrap/>
            <w:vAlign w:val="center"/>
            <w:hideMark/>
          </w:tcPr>
          <w:p w14:paraId="7BDB6ACB"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ZnS</w:t>
            </w:r>
          </w:p>
        </w:tc>
        <w:tc>
          <w:tcPr>
            <w:tcW w:w="1980" w:type="dxa"/>
            <w:tcBorders>
              <w:top w:val="nil"/>
              <w:left w:val="nil"/>
              <w:bottom w:val="nil"/>
              <w:right w:val="nil"/>
            </w:tcBorders>
            <w:noWrap/>
            <w:vAlign w:val="center"/>
            <w:hideMark/>
          </w:tcPr>
          <w:p w14:paraId="2B9CD8D2"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Zn</w:t>
            </w:r>
          </w:p>
        </w:tc>
        <w:tc>
          <w:tcPr>
            <w:tcW w:w="2070" w:type="dxa"/>
            <w:tcBorders>
              <w:top w:val="nil"/>
              <w:left w:val="nil"/>
              <w:bottom w:val="nil"/>
              <w:right w:val="nil"/>
            </w:tcBorders>
            <w:noWrap/>
            <w:vAlign w:val="center"/>
            <w:hideMark/>
          </w:tcPr>
          <w:p w14:paraId="3B36B97F"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&lt;0.1%</w:t>
            </w:r>
          </w:p>
        </w:tc>
      </w:tr>
      <w:tr w:rsidR="004B0257" w:rsidRPr="00161102" w14:paraId="0B8DF32F" w14:textId="77777777" w:rsidTr="002C492A">
        <w:trPr>
          <w:trHeight w:val="245"/>
        </w:trPr>
        <w:tc>
          <w:tcPr>
            <w:tcW w:w="2168" w:type="dxa"/>
            <w:tcBorders>
              <w:top w:val="nil"/>
              <w:left w:val="nil"/>
              <w:bottom w:val="nil"/>
              <w:right w:val="nil"/>
            </w:tcBorders>
            <w:noWrap/>
            <w:vAlign w:val="center"/>
            <w:hideMark/>
          </w:tcPr>
          <w:p w14:paraId="19A2CA0F"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Galena</w:t>
            </w:r>
            <w:r w:rsidRPr="00161102">
              <w:rPr>
                <w:rFonts w:eastAsia="Times New Roman" w:cs="Times New Roman"/>
                <w:color w:val="000000"/>
                <w:sz w:val="20"/>
                <w:szCs w:val="20"/>
                <w:vertAlign w:val="superscript"/>
              </w:rPr>
              <w:t>1</w:t>
            </w:r>
          </w:p>
        </w:tc>
        <w:tc>
          <w:tcPr>
            <w:tcW w:w="2689" w:type="dxa"/>
            <w:tcBorders>
              <w:top w:val="nil"/>
              <w:left w:val="nil"/>
              <w:bottom w:val="nil"/>
              <w:right w:val="nil"/>
            </w:tcBorders>
            <w:noWrap/>
            <w:vAlign w:val="center"/>
            <w:hideMark/>
          </w:tcPr>
          <w:p w14:paraId="152E693C" w14:textId="77777777" w:rsidR="004B0257" w:rsidRPr="00161102" w:rsidRDefault="004B0257" w:rsidP="00303038">
            <w:pPr>
              <w:spacing w:after="0"/>
              <w:ind w:firstLine="0"/>
              <w:jc w:val="center"/>
              <w:rPr>
                <w:rFonts w:eastAsia="Times New Roman" w:cs="Times New Roman"/>
                <w:color w:val="000000"/>
                <w:sz w:val="20"/>
                <w:szCs w:val="20"/>
              </w:rPr>
            </w:pPr>
            <w:proofErr w:type="spellStart"/>
            <w:r w:rsidRPr="00161102">
              <w:rPr>
                <w:rFonts w:eastAsia="Times New Roman" w:cs="Times New Roman"/>
                <w:color w:val="000000"/>
                <w:sz w:val="20"/>
                <w:szCs w:val="20"/>
              </w:rPr>
              <w:t>PbS</w:t>
            </w:r>
            <w:proofErr w:type="spellEnd"/>
          </w:p>
        </w:tc>
        <w:tc>
          <w:tcPr>
            <w:tcW w:w="1980" w:type="dxa"/>
            <w:tcBorders>
              <w:top w:val="nil"/>
              <w:left w:val="nil"/>
              <w:bottom w:val="nil"/>
              <w:right w:val="nil"/>
            </w:tcBorders>
            <w:noWrap/>
            <w:vAlign w:val="center"/>
            <w:hideMark/>
          </w:tcPr>
          <w:p w14:paraId="3087D6B9"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N/A</w:t>
            </w:r>
          </w:p>
        </w:tc>
        <w:tc>
          <w:tcPr>
            <w:tcW w:w="2070" w:type="dxa"/>
            <w:tcBorders>
              <w:top w:val="nil"/>
              <w:left w:val="nil"/>
              <w:bottom w:val="nil"/>
              <w:right w:val="nil"/>
            </w:tcBorders>
            <w:noWrap/>
            <w:vAlign w:val="center"/>
            <w:hideMark/>
          </w:tcPr>
          <w:p w14:paraId="66454C53"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&lt;0.1%</w:t>
            </w:r>
          </w:p>
        </w:tc>
      </w:tr>
      <w:tr w:rsidR="004B0257" w:rsidRPr="00161102" w14:paraId="5B9268AF" w14:textId="77777777" w:rsidTr="002C492A">
        <w:trPr>
          <w:trHeight w:val="245"/>
        </w:trPr>
        <w:tc>
          <w:tcPr>
            <w:tcW w:w="2168" w:type="dxa"/>
            <w:tcBorders>
              <w:top w:val="nil"/>
              <w:left w:val="nil"/>
              <w:bottom w:val="nil"/>
              <w:right w:val="nil"/>
            </w:tcBorders>
            <w:noWrap/>
            <w:vAlign w:val="center"/>
            <w:hideMark/>
          </w:tcPr>
          <w:p w14:paraId="5FB6FC2F"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Bornite</w:t>
            </w:r>
            <w:r w:rsidRPr="00161102">
              <w:rPr>
                <w:rFonts w:eastAsia="Times New Roman" w:cs="Times New Roman"/>
                <w:color w:val="000000"/>
                <w:sz w:val="20"/>
                <w:szCs w:val="20"/>
                <w:vertAlign w:val="superscript"/>
              </w:rPr>
              <w:t>1</w:t>
            </w:r>
          </w:p>
        </w:tc>
        <w:tc>
          <w:tcPr>
            <w:tcW w:w="2689" w:type="dxa"/>
            <w:tcBorders>
              <w:top w:val="nil"/>
              <w:left w:val="nil"/>
              <w:bottom w:val="nil"/>
              <w:right w:val="nil"/>
            </w:tcBorders>
            <w:noWrap/>
            <w:vAlign w:val="center"/>
            <w:hideMark/>
          </w:tcPr>
          <w:p w14:paraId="09F57410"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Cu</w:t>
            </w:r>
            <w:r w:rsidRPr="00161102">
              <w:rPr>
                <w:rFonts w:eastAsia="Times New Roman" w:cs="Times New Roman"/>
                <w:color w:val="000000"/>
                <w:sz w:val="20"/>
                <w:szCs w:val="20"/>
                <w:vertAlign w:val="subscript"/>
              </w:rPr>
              <w:t>5</w:t>
            </w:r>
            <w:r w:rsidRPr="00161102">
              <w:rPr>
                <w:rFonts w:eastAsia="Times New Roman" w:cs="Times New Roman"/>
                <w:color w:val="000000"/>
                <w:sz w:val="20"/>
                <w:szCs w:val="20"/>
              </w:rPr>
              <w:t>FeS</w:t>
            </w:r>
            <w:r w:rsidRPr="00161102">
              <w:rPr>
                <w:rFonts w:eastAsia="Times New Roman" w:cs="Times New Roman"/>
                <w:color w:val="000000"/>
                <w:sz w:val="20"/>
                <w:szCs w:val="20"/>
                <w:vertAlign w:val="subscript"/>
              </w:rPr>
              <w:t>4</w:t>
            </w:r>
          </w:p>
        </w:tc>
        <w:tc>
          <w:tcPr>
            <w:tcW w:w="1980" w:type="dxa"/>
            <w:tcBorders>
              <w:top w:val="nil"/>
              <w:left w:val="nil"/>
              <w:bottom w:val="nil"/>
              <w:right w:val="nil"/>
            </w:tcBorders>
            <w:noWrap/>
            <w:vAlign w:val="center"/>
            <w:hideMark/>
          </w:tcPr>
          <w:p w14:paraId="28724D40"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N/A</w:t>
            </w:r>
          </w:p>
        </w:tc>
        <w:tc>
          <w:tcPr>
            <w:tcW w:w="2070" w:type="dxa"/>
            <w:tcBorders>
              <w:top w:val="nil"/>
              <w:left w:val="nil"/>
              <w:bottom w:val="nil"/>
              <w:right w:val="nil"/>
            </w:tcBorders>
            <w:noWrap/>
            <w:vAlign w:val="center"/>
            <w:hideMark/>
          </w:tcPr>
          <w:p w14:paraId="440A5602"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&lt;0.1%</w:t>
            </w:r>
          </w:p>
        </w:tc>
      </w:tr>
      <w:tr w:rsidR="004B0257" w:rsidRPr="00161102" w14:paraId="5F43EB18" w14:textId="77777777" w:rsidTr="002C492A">
        <w:trPr>
          <w:trHeight w:val="245"/>
        </w:trPr>
        <w:tc>
          <w:tcPr>
            <w:tcW w:w="2168" w:type="dxa"/>
            <w:tcBorders>
              <w:top w:val="nil"/>
              <w:left w:val="nil"/>
              <w:bottom w:val="nil"/>
              <w:right w:val="nil"/>
            </w:tcBorders>
            <w:noWrap/>
            <w:vAlign w:val="center"/>
            <w:hideMark/>
          </w:tcPr>
          <w:p w14:paraId="1AC6F93D"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Molybdenite</w:t>
            </w:r>
            <w:r w:rsidRPr="00161102">
              <w:rPr>
                <w:rFonts w:eastAsia="Times New Roman" w:cs="Times New Roman"/>
                <w:color w:val="000000"/>
                <w:sz w:val="20"/>
                <w:szCs w:val="20"/>
                <w:vertAlign w:val="superscript"/>
              </w:rPr>
              <w:t>1</w:t>
            </w:r>
          </w:p>
        </w:tc>
        <w:tc>
          <w:tcPr>
            <w:tcW w:w="2689" w:type="dxa"/>
            <w:tcBorders>
              <w:top w:val="nil"/>
              <w:left w:val="nil"/>
              <w:bottom w:val="nil"/>
              <w:right w:val="nil"/>
            </w:tcBorders>
            <w:noWrap/>
            <w:vAlign w:val="center"/>
            <w:hideMark/>
          </w:tcPr>
          <w:p w14:paraId="5E544FB5"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MoS</w:t>
            </w:r>
            <w:r w:rsidRPr="00161102">
              <w:rPr>
                <w:rFonts w:eastAsia="Times New Roman" w:cs="Times New Roman"/>
                <w:color w:val="000000"/>
                <w:sz w:val="20"/>
                <w:szCs w:val="20"/>
                <w:vertAlign w:val="subscript"/>
              </w:rPr>
              <w:t>2</w:t>
            </w:r>
          </w:p>
        </w:tc>
        <w:tc>
          <w:tcPr>
            <w:tcW w:w="1980" w:type="dxa"/>
            <w:tcBorders>
              <w:top w:val="nil"/>
              <w:left w:val="nil"/>
              <w:bottom w:val="nil"/>
              <w:right w:val="nil"/>
            </w:tcBorders>
            <w:noWrap/>
            <w:vAlign w:val="center"/>
            <w:hideMark/>
          </w:tcPr>
          <w:p w14:paraId="6382B595"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N/A</w:t>
            </w:r>
          </w:p>
        </w:tc>
        <w:tc>
          <w:tcPr>
            <w:tcW w:w="2070" w:type="dxa"/>
            <w:tcBorders>
              <w:top w:val="nil"/>
              <w:left w:val="nil"/>
              <w:bottom w:val="nil"/>
              <w:right w:val="nil"/>
            </w:tcBorders>
            <w:noWrap/>
            <w:vAlign w:val="center"/>
            <w:hideMark/>
          </w:tcPr>
          <w:p w14:paraId="287D0560"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&lt;0.1%</w:t>
            </w:r>
          </w:p>
        </w:tc>
      </w:tr>
      <w:tr w:rsidR="004B0257" w:rsidRPr="00161102" w14:paraId="2A444CA6" w14:textId="77777777" w:rsidTr="002C492A">
        <w:trPr>
          <w:trHeight w:val="245"/>
        </w:trPr>
        <w:tc>
          <w:tcPr>
            <w:tcW w:w="2168" w:type="dxa"/>
            <w:tcBorders>
              <w:top w:val="nil"/>
              <w:left w:val="nil"/>
              <w:bottom w:val="nil"/>
              <w:right w:val="nil"/>
            </w:tcBorders>
            <w:noWrap/>
            <w:vAlign w:val="center"/>
            <w:hideMark/>
          </w:tcPr>
          <w:p w14:paraId="4B9EF2E7"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Chalcocite</w:t>
            </w:r>
            <w:r w:rsidRPr="00161102">
              <w:rPr>
                <w:rFonts w:eastAsia="Times New Roman" w:cs="Times New Roman"/>
                <w:color w:val="000000"/>
                <w:sz w:val="20"/>
                <w:szCs w:val="20"/>
                <w:vertAlign w:val="superscript"/>
              </w:rPr>
              <w:t>1</w:t>
            </w:r>
          </w:p>
        </w:tc>
        <w:tc>
          <w:tcPr>
            <w:tcW w:w="2689" w:type="dxa"/>
            <w:tcBorders>
              <w:top w:val="nil"/>
              <w:left w:val="nil"/>
              <w:bottom w:val="nil"/>
              <w:right w:val="nil"/>
            </w:tcBorders>
            <w:noWrap/>
            <w:vAlign w:val="center"/>
            <w:hideMark/>
          </w:tcPr>
          <w:p w14:paraId="2BD95313"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CuS</w:t>
            </w:r>
            <w:r w:rsidRPr="00161102">
              <w:rPr>
                <w:rFonts w:eastAsia="Times New Roman" w:cs="Times New Roman"/>
                <w:color w:val="000000"/>
                <w:sz w:val="20"/>
                <w:szCs w:val="20"/>
                <w:vertAlign w:val="subscript"/>
              </w:rPr>
              <w:t>2</w:t>
            </w:r>
          </w:p>
        </w:tc>
        <w:tc>
          <w:tcPr>
            <w:tcW w:w="1980" w:type="dxa"/>
            <w:tcBorders>
              <w:top w:val="nil"/>
              <w:left w:val="nil"/>
              <w:bottom w:val="nil"/>
              <w:right w:val="nil"/>
            </w:tcBorders>
            <w:noWrap/>
            <w:vAlign w:val="center"/>
            <w:hideMark/>
          </w:tcPr>
          <w:p w14:paraId="4B54BA7F"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N/A</w:t>
            </w:r>
          </w:p>
        </w:tc>
        <w:tc>
          <w:tcPr>
            <w:tcW w:w="2070" w:type="dxa"/>
            <w:tcBorders>
              <w:top w:val="nil"/>
              <w:left w:val="nil"/>
              <w:bottom w:val="nil"/>
              <w:right w:val="nil"/>
            </w:tcBorders>
            <w:noWrap/>
            <w:vAlign w:val="center"/>
            <w:hideMark/>
          </w:tcPr>
          <w:p w14:paraId="0C8375A1"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&lt;0.1%</w:t>
            </w:r>
          </w:p>
        </w:tc>
      </w:tr>
      <w:tr w:rsidR="004B0257" w:rsidRPr="00161102" w14:paraId="3F8EFF0F" w14:textId="77777777" w:rsidTr="002C492A">
        <w:trPr>
          <w:trHeight w:val="245"/>
        </w:trPr>
        <w:tc>
          <w:tcPr>
            <w:tcW w:w="2168" w:type="dxa"/>
            <w:tcBorders>
              <w:top w:val="nil"/>
              <w:left w:val="nil"/>
              <w:bottom w:val="nil"/>
              <w:right w:val="nil"/>
            </w:tcBorders>
            <w:noWrap/>
            <w:vAlign w:val="center"/>
            <w:hideMark/>
          </w:tcPr>
          <w:p w14:paraId="193D47C3"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Scheelite</w:t>
            </w:r>
            <w:r w:rsidRPr="00161102">
              <w:rPr>
                <w:rFonts w:eastAsia="Times New Roman" w:cs="Times New Roman"/>
                <w:color w:val="000000"/>
                <w:sz w:val="20"/>
                <w:szCs w:val="20"/>
                <w:vertAlign w:val="superscript"/>
              </w:rPr>
              <w:t>1</w:t>
            </w:r>
          </w:p>
        </w:tc>
        <w:tc>
          <w:tcPr>
            <w:tcW w:w="2689" w:type="dxa"/>
            <w:tcBorders>
              <w:top w:val="nil"/>
              <w:left w:val="nil"/>
              <w:bottom w:val="nil"/>
              <w:right w:val="nil"/>
            </w:tcBorders>
            <w:noWrap/>
            <w:vAlign w:val="center"/>
            <w:hideMark/>
          </w:tcPr>
          <w:p w14:paraId="5EF6B3F1"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CaWO</w:t>
            </w:r>
            <w:r w:rsidRPr="00161102">
              <w:rPr>
                <w:rFonts w:eastAsia="Times New Roman" w:cs="Times New Roman"/>
                <w:color w:val="000000"/>
                <w:sz w:val="20"/>
                <w:szCs w:val="20"/>
                <w:vertAlign w:val="subscript"/>
              </w:rPr>
              <w:t>4</w:t>
            </w:r>
          </w:p>
        </w:tc>
        <w:tc>
          <w:tcPr>
            <w:tcW w:w="1980" w:type="dxa"/>
            <w:tcBorders>
              <w:top w:val="nil"/>
              <w:left w:val="nil"/>
              <w:bottom w:val="nil"/>
              <w:right w:val="nil"/>
            </w:tcBorders>
            <w:noWrap/>
            <w:vAlign w:val="center"/>
            <w:hideMark/>
          </w:tcPr>
          <w:p w14:paraId="396215EB"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W</w:t>
            </w:r>
          </w:p>
        </w:tc>
        <w:tc>
          <w:tcPr>
            <w:tcW w:w="2070" w:type="dxa"/>
            <w:tcBorders>
              <w:top w:val="nil"/>
              <w:left w:val="nil"/>
              <w:bottom w:val="nil"/>
              <w:right w:val="nil"/>
            </w:tcBorders>
            <w:noWrap/>
            <w:vAlign w:val="center"/>
            <w:hideMark/>
          </w:tcPr>
          <w:p w14:paraId="02EFAB65"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&lt;0.1%</w:t>
            </w:r>
          </w:p>
        </w:tc>
      </w:tr>
      <w:tr w:rsidR="004B0257" w:rsidRPr="00161102" w14:paraId="08392FB7" w14:textId="77777777" w:rsidTr="002C492A">
        <w:trPr>
          <w:trHeight w:val="245"/>
        </w:trPr>
        <w:tc>
          <w:tcPr>
            <w:tcW w:w="2168" w:type="dxa"/>
            <w:tcBorders>
              <w:top w:val="nil"/>
              <w:left w:val="nil"/>
              <w:bottom w:val="nil"/>
              <w:right w:val="nil"/>
            </w:tcBorders>
            <w:noWrap/>
            <w:vAlign w:val="center"/>
            <w:hideMark/>
          </w:tcPr>
          <w:p w14:paraId="6BDBB339"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Tetrahedrite</w:t>
            </w:r>
            <w:r w:rsidRPr="00161102">
              <w:rPr>
                <w:rFonts w:eastAsia="Times New Roman" w:cs="Times New Roman"/>
                <w:color w:val="000000"/>
                <w:sz w:val="20"/>
                <w:szCs w:val="20"/>
                <w:vertAlign w:val="superscript"/>
              </w:rPr>
              <w:t>1</w:t>
            </w:r>
          </w:p>
        </w:tc>
        <w:tc>
          <w:tcPr>
            <w:tcW w:w="2689" w:type="dxa"/>
            <w:tcBorders>
              <w:top w:val="nil"/>
              <w:left w:val="nil"/>
              <w:bottom w:val="nil"/>
              <w:right w:val="nil"/>
            </w:tcBorders>
            <w:noWrap/>
            <w:vAlign w:val="center"/>
            <w:hideMark/>
          </w:tcPr>
          <w:p w14:paraId="66777B34"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w:t>
            </w:r>
            <w:proofErr w:type="spellStart"/>
            <w:r w:rsidRPr="00161102">
              <w:rPr>
                <w:rFonts w:eastAsia="Times New Roman" w:cs="Times New Roman"/>
                <w:color w:val="000000"/>
                <w:sz w:val="20"/>
                <w:szCs w:val="20"/>
              </w:rPr>
              <w:t>Cu,Fe,Zn</w:t>
            </w:r>
            <w:proofErr w:type="spellEnd"/>
            <w:r w:rsidRPr="00161102">
              <w:rPr>
                <w:rFonts w:eastAsia="Times New Roman" w:cs="Times New Roman"/>
                <w:color w:val="000000"/>
                <w:sz w:val="20"/>
                <w:szCs w:val="20"/>
              </w:rPr>
              <w:t>)</w:t>
            </w:r>
            <w:r w:rsidRPr="00161102">
              <w:rPr>
                <w:rFonts w:eastAsia="Times New Roman" w:cs="Times New Roman"/>
                <w:color w:val="000000"/>
                <w:sz w:val="20"/>
                <w:szCs w:val="20"/>
                <w:vertAlign w:val="subscript"/>
              </w:rPr>
              <w:t>12</w:t>
            </w:r>
            <w:r w:rsidRPr="00161102">
              <w:rPr>
                <w:rFonts w:eastAsia="Times New Roman" w:cs="Times New Roman"/>
                <w:color w:val="000000"/>
                <w:sz w:val="20"/>
                <w:szCs w:val="20"/>
              </w:rPr>
              <w:t>Sb</w:t>
            </w:r>
            <w:r w:rsidRPr="00161102">
              <w:rPr>
                <w:rFonts w:eastAsia="Times New Roman" w:cs="Times New Roman"/>
                <w:color w:val="000000"/>
                <w:sz w:val="20"/>
                <w:szCs w:val="20"/>
                <w:vertAlign w:val="subscript"/>
              </w:rPr>
              <w:t>4</w:t>
            </w:r>
            <w:r w:rsidRPr="00161102">
              <w:rPr>
                <w:rFonts w:eastAsia="Times New Roman" w:cs="Times New Roman"/>
                <w:color w:val="000000"/>
                <w:sz w:val="20"/>
                <w:szCs w:val="20"/>
              </w:rPr>
              <w:t>S</w:t>
            </w:r>
            <w:r w:rsidRPr="00161102">
              <w:rPr>
                <w:rFonts w:eastAsia="Times New Roman" w:cs="Times New Roman"/>
                <w:color w:val="000000"/>
                <w:sz w:val="20"/>
                <w:szCs w:val="20"/>
                <w:vertAlign w:val="subscript"/>
              </w:rPr>
              <w:t>13</w:t>
            </w:r>
          </w:p>
        </w:tc>
        <w:tc>
          <w:tcPr>
            <w:tcW w:w="1980" w:type="dxa"/>
            <w:tcBorders>
              <w:top w:val="nil"/>
              <w:left w:val="nil"/>
              <w:bottom w:val="nil"/>
              <w:right w:val="nil"/>
            </w:tcBorders>
            <w:noWrap/>
            <w:vAlign w:val="center"/>
            <w:hideMark/>
          </w:tcPr>
          <w:p w14:paraId="10BE7081"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Sb</w:t>
            </w:r>
          </w:p>
        </w:tc>
        <w:tc>
          <w:tcPr>
            <w:tcW w:w="2070" w:type="dxa"/>
            <w:tcBorders>
              <w:top w:val="nil"/>
              <w:left w:val="nil"/>
              <w:bottom w:val="nil"/>
              <w:right w:val="nil"/>
            </w:tcBorders>
            <w:noWrap/>
            <w:vAlign w:val="center"/>
            <w:hideMark/>
          </w:tcPr>
          <w:p w14:paraId="74EECCF1"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&lt;0.1%</w:t>
            </w:r>
          </w:p>
        </w:tc>
      </w:tr>
      <w:tr w:rsidR="004B0257" w:rsidRPr="00161102" w14:paraId="6407FA96" w14:textId="77777777" w:rsidTr="002C492A">
        <w:trPr>
          <w:trHeight w:val="245"/>
        </w:trPr>
        <w:tc>
          <w:tcPr>
            <w:tcW w:w="2168" w:type="dxa"/>
            <w:tcBorders>
              <w:top w:val="nil"/>
              <w:left w:val="nil"/>
              <w:bottom w:val="nil"/>
              <w:right w:val="nil"/>
            </w:tcBorders>
            <w:noWrap/>
            <w:vAlign w:val="center"/>
            <w:hideMark/>
          </w:tcPr>
          <w:p w14:paraId="14E84431"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Beryl</w:t>
            </w:r>
            <w:r w:rsidRPr="00161102">
              <w:rPr>
                <w:rFonts w:eastAsia="Times New Roman" w:cs="Times New Roman"/>
                <w:color w:val="000000"/>
                <w:sz w:val="20"/>
                <w:szCs w:val="20"/>
                <w:vertAlign w:val="superscript"/>
              </w:rPr>
              <w:t>1</w:t>
            </w:r>
          </w:p>
        </w:tc>
        <w:tc>
          <w:tcPr>
            <w:tcW w:w="2689" w:type="dxa"/>
            <w:tcBorders>
              <w:top w:val="nil"/>
              <w:left w:val="nil"/>
              <w:bottom w:val="nil"/>
              <w:right w:val="nil"/>
            </w:tcBorders>
            <w:noWrap/>
            <w:vAlign w:val="center"/>
            <w:hideMark/>
          </w:tcPr>
          <w:p w14:paraId="2D8CD4EF"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Be</w:t>
            </w:r>
            <w:r w:rsidRPr="00161102">
              <w:rPr>
                <w:rFonts w:eastAsia="Times New Roman" w:cs="Times New Roman"/>
                <w:color w:val="000000"/>
                <w:sz w:val="20"/>
                <w:szCs w:val="20"/>
                <w:vertAlign w:val="subscript"/>
              </w:rPr>
              <w:t>3</w:t>
            </w:r>
            <w:r w:rsidRPr="00161102">
              <w:rPr>
                <w:rFonts w:eastAsia="Times New Roman" w:cs="Times New Roman"/>
                <w:color w:val="000000"/>
                <w:sz w:val="20"/>
                <w:szCs w:val="20"/>
              </w:rPr>
              <w:t>Al2Si</w:t>
            </w:r>
            <w:r w:rsidRPr="00161102">
              <w:rPr>
                <w:rFonts w:eastAsia="Times New Roman" w:cs="Times New Roman"/>
                <w:color w:val="000000"/>
                <w:sz w:val="20"/>
                <w:szCs w:val="20"/>
                <w:vertAlign w:val="subscript"/>
              </w:rPr>
              <w:t>6</w:t>
            </w:r>
            <w:r w:rsidRPr="00161102">
              <w:rPr>
                <w:rFonts w:eastAsia="Times New Roman" w:cs="Times New Roman"/>
                <w:color w:val="000000"/>
                <w:sz w:val="20"/>
                <w:szCs w:val="20"/>
              </w:rPr>
              <w:t>O</w:t>
            </w:r>
            <w:r w:rsidRPr="00161102">
              <w:rPr>
                <w:rFonts w:eastAsia="Times New Roman" w:cs="Times New Roman"/>
                <w:color w:val="000000"/>
                <w:sz w:val="20"/>
                <w:szCs w:val="20"/>
                <w:vertAlign w:val="subscript"/>
              </w:rPr>
              <w:t>18</w:t>
            </w:r>
          </w:p>
        </w:tc>
        <w:tc>
          <w:tcPr>
            <w:tcW w:w="1980" w:type="dxa"/>
            <w:tcBorders>
              <w:top w:val="nil"/>
              <w:left w:val="nil"/>
              <w:bottom w:val="nil"/>
              <w:right w:val="nil"/>
            </w:tcBorders>
            <w:noWrap/>
            <w:vAlign w:val="center"/>
            <w:hideMark/>
          </w:tcPr>
          <w:p w14:paraId="0ED19318"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Be, Al</w:t>
            </w:r>
          </w:p>
        </w:tc>
        <w:tc>
          <w:tcPr>
            <w:tcW w:w="2070" w:type="dxa"/>
            <w:tcBorders>
              <w:top w:val="nil"/>
              <w:left w:val="nil"/>
              <w:bottom w:val="nil"/>
              <w:right w:val="nil"/>
            </w:tcBorders>
            <w:noWrap/>
            <w:vAlign w:val="center"/>
            <w:hideMark/>
          </w:tcPr>
          <w:p w14:paraId="1904B106"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&lt;0.1%</w:t>
            </w:r>
          </w:p>
        </w:tc>
      </w:tr>
      <w:tr w:rsidR="004B0257" w:rsidRPr="00161102" w14:paraId="6E8163A6" w14:textId="77777777" w:rsidTr="002C492A">
        <w:trPr>
          <w:trHeight w:val="245"/>
        </w:trPr>
        <w:tc>
          <w:tcPr>
            <w:tcW w:w="2168" w:type="dxa"/>
            <w:tcBorders>
              <w:top w:val="nil"/>
              <w:left w:val="nil"/>
              <w:bottom w:val="nil"/>
              <w:right w:val="nil"/>
            </w:tcBorders>
            <w:noWrap/>
            <w:vAlign w:val="center"/>
            <w:hideMark/>
          </w:tcPr>
          <w:p w14:paraId="21252A4E"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Rhodochrosite</w:t>
            </w:r>
            <w:r w:rsidRPr="00161102">
              <w:rPr>
                <w:rFonts w:eastAsia="Times New Roman" w:cs="Times New Roman"/>
                <w:color w:val="000000"/>
                <w:sz w:val="20"/>
                <w:szCs w:val="20"/>
                <w:vertAlign w:val="superscript"/>
              </w:rPr>
              <w:t>1</w:t>
            </w:r>
          </w:p>
        </w:tc>
        <w:tc>
          <w:tcPr>
            <w:tcW w:w="2689" w:type="dxa"/>
            <w:tcBorders>
              <w:top w:val="nil"/>
              <w:left w:val="nil"/>
              <w:bottom w:val="nil"/>
              <w:right w:val="nil"/>
            </w:tcBorders>
            <w:noWrap/>
            <w:vAlign w:val="center"/>
            <w:hideMark/>
          </w:tcPr>
          <w:p w14:paraId="29D4B5B3"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MnCO</w:t>
            </w:r>
            <w:r w:rsidRPr="00161102">
              <w:rPr>
                <w:rFonts w:eastAsia="Times New Roman" w:cs="Times New Roman"/>
                <w:color w:val="000000"/>
                <w:sz w:val="20"/>
                <w:szCs w:val="20"/>
                <w:vertAlign w:val="subscript"/>
              </w:rPr>
              <w:t>3</w:t>
            </w:r>
          </w:p>
        </w:tc>
        <w:tc>
          <w:tcPr>
            <w:tcW w:w="1980" w:type="dxa"/>
            <w:tcBorders>
              <w:top w:val="nil"/>
              <w:left w:val="nil"/>
              <w:bottom w:val="nil"/>
              <w:right w:val="nil"/>
            </w:tcBorders>
            <w:noWrap/>
            <w:vAlign w:val="center"/>
            <w:hideMark/>
          </w:tcPr>
          <w:p w14:paraId="604B52D1"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Mn</w:t>
            </w:r>
          </w:p>
        </w:tc>
        <w:tc>
          <w:tcPr>
            <w:tcW w:w="2070" w:type="dxa"/>
            <w:tcBorders>
              <w:top w:val="nil"/>
              <w:left w:val="nil"/>
              <w:bottom w:val="nil"/>
              <w:right w:val="nil"/>
            </w:tcBorders>
            <w:noWrap/>
            <w:vAlign w:val="center"/>
            <w:hideMark/>
          </w:tcPr>
          <w:p w14:paraId="44B4FE02"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&lt;0.1%</w:t>
            </w:r>
          </w:p>
        </w:tc>
      </w:tr>
      <w:tr w:rsidR="004B0257" w:rsidRPr="00161102" w14:paraId="1C7F9379" w14:textId="77777777" w:rsidTr="002C492A">
        <w:trPr>
          <w:trHeight w:val="245"/>
        </w:trPr>
        <w:tc>
          <w:tcPr>
            <w:tcW w:w="2168" w:type="dxa"/>
            <w:tcBorders>
              <w:top w:val="nil"/>
              <w:left w:val="nil"/>
              <w:bottom w:val="nil"/>
              <w:right w:val="nil"/>
            </w:tcBorders>
            <w:noWrap/>
            <w:vAlign w:val="bottom"/>
            <w:hideMark/>
          </w:tcPr>
          <w:p w14:paraId="74D8B7BC"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Calcite</w:t>
            </w:r>
            <w:r w:rsidRPr="00161102">
              <w:rPr>
                <w:rFonts w:eastAsia="Times New Roman" w:cs="Times New Roman"/>
                <w:color w:val="000000"/>
                <w:sz w:val="20"/>
                <w:szCs w:val="20"/>
                <w:vertAlign w:val="superscript"/>
              </w:rPr>
              <w:t>1</w:t>
            </w:r>
          </w:p>
        </w:tc>
        <w:tc>
          <w:tcPr>
            <w:tcW w:w="2689" w:type="dxa"/>
            <w:tcBorders>
              <w:top w:val="nil"/>
              <w:left w:val="nil"/>
              <w:bottom w:val="nil"/>
              <w:right w:val="nil"/>
            </w:tcBorders>
            <w:noWrap/>
            <w:vAlign w:val="center"/>
            <w:hideMark/>
          </w:tcPr>
          <w:p w14:paraId="390D9ECF"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CaCO</w:t>
            </w:r>
            <w:r w:rsidRPr="00161102">
              <w:rPr>
                <w:rFonts w:eastAsia="Times New Roman" w:cs="Times New Roman"/>
                <w:color w:val="000000"/>
                <w:sz w:val="20"/>
                <w:szCs w:val="20"/>
                <w:vertAlign w:val="subscript"/>
              </w:rPr>
              <w:t>3</w:t>
            </w:r>
          </w:p>
        </w:tc>
        <w:tc>
          <w:tcPr>
            <w:tcW w:w="1980" w:type="dxa"/>
            <w:tcBorders>
              <w:top w:val="nil"/>
              <w:left w:val="nil"/>
              <w:bottom w:val="nil"/>
              <w:right w:val="nil"/>
            </w:tcBorders>
            <w:noWrap/>
            <w:vAlign w:val="center"/>
            <w:hideMark/>
          </w:tcPr>
          <w:p w14:paraId="5A923A3F"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N/A</w:t>
            </w:r>
          </w:p>
        </w:tc>
        <w:tc>
          <w:tcPr>
            <w:tcW w:w="2070" w:type="dxa"/>
            <w:tcBorders>
              <w:top w:val="nil"/>
              <w:left w:val="nil"/>
              <w:bottom w:val="nil"/>
              <w:right w:val="nil"/>
            </w:tcBorders>
            <w:noWrap/>
            <w:vAlign w:val="center"/>
            <w:hideMark/>
          </w:tcPr>
          <w:p w14:paraId="36D174EE"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&lt;0.1%</w:t>
            </w:r>
          </w:p>
        </w:tc>
      </w:tr>
      <w:tr w:rsidR="004B0257" w:rsidRPr="00161102" w14:paraId="516CA84C" w14:textId="77777777" w:rsidTr="002C492A">
        <w:trPr>
          <w:trHeight w:val="245"/>
        </w:trPr>
        <w:tc>
          <w:tcPr>
            <w:tcW w:w="2168" w:type="dxa"/>
            <w:tcBorders>
              <w:top w:val="nil"/>
              <w:left w:val="nil"/>
              <w:bottom w:val="nil"/>
              <w:right w:val="nil"/>
            </w:tcBorders>
            <w:noWrap/>
            <w:vAlign w:val="bottom"/>
            <w:hideMark/>
          </w:tcPr>
          <w:p w14:paraId="65494798"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Ankerite</w:t>
            </w:r>
            <w:r w:rsidRPr="00161102">
              <w:rPr>
                <w:rFonts w:eastAsia="Times New Roman" w:cs="Times New Roman"/>
                <w:color w:val="000000"/>
                <w:sz w:val="20"/>
                <w:szCs w:val="20"/>
                <w:vertAlign w:val="superscript"/>
              </w:rPr>
              <w:t>1</w:t>
            </w:r>
          </w:p>
        </w:tc>
        <w:tc>
          <w:tcPr>
            <w:tcW w:w="2689" w:type="dxa"/>
            <w:tcBorders>
              <w:top w:val="nil"/>
              <w:left w:val="nil"/>
              <w:bottom w:val="nil"/>
              <w:right w:val="nil"/>
            </w:tcBorders>
            <w:noWrap/>
            <w:vAlign w:val="center"/>
            <w:hideMark/>
          </w:tcPr>
          <w:p w14:paraId="474C8CBA"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Ca(</w:t>
            </w:r>
            <w:proofErr w:type="spellStart"/>
            <w:r w:rsidRPr="00161102">
              <w:rPr>
                <w:rFonts w:eastAsia="Times New Roman" w:cs="Times New Roman"/>
                <w:color w:val="000000"/>
                <w:sz w:val="20"/>
                <w:szCs w:val="20"/>
              </w:rPr>
              <w:t>Fe,Mg,Mn</w:t>
            </w:r>
            <w:proofErr w:type="spellEnd"/>
            <w:r w:rsidRPr="00161102">
              <w:rPr>
                <w:rFonts w:eastAsia="Times New Roman" w:cs="Times New Roman"/>
                <w:color w:val="000000"/>
                <w:sz w:val="20"/>
                <w:szCs w:val="20"/>
              </w:rPr>
              <w:t>)(CO</w:t>
            </w:r>
            <w:r w:rsidRPr="00161102">
              <w:rPr>
                <w:rFonts w:eastAsia="Times New Roman" w:cs="Times New Roman"/>
                <w:color w:val="000000"/>
                <w:sz w:val="20"/>
                <w:szCs w:val="20"/>
                <w:vertAlign w:val="subscript"/>
              </w:rPr>
              <w:t>3</w:t>
            </w:r>
            <w:r w:rsidRPr="00161102">
              <w:rPr>
                <w:rFonts w:eastAsia="Times New Roman" w:cs="Times New Roman"/>
                <w:color w:val="000000"/>
                <w:sz w:val="20"/>
                <w:szCs w:val="20"/>
              </w:rPr>
              <w:t>)</w:t>
            </w:r>
            <w:r w:rsidRPr="00161102">
              <w:rPr>
                <w:rFonts w:eastAsia="Times New Roman" w:cs="Times New Roman"/>
                <w:color w:val="000000"/>
                <w:sz w:val="20"/>
                <w:szCs w:val="20"/>
                <w:vertAlign w:val="subscript"/>
              </w:rPr>
              <w:t>2</w:t>
            </w:r>
          </w:p>
        </w:tc>
        <w:tc>
          <w:tcPr>
            <w:tcW w:w="1980" w:type="dxa"/>
            <w:tcBorders>
              <w:top w:val="nil"/>
              <w:left w:val="nil"/>
              <w:bottom w:val="nil"/>
              <w:right w:val="nil"/>
            </w:tcBorders>
            <w:noWrap/>
            <w:vAlign w:val="bottom"/>
            <w:hideMark/>
          </w:tcPr>
          <w:p w14:paraId="5EBF94BC"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Mn, Mg</w:t>
            </w:r>
          </w:p>
        </w:tc>
        <w:tc>
          <w:tcPr>
            <w:tcW w:w="2070" w:type="dxa"/>
            <w:tcBorders>
              <w:top w:val="nil"/>
              <w:left w:val="nil"/>
              <w:bottom w:val="nil"/>
              <w:right w:val="nil"/>
            </w:tcBorders>
            <w:noWrap/>
            <w:vAlign w:val="center"/>
            <w:hideMark/>
          </w:tcPr>
          <w:p w14:paraId="76B9CFFA"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&lt;0.1%</w:t>
            </w:r>
          </w:p>
        </w:tc>
      </w:tr>
      <w:tr w:rsidR="004B0257" w:rsidRPr="00161102" w14:paraId="20B5C1B7" w14:textId="77777777" w:rsidTr="002C492A">
        <w:trPr>
          <w:trHeight w:val="245"/>
        </w:trPr>
        <w:tc>
          <w:tcPr>
            <w:tcW w:w="2168" w:type="dxa"/>
            <w:tcBorders>
              <w:top w:val="nil"/>
              <w:left w:val="nil"/>
              <w:bottom w:val="nil"/>
              <w:right w:val="nil"/>
            </w:tcBorders>
            <w:noWrap/>
            <w:vAlign w:val="center"/>
            <w:hideMark/>
          </w:tcPr>
          <w:p w14:paraId="50815CD3"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Apatite</w:t>
            </w:r>
            <w:r w:rsidRPr="00161102">
              <w:rPr>
                <w:rFonts w:eastAsia="Times New Roman" w:cs="Times New Roman"/>
                <w:color w:val="000000"/>
                <w:sz w:val="20"/>
                <w:szCs w:val="20"/>
                <w:vertAlign w:val="superscript"/>
              </w:rPr>
              <w:t>1</w:t>
            </w:r>
          </w:p>
        </w:tc>
        <w:tc>
          <w:tcPr>
            <w:tcW w:w="2689" w:type="dxa"/>
            <w:tcBorders>
              <w:top w:val="nil"/>
              <w:left w:val="nil"/>
              <w:bottom w:val="nil"/>
              <w:right w:val="nil"/>
            </w:tcBorders>
            <w:noWrap/>
            <w:vAlign w:val="center"/>
            <w:hideMark/>
          </w:tcPr>
          <w:p w14:paraId="0DD2F61A"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Ca</w:t>
            </w:r>
            <w:r w:rsidRPr="00161102">
              <w:rPr>
                <w:rFonts w:eastAsia="Times New Roman" w:cs="Times New Roman"/>
                <w:color w:val="000000"/>
                <w:sz w:val="20"/>
                <w:szCs w:val="20"/>
                <w:vertAlign w:val="subscript"/>
              </w:rPr>
              <w:t xml:space="preserve">5 </w:t>
            </w:r>
            <w:r w:rsidRPr="00161102">
              <w:rPr>
                <w:rFonts w:eastAsia="Times New Roman" w:cs="Times New Roman"/>
                <w:color w:val="000000"/>
                <w:sz w:val="20"/>
                <w:szCs w:val="20"/>
              </w:rPr>
              <w:t>(PO</w:t>
            </w:r>
            <w:r w:rsidRPr="00161102">
              <w:rPr>
                <w:rFonts w:eastAsia="Times New Roman" w:cs="Times New Roman"/>
                <w:color w:val="000000"/>
                <w:sz w:val="20"/>
                <w:szCs w:val="20"/>
                <w:vertAlign w:val="subscript"/>
              </w:rPr>
              <w:t>4</w:t>
            </w:r>
            <w:r w:rsidRPr="00161102">
              <w:rPr>
                <w:rFonts w:eastAsia="Times New Roman" w:cs="Times New Roman"/>
                <w:color w:val="000000"/>
                <w:sz w:val="20"/>
                <w:szCs w:val="20"/>
              </w:rPr>
              <w:t>)</w:t>
            </w:r>
            <w:r w:rsidRPr="00161102">
              <w:rPr>
                <w:rFonts w:eastAsia="Times New Roman" w:cs="Times New Roman"/>
                <w:color w:val="000000"/>
                <w:sz w:val="20"/>
                <w:szCs w:val="20"/>
                <w:vertAlign w:val="subscript"/>
              </w:rPr>
              <w:t>3</w:t>
            </w:r>
            <w:r w:rsidRPr="00161102">
              <w:rPr>
                <w:rFonts w:eastAsia="Times New Roman" w:cs="Times New Roman"/>
                <w:color w:val="000000"/>
                <w:sz w:val="20"/>
                <w:szCs w:val="20"/>
              </w:rPr>
              <w:t>(</w:t>
            </w:r>
            <w:proofErr w:type="spellStart"/>
            <w:r w:rsidRPr="00161102">
              <w:rPr>
                <w:rFonts w:eastAsia="Times New Roman" w:cs="Times New Roman"/>
                <w:color w:val="000000"/>
                <w:sz w:val="20"/>
                <w:szCs w:val="20"/>
              </w:rPr>
              <w:t>F,Cl,OH</w:t>
            </w:r>
            <w:proofErr w:type="spellEnd"/>
            <w:r w:rsidRPr="00161102">
              <w:rPr>
                <w:rFonts w:eastAsia="Times New Roman" w:cs="Times New Roman"/>
                <w:color w:val="000000"/>
                <w:sz w:val="20"/>
                <w:szCs w:val="20"/>
              </w:rPr>
              <w:t>)</w:t>
            </w:r>
          </w:p>
        </w:tc>
        <w:tc>
          <w:tcPr>
            <w:tcW w:w="1980" w:type="dxa"/>
            <w:tcBorders>
              <w:top w:val="nil"/>
              <w:left w:val="nil"/>
              <w:bottom w:val="nil"/>
              <w:right w:val="nil"/>
            </w:tcBorders>
            <w:noWrap/>
            <w:vAlign w:val="center"/>
            <w:hideMark/>
          </w:tcPr>
          <w:p w14:paraId="7138090D"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N/A</w:t>
            </w:r>
          </w:p>
        </w:tc>
        <w:tc>
          <w:tcPr>
            <w:tcW w:w="2070" w:type="dxa"/>
            <w:tcBorders>
              <w:top w:val="nil"/>
              <w:left w:val="nil"/>
              <w:bottom w:val="nil"/>
              <w:right w:val="nil"/>
            </w:tcBorders>
            <w:noWrap/>
            <w:vAlign w:val="center"/>
            <w:hideMark/>
          </w:tcPr>
          <w:p w14:paraId="0DC02E1D"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&lt;0.1%</w:t>
            </w:r>
          </w:p>
        </w:tc>
      </w:tr>
      <w:tr w:rsidR="004B0257" w:rsidRPr="00161102" w14:paraId="0DD2240D" w14:textId="77777777" w:rsidTr="002C492A">
        <w:trPr>
          <w:trHeight w:val="245"/>
        </w:trPr>
        <w:tc>
          <w:tcPr>
            <w:tcW w:w="2168" w:type="dxa"/>
            <w:tcBorders>
              <w:top w:val="nil"/>
              <w:left w:val="nil"/>
              <w:bottom w:val="nil"/>
              <w:right w:val="nil"/>
            </w:tcBorders>
            <w:noWrap/>
            <w:vAlign w:val="bottom"/>
            <w:hideMark/>
          </w:tcPr>
          <w:p w14:paraId="77D53F47"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Dolomite</w:t>
            </w:r>
            <w:r w:rsidRPr="00161102">
              <w:rPr>
                <w:rFonts w:eastAsia="Times New Roman" w:cs="Times New Roman"/>
                <w:color w:val="000000"/>
                <w:sz w:val="20"/>
                <w:szCs w:val="20"/>
                <w:vertAlign w:val="superscript"/>
              </w:rPr>
              <w:t>2</w:t>
            </w:r>
          </w:p>
        </w:tc>
        <w:tc>
          <w:tcPr>
            <w:tcW w:w="2689" w:type="dxa"/>
            <w:tcBorders>
              <w:top w:val="nil"/>
              <w:left w:val="nil"/>
              <w:bottom w:val="nil"/>
              <w:right w:val="nil"/>
            </w:tcBorders>
            <w:noWrap/>
            <w:vAlign w:val="center"/>
            <w:hideMark/>
          </w:tcPr>
          <w:p w14:paraId="4AE970AB" w14:textId="77777777" w:rsidR="004B0257" w:rsidRPr="00161102" w:rsidRDefault="004B0257" w:rsidP="00303038">
            <w:pPr>
              <w:spacing w:after="0"/>
              <w:ind w:firstLine="0"/>
              <w:jc w:val="center"/>
              <w:rPr>
                <w:rFonts w:eastAsia="Times New Roman" w:cs="Times New Roman"/>
                <w:color w:val="000000"/>
                <w:sz w:val="20"/>
                <w:szCs w:val="20"/>
              </w:rPr>
            </w:pPr>
            <w:proofErr w:type="spellStart"/>
            <w:r w:rsidRPr="00161102">
              <w:rPr>
                <w:rFonts w:eastAsia="Times New Roman" w:cs="Times New Roman"/>
                <w:color w:val="000000"/>
                <w:sz w:val="20"/>
                <w:szCs w:val="20"/>
              </w:rPr>
              <w:t>CaMg</w:t>
            </w:r>
            <w:proofErr w:type="spellEnd"/>
            <w:r w:rsidRPr="00161102">
              <w:rPr>
                <w:rFonts w:eastAsia="Times New Roman" w:cs="Times New Roman"/>
                <w:color w:val="000000"/>
                <w:sz w:val="20"/>
                <w:szCs w:val="20"/>
              </w:rPr>
              <w:t>(CO</w:t>
            </w:r>
            <w:r w:rsidRPr="00161102">
              <w:rPr>
                <w:rFonts w:eastAsia="Times New Roman" w:cs="Times New Roman"/>
                <w:color w:val="000000"/>
                <w:sz w:val="20"/>
                <w:szCs w:val="20"/>
                <w:vertAlign w:val="subscript"/>
              </w:rPr>
              <w:t>3</w:t>
            </w:r>
            <w:r w:rsidRPr="00161102">
              <w:rPr>
                <w:rFonts w:eastAsia="Times New Roman" w:cs="Times New Roman"/>
                <w:color w:val="000000"/>
                <w:sz w:val="20"/>
                <w:szCs w:val="20"/>
              </w:rPr>
              <w:t>)</w:t>
            </w:r>
            <w:r w:rsidRPr="00161102">
              <w:rPr>
                <w:rFonts w:eastAsia="Times New Roman" w:cs="Times New Roman"/>
                <w:color w:val="000000"/>
                <w:sz w:val="20"/>
                <w:szCs w:val="20"/>
                <w:vertAlign w:val="subscript"/>
              </w:rPr>
              <w:t>2</w:t>
            </w:r>
          </w:p>
        </w:tc>
        <w:tc>
          <w:tcPr>
            <w:tcW w:w="1980" w:type="dxa"/>
            <w:tcBorders>
              <w:top w:val="nil"/>
              <w:left w:val="nil"/>
              <w:bottom w:val="nil"/>
              <w:right w:val="nil"/>
            </w:tcBorders>
            <w:noWrap/>
            <w:vAlign w:val="center"/>
            <w:hideMark/>
          </w:tcPr>
          <w:p w14:paraId="78941CEB"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Mg</w:t>
            </w:r>
          </w:p>
        </w:tc>
        <w:tc>
          <w:tcPr>
            <w:tcW w:w="2070" w:type="dxa"/>
            <w:tcBorders>
              <w:top w:val="nil"/>
              <w:left w:val="nil"/>
              <w:bottom w:val="nil"/>
              <w:right w:val="nil"/>
            </w:tcBorders>
            <w:noWrap/>
            <w:vAlign w:val="bottom"/>
            <w:hideMark/>
          </w:tcPr>
          <w:p w14:paraId="65266A8A"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not given</w:t>
            </w:r>
          </w:p>
        </w:tc>
      </w:tr>
      <w:tr w:rsidR="004B0257" w:rsidRPr="00161102" w14:paraId="5362FFF7" w14:textId="77777777" w:rsidTr="002C492A">
        <w:trPr>
          <w:trHeight w:val="245"/>
        </w:trPr>
        <w:tc>
          <w:tcPr>
            <w:tcW w:w="2168" w:type="dxa"/>
            <w:tcBorders>
              <w:top w:val="nil"/>
              <w:left w:val="nil"/>
              <w:bottom w:val="nil"/>
              <w:right w:val="nil"/>
            </w:tcBorders>
            <w:noWrap/>
            <w:vAlign w:val="center"/>
            <w:hideMark/>
          </w:tcPr>
          <w:p w14:paraId="51BDBA1F"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Gold</w:t>
            </w:r>
            <w:r w:rsidRPr="00161102">
              <w:rPr>
                <w:rFonts w:eastAsia="Times New Roman" w:cs="Times New Roman"/>
                <w:color w:val="000000"/>
                <w:sz w:val="20"/>
                <w:szCs w:val="20"/>
                <w:vertAlign w:val="superscript"/>
              </w:rPr>
              <w:t>2</w:t>
            </w:r>
          </w:p>
        </w:tc>
        <w:tc>
          <w:tcPr>
            <w:tcW w:w="2689" w:type="dxa"/>
            <w:tcBorders>
              <w:top w:val="nil"/>
              <w:left w:val="nil"/>
              <w:bottom w:val="nil"/>
              <w:right w:val="nil"/>
            </w:tcBorders>
            <w:noWrap/>
            <w:vAlign w:val="center"/>
            <w:hideMark/>
          </w:tcPr>
          <w:p w14:paraId="769A2853"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Au</w:t>
            </w:r>
          </w:p>
        </w:tc>
        <w:tc>
          <w:tcPr>
            <w:tcW w:w="1980" w:type="dxa"/>
            <w:tcBorders>
              <w:top w:val="nil"/>
              <w:left w:val="nil"/>
              <w:bottom w:val="nil"/>
              <w:right w:val="nil"/>
            </w:tcBorders>
            <w:noWrap/>
            <w:vAlign w:val="center"/>
            <w:hideMark/>
          </w:tcPr>
          <w:p w14:paraId="1309FC07"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N/A</w:t>
            </w:r>
          </w:p>
        </w:tc>
        <w:tc>
          <w:tcPr>
            <w:tcW w:w="2070" w:type="dxa"/>
            <w:tcBorders>
              <w:top w:val="nil"/>
              <w:left w:val="nil"/>
              <w:bottom w:val="nil"/>
              <w:right w:val="nil"/>
            </w:tcBorders>
            <w:noWrap/>
            <w:vAlign w:val="bottom"/>
            <w:hideMark/>
          </w:tcPr>
          <w:p w14:paraId="01166666"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not given</w:t>
            </w:r>
          </w:p>
        </w:tc>
      </w:tr>
      <w:tr w:rsidR="004B0257" w:rsidRPr="00161102" w14:paraId="1481AA21" w14:textId="77777777" w:rsidTr="002C492A">
        <w:trPr>
          <w:trHeight w:val="245"/>
        </w:trPr>
        <w:tc>
          <w:tcPr>
            <w:tcW w:w="2168" w:type="dxa"/>
            <w:tcBorders>
              <w:top w:val="nil"/>
              <w:left w:val="nil"/>
              <w:bottom w:val="nil"/>
              <w:right w:val="nil"/>
            </w:tcBorders>
            <w:noWrap/>
            <w:vAlign w:val="center"/>
            <w:hideMark/>
          </w:tcPr>
          <w:p w14:paraId="18028751"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Topaz</w:t>
            </w:r>
            <w:r w:rsidRPr="00161102">
              <w:rPr>
                <w:rFonts w:eastAsia="Times New Roman" w:cs="Times New Roman"/>
                <w:color w:val="000000"/>
                <w:sz w:val="20"/>
                <w:szCs w:val="20"/>
                <w:vertAlign w:val="superscript"/>
              </w:rPr>
              <w:t>2</w:t>
            </w:r>
          </w:p>
        </w:tc>
        <w:tc>
          <w:tcPr>
            <w:tcW w:w="2689" w:type="dxa"/>
            <w:tcBorders>
              <w:top w:val="nil"/>
              <w:left w:val="nil"/>
              <w:bottom w:val="nil"/>
              <w:right w:val="nil"/>
            </w:tcBorders>
            <w:noWrap/>
            <w:vAlign w:val="center"/>
            <w:hideMark/>
          </w:tcPr>
          <w:p w14:paraId="340DF289"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Al</w:t>
            </w:r>
            <w:r w:rsidRPr="00161102">
              <w:rPr>
                <w:rFonts w:eastAsia="Times New Roman" w:cs="Times New Roman"/>
                <w:color w:val="000000"/>
                <w:sz w:val="20"/>
                <w:szCs w:val="20"/>
                <w:vertAlign w:val="subscript"/>
              </w:rPr>
              <w:t>2</w:t>
            </w:r>
            <w:r w:rsidRPr="00161102">
              <w:rPr>
                <w:rFonts w:eastAsia="Times New Roman" w:cs="Times New Roman"/>
                <w:color w:val="000000"/>
                <w:sz w:val="20"/>
                <w:szCs w:val="20"/>
              </w:rPr>
              <w:t>SiO</w:t>
            </w:r>
            <w:r w:rsidRPr="00161102">
              <w:rPr>
                <w:rFonts w:eastAsia="Times New Roman" w:cs="Times New Roman"/>
                <w:color w:val="000000"/>
                <w:sz w:val="20"/>
                <w:szCs w:val="20"/>
                <w:vertAlign w:val="subscript"/>
              </w:rPr>
              <w:t xml:space="preserve">4 </w:t>
            </w:r>
            <w:r w:rsidRPr="00161102">
              <w:rPr>
                <w:rFonts w:eastAsia="Times New Roman" w:cs="Times New Roman"/>
                <w:color w:val="000000"/>
                <w:sz w:val="20"/>
                <w:szCs w:val="20"/>
              </w:rPr>
              <w:t>(F,OH)</w:t>
            </w:r>
            <w:r w:rsidRPr="00161102">
              <w:rPr>
                <w:rFonts w:eastAsia="Times New Roman" w:cs="Times New Roman"/>
                <w:color w:val="000000"/>
                <w:sz w:val="20"/>
                <w:szCs w:val="20"/>
                <w:vertAlign w:val="subscript"/>
              </w:rPr>
              <w:t>2</w:t>
            </w:r>
          </w:p>
        </w:tc>
        <w:tc>
          <w:tcPr>
            <w:tcW w:w="1980" w:type="dxa"/>
            <w:tcBorders>
              <w:top w:val="nil"/>
              <w:left w:val="nil"/>
              <w:bottom w:val="nil"/>
              <w:right w:val="nil"/>
            </w:tcBorders>
            <w:noWrap/>
            <w:vAlign w:val="center"/>
            <w:hideMark/>
          </w:tcPr>
          <w:p w14:paraId="161E4FE2"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Al</w:t>
            </w:r>
          </w:p>
        </w:tc>
        <w:tc>
          <w:tcPr>
            <w:tcW w:w="2070" w:type="dxa"/>
            <w:tcBorders>
              <w:top w:val="nil"/>
              <w:left w:val="nil"/>
              <w:bottom w:val="nil"/>
              <w:right w:val="nil"/>
            </w:tcBorders>
            <w:noWrap/>
            <w:vAlign w:val="bottom"/>
            <w:hideMark/>
          </w:tcPr>
          <w:p w14:paraId="23EB49F9"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not given</w:t>
            </w:r>
          </w:p>
        </w:tc>
      </w:tr>
      <w:tr w:rsidR="004B0257" w:rsidRPr="00161102" w14:paraId="043F05D3" w14:textId="77777777" w:rsidTr="002C492A">
        <w:trPr>
          <w:trHeight w:val="245"/>
        </w:trPr>
        <w:tc>
          <w:tcPr>
            <w:tcW w:w="2168" w:type="dxa"/>
            <w:tcBorders>
              <w:top w:val="nil"/>
              <w:left w:val="nil"/>
              <w:bottom w:val="nil"/>
              <w:right w:val="nil"/>
            </w:tcBorders>
            <w:noWrap/>
            <w:vAlign w:val="center"/>
            <w:hideMark/>
          </w:tcPr>
          <w:p w14:paraId="4D687134" w14:textId="5C705E11"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 xml:space="preserve">Garnet </w:t>
            </w:r>
            <w:r w:rsidR="00303038">
              <w:rPr>
                <w:rFonts w:eastAsia="Times New Roman" w:cs="Times New Roman"/>
                <w:color w:val="000000"/>
                <w:sz w:val="20"/>
                <w:szCs w:val="20"/>
              </w:rPr>
              <w:t xml:space="preserve">           </w:t>
            </w:r>
            <w:r w:rsidRPr="00161102">
              <w:rPr>
                <w:rFonts w:eastAsia="Times New Roman" w:cs="Times New Roman"/>
                <w:color w:val="000000"/>
                <w:sz w:val="20"/>
                <w:szCs w:val="20"/>
              </w:rPr>
              <w:t>(Spessartine?)</w:t>
            </w:r>
            <w:r w:rsidRPr="00161102">
              <w:rPr>
                <w:rFonts w:eastAsia="Times New Roman" w:cs="Times New Roman"/>
                <w:color w:val="000000"/>
                <w:sz w:val="20"/>
                <w:szCs w:val="20"/>
                <w:vertAlign w:val="superscript"/>
              </w:rPr>
              <w:t>2</w:t>
            </w:r>
          </w:p>
        </w:tc>
        <w:tc>
          <w:tcPr>
            <w:tcW w:w="2689" w:type="dxa"/>
            <w:tcBorders>
              <w:top w:val="nil"/>
              <w:left w:val="nil"/>
              <w:bottom w:val="nil"/>
              <w:right w:val="nil"/>
            </w:tcBorders>
            <w:noWrap/>
            <w:vAlign w:val="center"/>
            <w:hideMark/>
          </w:tcPr>
          <w:p w14:paraId="3ACBC117"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Mn</w:t>
            </w:r>
            <w:r w:rsidRPr="00161102">
              <w:rPr>
                <w:rFonts w:eastAsia="Times New Roman" w:cs="Times New Roman"/>
                <w:color w:val="000000"/>
                <w:sz w:val="20"/>
                <w:szCs w:val="20"/>
                <w:vertAlign w:val="subscript"/>
              </w:rPr>
              <w:t>3</w:t>
            </w:r>
            <w:r w:rsidRPr="00161102">
              <w:rPr>
                <w:rFonts w:eastAsia="Times New Roman" w:cs="Times New Roman"/>
                <w:color w:val="000000"/>
                <w:sz w:val="20"/>
                <w:szCs w:val="20"/>
              </w:rPr>
              <w:t>Al</w:t>
            </w:r>
            <w:r w:rsidRPr="00161102">
              <w:rPr>
                <w:rFonts w:eastAsia="Times New Roman" w:cs="Times New Roman"/>
                <w:color w:val="000000"/>
                <w:sz w:val="20"/>
                <w:szCs w:val="20"/>
                <w:vertAlign w:val="subscript"/>
              </w:rPr>
              <w:t>2</w:t>
            </w:r>
            <w:r w:rsidRPr="00161102">
              <w:rPr>
                <w:rFonts w:eastAsia="Times New Roman" w:cs="Times New Roman"/>
                <w:color w:val="000000"/>
                <w:sz w:val="20"/>
                <w:szCs w:val="20"/>
              </w:rPr>
              <w:t>SiO</w:t>
            </w:r>
            <w:r w:rsidRPr="00161102">
              <w:rPr>
                <w:rFonts w:eastAsia="Times New Roman" w:cs="Times New Roman"/>
                <w:color w:val="000000"/>
                <w:sz w:val="20"/>
                <w:szCs w:val="20"/>
                <w:vertAlign w:val="subscript"/>
              </w:rPr>
              <w:t>4</w:t>
            </w:r>
          </w:p>
        </w:tc>
        <w:tc>
          <w:tcPr>
            <w:tcW w:w="1980" w:type="dxa"/>
            <w:tcBorders>
              <w:top w:val="nil"/>
              <w:left w:val="nil"/>
              <w:bottom w:val="nil"/>
              <w:right w:val="nil"/>
            </w:tcBorders>
            <w:noWrap/>
            <w:vAlign w:val="center"/>
            <w:hideMark/>
          </w:tcPr>
          <w:p w14:paraId="35BB6A18"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Mn</w:t>
            </w:r>
          </w:p>
        </w:tc>
        <w:tc>
          <w:tcPr>
            <w:tcW w:w="2070" w:type="dxa"/>
            <w:tcBorders>
              <w:top w:val="nil"/>
              <w:left w:val="nil"/>
              <w:bottom w:val="nil"/>
              <w:right w:val="nil"/>
            </w:tcBorders>
            <w:noWrap/>
            <w:vAlign w:val="center"/>
            <w:hideMark/>
          </w:tcPr>
          <w:p w14:paraId="71E1F348"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~0.1%</w:t>
            </w:r>
            <w:r w:rsidRPr="00161102">
              <w:rPr>
                <w:rFonts w:eastAsia="Times New Roman" w:cs="Times New Roman"/>
                <w:color w:val="000000"/>
                <w:sz w:val="20"/>
                <w:szCs w:val="20"/>
                <w:vertAlign w:val="superscript"/>
              </w:rPr>
              <w:t>5</w:t>
            </w:r>
          </w:p>
        </w:tc>
      </w:tr>
      <w:tr w:rsidR="004B0257" w:rsidRPr="00161102" w14:paraId="3FDC6B11" w14:textId="77777777" w:rsidTr="002C492A">
        <w:trPr>
          <w:trHeight w:val="245"/>
        </w:trPr>
        <w:tc>
          <w:tcPr>
            <w:tcW w:w="2168" w:type="dxa"/>
            <w:tcBorders>
              <w:top w:val="nil"/>
              <w:left w:val="nil"/>
              <w:bottom w:val="nil"/>
              <w:right w:val="nil"/>
            </w:tcBorders>
            <w:noWrap/>
            <w:vAlign w:val="center"/>
            <w:hideMark/>
          </w:tcPr>
          <w:p w14:paraId="00CF1C17"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Altaite</w:t>
            </w:r>
            <w:r w:rsidRPr="00161102">
              <w:rPr>
                <w:rFonts w:eastAsia="Times New Roman" w:cs="Times New Roman"/>
                <w:color w:val="000000"/>
                <w:sz w:val="20"/>
                <w:szCs w:val="20"/>
                <w:vertAlign w:val="superscript"/>
              </w:rPr>
              <w:t>3</w:t>
            </w:r>
          </w:p>
        </w:tc>
        <w:tc>
          <w:tcPr>
            <w:tcW w:w="2689" w:type="dxa"/>
            <w:tcBorders>
              <w:top w:val="nil"/>
              <w:left w:val="nil"/>
              <w:bottom w:val="nil"/>
              <w:right w:val="nil"/>
            </w:tcBorders>
            <w:noWrap/>
            <w:vAlign w:val="center"/>
            <w:hideMark/>
          </w:tcPr>
          <w:p w14:paraId="247546D2" w14:textId="77777777" w:rsidR="004B0257" w:rsidRPr="00161102" w:rsidRDefault="004B0257" w:rsidP="00303038">
            <w:pPr>
              <w:spacing w:after="0"/>
              <w:ind w:firstLine="0"/>
              <w:jc w:val="center"/>
              <w:rPr>
                <w:rFonts w:eastAsia="Times New Roman" w:cs="Times New Roman"/>
                <w:color w:val="000000"/>
                <w:sz w:val="20"/>
                <w:szCs w:val="20"/>
              </w:rPr>
            </w:pPr>
            <w:proofErr w:type="spellStart"/>
            <w:r w:rsidRPr="00161102">
              <w:rPr>
                <w:rFonts w:eastAsia="Times New Roman" w:cs="Times New Roman"/>
                <w:color w:val="000000"/>
                <w:sz w:val="20"/>
                <w:szCs w:val="20"/>
              </w:rPr>
              <w:t>PbTe</w:t>
            </w:r>
            <w:proofErr w:type="spellEnd"/>
          </w:p>
        </w:tc>
        <w:tc>
          <w:tcPr>
            <w:tcW w:w="1980" w:type="dxa"/>
            <w:tcBorders>
              <w:top w:val="nil"/>
              <w:left w:val="nil"/>
              <w:bottom w:val="nil"/>
              <w:right w:val="nil"/>
            </w:tcBorders>
            <w:noWrap/>
            <w:vAlign w:val="center"/>
            <w:hideMark/>
          </w:tcPr>
          <w:p w14:paraId="422A9D10"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Te</w:t>
            </w:r>
          </w:p>
        </w:tc>
        <w:tc>
          <w:tcPr>
            <w:tcW w:w="2070" w:type="dxa"/>
            <w:tcBorders>
              <w:top w:val="nil"/>
              <w:left w:val="nil"/>
              <w:bottom w:val="nil"/>
              <w:right w:val="nil"/>
            </w:tcBorders>
            <w:noWrap/>
            <w:vAlign w:val="center"/>
            <w:hideMark/>
          </w:tcPr>
          <w:p w14:paraId="77D84BAF"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&lt;0.1%</w:t>
            </w:r>
          </w:p>
        </w:tc>
      </w:tr>
      <w:tr w:rsidR="004B0257" w:rsidRPr="00161102" w14:paraId="4252155B" w14:textId="77777777" w:rsidTr="002C492A">
        <w:trPr>
          <w:trHeight w:val="245"/>
        </w:trPr>
        <w:tc>
          <w:tcPr>
            <w:tcW w:w="2168" w:type="dxa"/>
            <w:tcBorders>
              <w:top w:val="nil"/>
              <w:left w:val="nil"/>
              <w:bottom w:val="nil"/>
              <w:right w:val="nil"/>
            </w:tcBorders>
            <w:noWrap/>
            <w:vAlign w:val="center"/>
            <w:hideMark/>
          </w:tcPr>
          <w:p w14:paraId="060433A3"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Wittichenite</w:t>
            </w:r>
            <w:r w:rsidRPr="00161102">
              <w:rPr>
                <w:rFonts w:eastAsia="Times New Roman" w:cs="Times New Roman"/>
                <w:color w:val="000000"/>
                <w:sz w:val="20"/>
                <w:szCs w:val="20"/>
                <w:vertAlign w:val="superscript"/>
              </w:rPr>
              <w:t>3</w:t>
            </w:r>
          </w:p>
        </w:tc>
        <w:tc>
          <w:tcPr>
            <w:tcW w:w="2689" w:type="dxa"/>
            <w:tcBorders>
              <w:top w:val="nil"/>
              <w:left w:val="nil"/>
              <w:bottom w:val="nil"/>
              <w:right w:val="nil"/>
            </w:tcBorders>
            <w:noWrap/>
            <w:vAlign w:val="center"/>
            <w:hideMark/>
          </w:tcPr>
          <w:p w14:paraId="6A3D9A20" w14:textId="77777777" w:rsidR="004B0257" w:rsidRPr="00161102" w:rsidRDefault="004B0257" w:rsidP="00303038">
            <w:pPr>
              <w:spacing w:after="0"/>
              <w:ind w:firstLine="0"/>
              <w:jc w:val="center"/>
              <w:rPr>
                <w:rFonts w:eastAsia="Times New Roman" w:cs="Times New Roman"/>
                <w:color w:val="000000"/>
                <w:sz w:val="20"/>
                <w:szCs w:val="20"/>
              </w:rPr>
            </w:pPr>
            <w:proofErr w:type="spellStart"/>
            <w:r w:rsidRPr="00161102">
              <w:rPr>
                <w:rFonts w:eastAsia="Times New Roman" w:cs="Times New Roman"/>
                <w:color w:val="000000"/>
                <w:sz w:val="20"/>
                <w:szCs w:val="20"/>
              </w:rPr>
              <w:t>BiS</w:t>
            </w:r>
            <w:proofErr w:type="spellEnd"/>
          </w:p>
        </w:tc>
        <w:tc>
          <w:tcPr>
            <w:tcW w:w="1980" w:type="dxa"/>
            <w:tcBorders>
              <w:top w:val="nil"/>
              <w:left w:val="nil"/>
              <w:bottom w:val="nil"/>
              <w:right w:val="nil"/>
            </w:tcBorders>
            <w:noWrap/>
            <w:vAlign w:val="center"/>
            <w:hideMark/>
          </w:tcPr>
          <w:p w14:paraId="584EBA61"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Bi</w:t>
            </w:r>
          </w:p>
        </w:tc>
        <w:tc>
          <w:tcPr>
            <w:tcW w:w="2070" w:type="dxa"/>
            <w:tcBorders>
              <w:top w:val="nil"/>
              <w:left w:val="nil"/>
              <w:bottom w:val="nil"/>
              <w:right w:val="nil"/>
            </w:tcBorders>
            <w:noWrap/>
            <w:vAlign w:val="center"/>
            <w:hideMark/>
          </w:tcPr>
          <w:p w14:paraId="5F5105A3"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&lt;0.1%</w:t>
            </w:r>
          </w:p>
        </w:tc>
      </w:tr>
      <w:tr w:rsidR="004B0257" w:rsidRPr="00161102" w14:paraId="46291955" w14:textId="77777777" w:rsidTr="002C492A">
        <w:trPr>
          <w:trHeight w:val="245"/>
        </w:trPr>
        <w:tc>
          <w:tcPr>
            <w:tcW w:w="2168" w:type="dxa"/>
            <w:tcBorders>
              <w:top w:val="nil"/>
              <w:left w:val="nil"/>
              <w:bottom w:val="single" w:sz="4" w:space="0" w:color="auto"/>
              <w:right w:val="nil"/>
            </w:tcBorders>
            <w:noWrap/>
            <w:vAlign w:val="center"/>
            <w:hideMark/>
          </w:tcPr>
          <w:p w14:paraId="620A2769"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Volynskite</w:t>
            </w:r>
            <w:r w:rsidRPr="00161102">
              <w:rPr>
                <w:rFonts w:eastAsia="Times New Roman" w:cs="Times New Roman"/>
                <w:color w:val="000000"/>
                <w:sz w:val="20"/>
                <w:szCs w:val="20"/>
                <w:vertAlign w:val="superscript"/>
              </w:rPr>
              <w:t>3</w:t>
            </w:r>
          </w:p>
        </w:tc>
        <w:tc>
          <w:tcPr>
            <w:tcW w:w="2689" w:type="dxa"/>
            <w:tcBorders>
              <w:top w:val="nil"/>
              <w:left w:val="nil"/>
              <w:bottom w:val="single" w:sz="4" w:space="0" w:color="auto"/>
              <w:right w:val="nil"/>
            </w:tcBorders>
            <w:noWrap/>
            <w:vAlign w:val="center"/>
            <w:hideMark/>
          </w:tcPr>
          <w:p w14:paraId="3A96E1CE"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AgBiTe</w:t>
            </w:r>
            <w:r w:rsidRPr="00161102">
              <w:rPr>
                <w:rFonts w:eastAsia="Times New Roman" w:cs="Times New Roman"/>
                <w:color w:val="000000"/>
                <w:sz w:val="20"/>
                <w:szCs w:val="20"/>
                <w:vertAlign w:val="subscript"/>
              </w:rPr>
              <w:t>2</w:t>
            </w:r>
          </w:p>
        </w:tc>
        <w:tc>
          <w:tcPr>
            <w:tcW w:w="1980" w:type="dxa"/>
            <w:tcBorders>
              <w:top w:val="nil"/>
              <w:left w:val="nil"/>
              <w:bottom w:val="single" w:sz="4" w:space="0" w:color="auto"/>
              <w:right w:val="nil"/>
            </w:tcBorders>
            <w:noWrap/>
            <w:vAlign w:val="center"/>
            <w:hideMark/>
          </w:tcPr>
          <w:p w14:paraId="49615C93"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Bi, Te</w:t>
            </w:r>
          </w:p>
        </w:tc>
        <w:tc>
          <w:tcPr>
            <w:tcW w:w="2070" w:type="dxa"/>
            <w:tcBorders>
              <w:top w:val="nil"/>
              <w:left w:val="nil"/>
              <w:bottom w:val="single" w:sz="4" w:space="0" w:color="auto"/>
              <w:right w:val="nil"/>
            </w:tcBorders>
            <w:noWrap/>
            <w:vAlign w:val="center"/>
            <w:hideMark/>
          </w:tcPr>
          <w:p w14:paraId="37294AD8" w14:textId="77777777" w:rsidR="004B0257" w:rsidRPr="00161102" w:rsidRDefault="004B0257" w:rsidP="00303038">
            <w:pPr>
              <w:spacing w:after="0"/>
              <w:ind w:firstLine="0"/>
              <w:jc w:val="center"/>
              <w:rPr>
                <w:rFonts w:eastAsia="Times New Roman" w:cs="Times New Roman"/>
                <w:color w:val="000000"/>
                <w:sz w:val="20"/>
                <w:szCs w:val="20"/>
              </w:rPr>
            </w:pPr>
            <w:r w:rsidRPr="00161102">
              <w:rPr>
                <w:rFonts w:eastAsia="Times New Roman" w:cs="Times New Roman"/>
                <w:color w:val="000000"/>
                <w:sz w:val="20"/>
                <w:szCs w:val="20"/>
              </w:rPr>
              <w:t>&lt;0.1%</w:t>
            </w:r>
          </w:p>
        </w:tc>
      </w:tr>
      <w:tr w:rsidR="004B0257" w:rsidRPr="00161102" w14:paraId="74ADA265" w14:textId="77777777" w:rsidTr="002C492A">
        <w:trPr>
          <w:trHeight w:val="305"/>
        </w:trPr>
        <w:tc>
          <w:tcPr>
            <w:tcW w:w="4857" w:type="dxa"/>
            <w:gridSpan w:val="2"/>
            <w:tcBorders>
              <w:top w:val="nil"/>
              <w:left w:val="nil"/>
              <w:bottom w:val="nil"/>
              <w:right w:val="nil"/>
            </w:tcBorders>
            <w:noWrap/>
            <w:vAlign w:val="bottom"/>
            <w:hideMark/>
          </w:tcPr>
          <w:p w14:paraId="31BDBC0E" w14:textId="77777777" w:rsidR="004B0257" w:rsidRPr="002C492A" w:rsidRDefault="004B0257" w:rsidP="002C492A">
            <w:pPr>
              <w:pStyle w:val="Caption1"/>
            </w:pPr>
            <w:r w:rsidRPr="002C492A">
              <w:rPr>
                <w:vertAlign w:val="superscript"/>
              </w:rPr>
              <w:t>1</w:t>
            </w:r>
            <w:r w:rsidRPr="002C492A">
              <w:t>Hydrothermal minerals of Casadevall and Rye (1980)</w:t>
            </w:r>
          </w:p>
        </w:tc>
        <w:tc>
          <w:tcPr>
            <w:tcW w:w="1980" w:type="dxa"/>
            <w:tcBorders>
              <w:top w:val="nil"/>
              <w:left w:val="nil"/>
              <w:bottom w:val="nil"/>
              <w:right w:val="nil"/>
            </w:tcBorders>
            <w:noWrap/>
            <w:vAlign w:val="bottom"/>
            <w:hideMark/>
          </w:tcPr>
          <w:p w14:paraId="56E42752" w14:textId="77777777" w:rsidR="004B0257" w:rsidRPr="00161102" w:rsidRDefault="004B0257" w:rsidP="007B5C45">
            <w:pPr>
              <w:pStyle w:val="Caption1"/>
              <w:rPr>
                <w:sz w:val="24"/>
                <w:szCs w:val="24"/>
              </w:rPr>
            </w:pPr>
          </w:p>
        </w:tc>
        <w:tc>
          <w:tcPr>
            <w:tcW w:w="2070" w:type="dxa"/>
            <w:tcBorders>
              <w:top w:val="nil"/>
              <w:left w:val="nil"/>
              <w:bottom w:val="nil"/>
              <w:right w:val="nil"/>
            </w:tcBorders>
            <w:noWrap/>
            <w:vAlign w:val="bottom"/>
            <w:hideMark/>
          </w:tcPr>
          <w:p w14:paraId="09C56483" w14:textId="77777777" w:rsidR="004B0257" w:rsidRPr="00161102" w:rsidRDefault="004B0257" w:rsidP="007B5C45">
            <w:pPr>
              <w:pStyle w:val="Caption1"/>
            </w:pPr>
          </w:p>
        </w:tc>
      </w:tr>
      <w:tr w:rsidR="004B0257" w:rsidRPr="00161102" w14:paraId="241CB6A1" w14:textId="77777777" w:rsidTr="002C492A">
        <w:trPr>
          <w:trHeight w:val="180"/>
        </w:trPr>
        <w:tc>
          <w:tcPr>
            <w:tcW w:w="4857" w:type="dxa"/>
            <w:gridSpan w:val="2"/>
            <w:tcBorders>
              <w:top w:val="nil"/>
              <w:left w:val="nil"/>
              <w:bottom w:val="nil"/>
              <w:right w:val="nil"/>
            </w:tcBorders>
            <w:noWrap/>
            <w:vAlign w:val="bottom"/>
            <w:hideMark/>
          </w:tcPr>
          <w:p w14:paraId="443BEE5C" w14:textId="77777777" w:rsidR="004B0257" w:rsidRPr="002C492A" w:rsidRDefault="004B0257" w:rsidP="002C492A">
            <w:pPr>
              <w:pStyle w:val="Caption1"/>
            </w:pPr>
            <w:r w:rsidRPr="002C492A">
              <w:rPr>
                <w:vertAlign w:val="superscript"/>
              </w:rPr>
              <w:t>2</w:t>
            </w:r>
            <w:r w:rsidRPr="002C492A">
              <w:t>Foose (1980) and references therein</w:t>
            </w:r>
          </w:p>
        </w:tc>
        <w:tc>
          <w:tcPr>
            <w:tcW w:w="1980" w:type="dxa"/>
            <w:tcBorders>
              <w:top w:val="nil"/>
              <w:left w:val="nil"/>
              <w:bottom w:val="nil"/>
              <w:right w:val="nil"/>
            </w:tcBorders>
            <w:noWrap/>
            <w:vAlign w:val="bottom"/>
            <w:hideMark/>
          </w:tcPr>
          <w:p w14:paraId="4A340807" w14:textId="77777777" w:rsidR="004B0257" w:rsidRPr="00161102" w:rsidRDefault="004B0257" w:rsidP="007B5C45">
            <w:pPr>
              <w:pStyle w:val="Caption1"/>
              <w:rPr>
                <w:sz w:val="24"/>
                <w:szCs w:val="24"/>
              </w:rPr>
            </w:pPr>
          </w:p>
        </w:tc>
        <w:tc>
          <w:tcPr>
            <w:tcW w:w="2070" w:type="dxa"/>
            <w:tcBorders>
              <w:top w:val="nil"/>
              <w:left w:val="nil"/>
              <w:bottom w:val="nil"/>
              <w:right w:val="nil"/>
            </w:tcBorders>
            <w:noWrap/>
            <w:vAlign w:val="bottom"/>
            <w:hideMark/>
          </w:tcPr>
          <w:p w14:paraId="4924CEC2" w14:textId="77777777" w:rsidR="004B0257" w:rsidRPr="00161102" w:rsidRDefault="004B0257" w:rsidP="007B5C45">
            <w:pPr>
              <w:pStyle w:val="Caption1"/>
            </w:pPr>
          </w:p>
        </w:tc>
      </w:tr>
      <w:tr w:rsidR="004B0257" w:rsidRPr="00161102" w14:paraId="48656487" w14:textId="77777777" w:rsidTr="002C492A">
        <w:trPr>
          <w:trHeight w:val="405"/>
        </w:trPr>
        <w:tc>
          <w:tcPr>
            <w:tcW w:w="8907" w:type="dxa"/>
            <w:gridSpan w:val="4"/>
            <w:tcBorders>
              <w:top w:val="nil"/>
              <w:left w:val="nil"/>
              <w:bottom w:val="nil"/>
              <w:right w:val="nil"/>
            </w:tcBorders>
            <w:vAlign w:val="bottom"/>
            <w:hideMark/>
          </w:tcPr>
          <w:p w14:paraId="7C970345" w14:textId="77777777" w:rsidR="004B0257" w:rsidRPr="002C492A" w:rsidRDefault="004B0257" w:rsidP="002C492A">
            <w:pPr>
              <w:pStyle w:val="Caption1"/>
            </w:pPr>
            <w:r w:rsidRPr="002C492A">
              <w:rPr>
                <w:vertAlign w:val="superscript"/>
              </w:rPr>
              <w:t>3</w:t>
            </w:r>
            <w:r w:rsidRPr="002C492A">
              <w:t>Reported as present or potentially present in unpublished notes from J.F. Slack in 1977 as reported by Foose (1980)</w:t>
            </w:r>
          </w:p>
        </w:tc>
      </w:tr>
      <w:tr w:rsidR="004B0257" w:rsidRPr="00161102" w14:paraId="5EB2FA7A" w14:textId="77777777" w:rsidTr="002C492A">
        <w:trPr>
          <w:trHeight w:val="207"/>
        </w:trPr>
        <w:tc>
          <w:tcPr>
            <w:tcW w:w="6837" w:type="dxa"/>
            <w:gridSpan w:val="3"/>
            <w:tcBorders>
              <w:top w:val="nil"/>
              <w:left w:val="nil"/>
              <w:bottom w:val="nil"/>
              <w:right w:val="nil"/>
            </w:tcBorders>
            <w:noWrap/>
            <w:vAlign w:val="bottom"/>
            <w:hideMark/>
          </w:tcPr>
          <w:p w14:paraId="74CE6F9F" w14:textId="77777777" w:rsidR="004B0257" w:rsidRPr="002C492A" w:rsidRDefault="004B0257" w:rsidP="002C492A">
            <w:pPr>
              <w:pStyle w:val="Caption1"/>
            </w:pPr>
            <w:r w:rsidRPr="002C492A">
              <w:rPr>
                <w:vertAlign w:val="superscript"/>
              </w:rPr>
              <w:t>4</w:t>
            </w:r>
            <w:r w:rsidRPr="002C492A">
              <w:t xml:space="preserve">USGS 2022 critical minerals list </w:t>
            </w:r>
            <w:r w:rsidRPr="002C492A">
              <w:fldChar w:fldCharType="begin"/>
            </w:r>
            <w:r w:rsidRPr="002C492A">
              <w:instrText xml:space="preserve"> ADDIN ZOTERO_ITEM CSL_CITATION {"citationID":"qXxbq9ez","properties":{"formattedCitation":"(U.S. Geological Survey, 2022)","plainCitation":"(U.S. Geological Survey, 2022)","noteIndex":0},"citationItems":[{"id":231,"uris":["http://zotero.org/users/17206691/items/5M3AJW5G"],"itemData":{"id":231,"type":"document","publisher":"Department of the Interior","title":"2022 Final List of Critical Minerals","URL":"https://d9-wret.s3.us-west-2.amazonaws.com/assets/palladium/production/s3fs-public/media/files/2022%20Final%20List%20of%20Critical%20Minerals%20Federal%20Register%20Notice_2222022-F.pdf","author":[{"literal":"U.S. Geological Survey"}],"accessed":{"date-parts":[["2024",4,29]]},"issued":{"date-parts":[["2022"]]}}}],"schema":"https://github.com/citation-style-language/schema/raw/master/csl-citation.json"} </w:instrText>
            </w:r>
            <w:r w:rsidRPr="002C492A">
              <w:fldChar w:fldCharType="separate"/>
            </w:r>
            <w:r w:rsidRPr="002C492A">
              <w:t>(U.S. Geological Survey, 2022)</w:t>
            </w:r>
            <w:r w:rsidRPr="002C492A">
              <w:fldChar w:fldCharType="end"/>
            </w:r>
          </w:p>
        </w:tc>
        <w:tc>
          <w:tcPr>
            <w:tcW w:w="2070" w:type="dxa"/>
            <w:tcBorders>
              <w:top w:val="nil"/>
              <w:left w:val="nil"/>
              <w:bottom w:val="nil"/>
              <w:right w:val="nil"/>
            </w:tcBorders>
            <w:noWrap/>
            <w:vAlign w:val="bottom"/>
            <w:hideMark/>
          </w:tcPr>
          <w:p w14:paraId="2E9D2C23" w14:textId="77777777" w:rsidR="004B0257" w:rsidRPr="00161102" w:rsidRDefault="004B0257" w:rsidP="007B5C45">
            <w:pPr>
              <w:pStyle w:val="Caption1"/>
              <w:rPr>
                <w:sz w:val="24"/>
                <w:szCs w:val="24"/>
              </w:rPr>
            </w:pPr>
          </w:p>
        </w:tc>
      </w:tr>
      <w:tr w:rsidR="004B0257" w:rsidRPr="00161102" w14:paraId="1AD6946B" w14:textId="77777777" w:rsidTr="002C492A">
        <w:trPr>
          <w:trHeight w:val="378"/>
        </w:trPr>
        <w:tc>
          <w:tcPr>
            <w:tcW w:w="8907" w:type="dxa"/>
            <w:gridSpan w:val="4"/>
            <w:tcBorders>
              <w:top w:val="nil"/>
              <w:left w:val="nil"/>
              <w:bottom w:val="nil"/>
              <w:right w:val="nil"/>
            </w:tcBorders>
            <w:vAlign w:val="bottom"/>
            <w:hideMark/>
          </w:tcPr>
          <w:p w14:paraId="13400A44" w14:textId="5E767AD0" w:rsidR="004B0257" w:rsidRPr="002C492A" w:rsidRDefault="004B0257" w:rsidP="002C492A">
            <w:pPr>
              <w:pStyle w:val="Caption1"/>
            </w:pPr>
            <w:r w:rsidRPr="002C492A">
              <w:rPr>
                <w:vertAlign w:val="superscript"/>
              </w:rPr>
              <w:t>5</w:t>
            </w:r>
            <w:r w:rsidRPr="002C492A">
              <w:t>Espenshade (1947) reports ~0.1% garnet was identified in the tailings by E.S. Larson. All other mineral percentages are from Casadevall and Rye (1980) for the hydrothermal minerals in the Tungsten Queen Snead-Walker vein.</w:t>
            </w:r>
          </w:p>
        </w:tc>
      </w:tr>
    </w:tbl>
    <w:p w14:paraId="098CAFDB" w14:textId="57BF0447" w:rsidR="00126239" w:rsidRDefault="00126239" w:rsidP="00126239">
      <w:pPr>
        <w:ind w:firstLine="0"/>
      </w:pPr>
      <w:r w:rsidRPr="00FA4EF4">
        <w:fldChar w:fldCharType="begin"/>
      </w:r>
      <w:r w:rsidRPr="00FA4EF4">
        <w:instrText xml:space="preserve"> ADDIN ZOTERO_ITEM CSL_CITATION {"citationID":"H97hq8hw","properties":{"formattedCitation":"(Chaumba et al., 2015)","plainCitation":"(Chaumba et al., 2015)","noteIndex":0},"citationItems":[{"id":66,"uris":["http://zotero.org/users/17206691/items/6QNQWHMF"],"itemData":{"id":66,"type":"article-journal","abstract":"The Hamme (Tungsten Queen) mine, Vance County, N.C., was worked for wol-framite-huebnerite and it also produced minor amounts of sulfides (copper and silver). At this deposit, there are about 1 million metric tons of quartz-dominated tailings containing about 0.25% WO 3 , with accessory fluorite and very minor sulfides-mostly ga-lena with accessory silver concentrations. We undertook a petrographic and mineral composition study of the huebnerite, galena, and chalcopyrite to help place constrains on the origin of the deposit. Under the microscope, huebnerite shows zoning which is not reflected in the chemistry of the mineral. All minerals investigated have concentrations which show very limited compositional ranges. Huebnerite is strongly enriched in WO 3 (73.5-75.5 wt.%), MnWO 4 (97.3-99.7%), and Mn (1.037-1.065 atoms per formula unit, apfu) but is depleted in Fe 2+ (0.040-0.029 apfu). Sulfide mineralogy is composed of galena with concentrations of Pb (83.0-85.8 wt.%) and S (13.2-13.9 wt.%), and chalcopyrite with concentrations of Cu (33.8-38.2 wt.%), Fe (29.7-29.9 wt.%), and S (34.5-34.6 wt.%). Sulfur concentrations of galena in Hamme (Tungsten Queen) deposit are comparable to other lead deposits elsewhere. Coarser-grained and anhedral gale-nas have slightly higher Pb concentrations than those which occur either as rims to huebnerites or as 'intercumulus phases' between huebnerites. Hamme (Tungsten Queen) deposit huebnerite compositions reported here are comparable (although slightly enriched in Mn but depleted in Fe 2+) to other huebnerite deposits such as Round Mountain in Nevada and some huebnerites from Portugal. Compared to other wolfram-ite deposits, the Hamme (Tungsten Queen) deposit is more depleted in Fe 2+ and highly enriched in MnWO 4 , an indication of a lack of substitution of its Mn by other cations. Based on findings from this study, it is concluded that Hamme (Tungsten Queen) deposit huebnerites were formed early in the history of formation of the deposit and were little affected by a later hydrothermal event that affected the district. Galena inclusions in huebnerites and coarser-grained galenas, which are comprised of slightly higher Pb concentrations, are interpreted to be primary , likely formed at the time of formation of the enclosing huebnerites, than galenas which occur as 'intercumulus' grains and are also slightly depleted in Pb. These latter galena crystals likely formed later, probably during metamorphism and associated hy-drothermal alteration.","container-title":"Southeastern Geology","issue":"1","page":"33-49","title":"Hamme (Tungsten Queen) Mine Tailings, Vance County, North Carolina: Mineral chemistry of Potentially Recoverable Huebnerite-Wolframite and Sulfide Minerals","volume":"51","author":[{"family":"Chaumba","given":"Jeff B"},{"family":"Reid","given":"Jeffrey C"},{"family":"Parker","given":"Johnathon C"}],"issued":{"date-parts":[["2015"]]}}}],"schema":"https://github.com/citation-style-language/schema/raw/master/csl-citation.json"} </w:instrText>
      </w:r>
      <w:r w:rsidRPr="00FA4EF4">
        <w:fldChar w:fldCharType="separate"/>
      </w:r>
      <w:r w:rsidRPr="00FA4EF4">
        <w:t>(Chaumba et al., 2015)</w:t>
      </w:r>
      <w:r w:rsidRPr="00FA4EF4">
        <w:fldChar w:fldCharType="end"/>
      </w:r>
      <w:r w:rsidRPr="00FA4EF4">
        <w:t xml:space="preserve"> and comparing it to other hubnerite deposits </w:t>
      </w:r>
      <w:r w:rsidRPr="00FA4EF4">
        <w:fldChar w:fldCharType="begin"/>
      </w:r>
      <w:r w:rsidRPr="00FA4EF4">
        <w:instrText xml:space="preserve"> ADDIN ZOTERO_ITEM CSL_CITATION {"citationID":"ZjILNx2Z","properties":{"formattedCitation":"(Parker et al., 2015)","plainCitation":"(Parker et al., 2015)","noteIndex":0},"citationItems":[{"id":62,"uris":["http://zotero.org/users/17206691/items/J5WDDJNY"],"itemData":{"id":62,"type":"article-journal","container-title":"Geological Society of America Abstracts with Programs","issue":"2","page":"6","title":"Hamme (Tungsten Queen) Mine Tailings, Vance County, North Carolina: Mineral Chemistry of Potentially Recoverable Huebernite-Wolframite and Sulfide Minerals","volume":"47","author":[{"family":"Parker","given":"Johnathon C."},{"family":"Reid","given":"Jeffrey C."},{"family":"Chaumba","given":"Jeff B."}],"issued":{"date-parts":[["2015"]]}}}],"schema":"https://github.com/citation-style-language/schema/raw/master/csl-citation.json"} </w:instrText>
      </w:r>
      <w:r w:rsidRPr="00FA4EF4">
        <w:fldChar w:fldCharType="separate"/>
      </w:r>
      <w:r w:rsidRPr="00FA4EF4">
        <w:t>(Parker et al., 2015)</w:t>
      </w:r>
      <w:r w:rsidRPr="00FA4EF4">
        <w:fldChar w:fldCharType="end"/>
      </w:r>
      <w:r w:rsidRPr="00FA4EF4">
        <w:t xml:space="preserve"> instead of characterizing critical mineral content of the tailings.</w:t>
      </w:r>
    </w:p>
    <w:p w14:paraId="19005EC8" w14:textId="6071D1DB" w:rsidR="003F7181" w:rsidRPr="00935D9F" w:rsidRDefault="003F7181" w:rsidP="00935D9F">
      <w:pPr>
        <w:pStyle w:val="Heading1"/>
      </w:pPr>
      <w:bookmarkStart w:id="4" w:name="_Toc222230009"/>
      <w:r w:rsidRPr="00935D9F">
        <w:t>3. Methods</w:t>
      </w:r>
      <w:bookmarkEnd w:id="4"/>
    </w:p>
    <w:p w14:paraId="7C4C23C9" w14:textId="3487AB93" w:rsidR="003F7181" w:rsidRDefault="003F7181" w:rsidP="00935D9F">
      <w:pPr>
        <w:rPr>
          <w:color w:val="000000"/>
        </w:rPr>
      </w:pPr>
      <w:r w:rsidRPr="00FA4EF4">
        <w:t>Three types of samples were collected from the Townsville Timber, Inc., portion of the tailings ponds where the North Carolina Geological Survey (NCGS) staff had permission to access</w:t>
      </w:r>
      <w:r w:rsidRPr="00FA4EF4">
        <w:rPr>
          <w:color w:val="000000"/>
        </w:rPr>
        <w:t xml:space="preserve">. Composite samples were collected according to Earth MRI Mine Waste grant protocol </w:t>
      </w:r>
      <w:r w:rsidRPr="00FA4EF4">
        <w:rPr>
          <w:color w:val="000000"/>
        </w:rPr>
        <w:fldChar w:fldCharType="begin"/>
      </w:r>
      <w:r w:rsidRPr="00FA4EF4">
        <w:rPr>
          <w:color w:val="000000"/>
        </w:rPr>
        <w:instrText xml:space="preserve"> ADDIN ZOTERO_ITEM CSL_CITATION {"citationID":"iYLp59z0","properties":{"formattedCitation":"(U.S. Geological Survey, 2023)","plainCitation":"(U.S. Geological Survey, 2023)","noteIndex":0},"citationItems":[{"id":226,"uris":["http://zotero.org/users/17206691/items/XGVEXAHM"],"itemData":{"id":226,"type":"document","title":"USGS protocols for sampling mine waste in support of Earth MRI","author":[{"literal":"U.S. Geological Survey"}],"accessed":{"date-parts":[["2023",8,2]]},"issued":{"date-parts":[["2023",3,3]]}}}],"schema":"https://github.com/citation-style-language/schema/raw/master/csl-citation.json"} </w:instrText>
      </w:r>
      <w:r w:rsidRPr="00FA4EF4">
        <w:rPr>
          <w:color w:val="000000"/>
        </w:rPr>
        <w:fldChar w:fldCharType="separate"/>
      </w:r>
      <w:r w:rsidRPr="00FA4EF4">
        <w:t>(U.S. Geological Survey, 2023)</w:t>
      </w:r>
      <w:r w:rsidRPr="00FA4EF4">
        <w:rPr>
          <w:color w:val="000000"/>
        </w:rPr>
        <w:fldChar w:fldCharType="end"/>
      </w:r>
      <w:r w:rsidRPr="00FA4EF4">
        <w:rPr>
          <w:color w:val="000000"/>
        </w:rPr>
        <w:t>.</w:t>
      </w:r>
      <w:r w:rsidR="00062F28" w:rsidRPr="00062F28">
        <w:rPr>
          <w:color w:val="000000"/>
        </w:rPr>
        <w:t xml:space="preserve"> </w:t>
      </w:r>
      <w:r w:rsidRPr="00FA4EF4">
        <w:rPr>
          <w:color w:val="000000"/>
        </w:rPr>
        <w:t xml:space="preserve">The tailings ponds were divided into composite sample units based on </w:t>
      </w:r>
      <w:r w:rsidR="00087647">
        <w:rPr>
          <w:color w:val="000000"/>
        </w:rPr>
        <w:t>variations</w:t>
      </w:r>
      <w:r w:rsidRPr="00FA4EF4">
        <w:rPr>
          <w:color w:val="000000"/>
        </w:rPr>
        <w:t xml:space="preserve"> in surface tailings color and/or variations in tailings pond elevations </w:t>
      </w:r>
      <w:r w:rsidRPr="00FA4EF4">
        <w:t xml:space="preserve">(Figure 2). A minimum of thirty subsample locations were identified for each composite sample unit and </w:t>
      </w:r>
      <w:r w:rsidRPr="00FA4EF4">
        <w:rPr>
          <w:color w:val="000000"/>
        </w:rPr>
        <w:t xml:space="preserve">marked in the field with stakes. NCGS staff dug an initial test pit for each composite sample unit to determine a subsampling depth that would avoid light-colored surficial tailings that could be </w:t>
      </w:r>
      <w:r w:rsidR="00D25A3E">
        <w:rPr>
          <w:color w:val="000000"/>
        </w:rPr>
        <w:t>affected by surface alteration</w:t>
      </w:r>
      <w:r w:rsidRPr="00FA4EF4">
        <w:rPr>
          <w:color w:val="000000"/>
        </w:rPr>
        <w:t xml:space="preserve">. In some composite sample units, a subsampling depth was selected </w:t>
      </w:r>
      <w:r w:rsidRPr="00FA4EF4">
        <w:rPr>
          <w:color w:val="000000"/>
        </w:rPr>
        <w:lastRenderedPageBreak/>
        <w:t xml:space="preserve">that balanced the need to avoid surface contamination with thickness considerations in areas with very thin tailings cover. Subsampling depths ranged from </w:t>
      </w:r>
      <w:r w:rsidR="00E567A1">
        <w:rPr>
          <w:color w:val="000000"/>
        </w:rPr>
        <w:t>1 to 4 inches</w:t>
      </w:r>
      <w:r w:rsidRPr="00FA4EF4">
        <w:rPr>
          <w:color w:val="000000"/>
        </w:rPr>
        <w:t xml:space="preserve"> depending on the composite sample unit, and all subsamples for a given composite sample were collected from the same depth. </w:t>
      </w:r>
    </w:p>
    <w:p w14:paraId="2D6B9F1E" w14:textId="3D5542C8" w:rsidR="00697843" w:rsidRPr="00EE159E" w:rsidRDefault="00697843" w:rsidP="00935D9F">
      <w:r w:rsidRPr="008C1F2E">
        <w:t xml:space="preserve">NCGS </w:t>
      </w:r>
      <w:r>
        <w:t xml:space="preserve">staff </w:t>
      </w:r>
      <w:r w:rsidRPr="008C1F2E">
        <w:t xml:space="preserve">systematically collected each subsample by removing overlying tailings until the target depth was reached, then scooping a tailings subsample to the </w:t>
      </w:r>
      <w:r w:rsidR="00E567A1">
        <w:t>4 inch</w:t>
      </w:r>
      <w:r w:rsidRPr="008C1F2E">
        <w:t xml:space="preserve"> mark on the stainless-steel trowel. Each subsample was then sieved into a bucket using a 2 mm sieve. The &lt;2 mm fraction for each subsample was</w:t>
      </w:r>
      <w:r>
        <w:t xml:space="preserve"> </w:t>
      </w:r>
      <w:r w:rsidRPr="008C1F2E">
        <w:t>collected in the bucket with the other subsamples while the &gt;2 mm fraction was discarded. When all subsamples had been collected in the bucket, the bucket was secured with a lid and labeled with the composite sample number.</w:t>
      </w:r>
      <w:r>
        <w:t xml:space="preserve"> </w:t>
      </w:r>
      <w:r w:rsidRPr="008C1F2E">
        <w:t xml:space="preserve">Composite samples were then taken back to the lab at the NCGS Coastal Plain Office and Core Repository, dried, and described before ~1 to 2 </w:t>
      </w:r>
      <w:r>
        <w:t>kilograms (</w:t>
      </w:r>
      <w:r w:rsidRPr="008C1F2E">
        <w:t>kg</w:t>
      </w:r>
      <w:r>
        <w:t>)</w:t>
      </w:r>
      <w:r w:rsidRPr="008C1F2E">
        <w:t xml:space="preserve"> of sample was sent to USGS Sample Control</w:t>
      </w:r>
      <w:r w:rsidR="001D5A6F">
        <w:t xml:space="preserve"> (Denver, CO)</w:t>
      </w:r>
      <w:r w:rsidRPr="008C1F2E">
        <w:t xml:space="preserve"> for analysis. </w:t>
      </w:r>
      <w:r>
        <w:t>Field sheets for composite samples are give</w:t>
      </w:r>
      <w:r w:rsidRPr="00EE159E">
        <w:t>n in Appendix 1.</w:t>
      </w:r>
    </w:p>
    <w:p w14:paraId="6FD69545" w14:textId="52E35371" w:rsidR="00697843" w:rsidRDefault="00697843" w:rsidP="00935D9F">
      <w:r w:rsidRPr="00EE159E">
        <w:t>Grab samples were collected from areas of scientific interest (</w:t>
      </w:r>
      <w:r>
        <w:t>Figure 2</w:t>
      </w:r>
      <w:r w:rsidRPr="00EE159E">
        <w:t xml:space="preserve">) using a clean stainless-steel trowel and placed in a sample bag without sieving. At least 1 kg of sample was </w:t>
      </w:r>
    </w:p>
    <w:p w14:paraId="5D164545" w14:textId="49447DD5" w:rsidR="00007A50" w:rsidRDefault="00007A50" w:rsidP="006358A6">
      <w:pPr>
        <w:ind w:firstLine="0"/>
        <w:rPr>
          <w:rFonts w:cs="Times New Roman"/>
          <w:szCs w:val="24"/>
        </w:rPr>
      </w:pPr>
      <w:r w:rsidRPr="00FA4EF4">
        <w:rPr>
          <w:rFonts w:cs="Times New Roman"/>
          <w:noProof/>
          <w:szCs w:val="24"/>
          <w14:ligatures w14:val="standardContextual"/>
        </w:rPr>
        <w:drawing>
          <wp:inline distT="0" distB="0" distL="0" distR="0" wp14:anchorId="639C2BD2" wp14:editId="7949F027">
            <wp:extent cx="5132068" cy="4389120"/>
            <wp:effectExtent l="0" t="0" r="0" b="0"/>
            <wp:docPr id="1803896179" name="Picture 4" descr="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896179" name="Picture 4" descr="Map&#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32068" cy="4389120"/>
                    </a:xfrm>
                    <a:prstGeom prst="rect">
                      <a:avLst/>
                    </a:prstGeom>
                  </pic:spPr>
                </pic:pic>
              </a:graphicData>
            </a:graphic>
          </wp:inline>
        </w:drawing>
      </w:r>
    </w:p>
    <w:p w14:paraId="1AF3DC48" w14:textId="70AE79D4" w:rsidR="00007A50" w:rsidRPr="00935D9F" w:rsidRDefault="00007A50" w:rsidP="00935D9F">
      <w:pPr>
        <w:pStyle w:val="Caption1"/>
      </w:pPr>
      <w:r w:rsidRPr="00935D9F">
        <w:t>Figure 2. Map of Tungsten Queen tailings impoundment showing location of tailings ponds, parcel boundaries, sample, and the gravity separator. Composite sample units are delineated by black lines and identified with black labels, grab samples labels are in blue, and sonic core labels are in red. Island Creek follows the USACE property line immediately north of tailings pond 3.</w:t>
      </w:r>
    </w:p>
    <w:p w14:paraId="38623942" w14:textId="2B3B603C" w:rsidR="00C30FAF" w:rsidRDefault="00C30FAF" w:rsidP="002C492A">
      <w:pPr>
        <w:ind w:firstLine="0"/>
      </w:pPr>
      <w:r w:rsidRPr="00EE159E">
        <w:t xml:space="preserve">collected whenever possible. Grab samples from most locations were collected from features of interest within </w:t>
      </w:r>
      <w:r>
        <w:t>4 inches</w:t>
      </w:r>
      <w:r w:rsidRPr="00EE159E">
        <w:t xml:space="preserve"> of the surface, however, grab samples were also collected from two </w:t>
      </w:r>
      <w:r>
        <w:t xml:space="preserve">vertical </w:t>
      </w:r>
      <w:r w:rsidRPr="00EE159E">
        <w:t>profiles exposed along an erosional bank in the tailings (</w:t>
      </w:r>
      <w:r>
        <w:t>NCGS-TQ-G2 and NCGS-TQ-</w:t>
      </w:r>
      <w:r>
        <w:lastRenderedPageBreak/>
        <w:t>G3</w:t>
      </w:r>
      <w:r w:rsidRPr="00EE159E">
        <w:t xml:space="preserve"> on </w:t>
      </w:r>
      <w:r>
        <w:t>Figure 2</w:t>
      </w:r>
      <w:r w:rsidRPr="00EE159E">
        <w:t>). Surface tailings were scraped from profiles using a stainless-steel trowel to expose fresh tailings, then vertical sample boundaries were delineated according to changes in lithology and/or tailings color within each profile. Samples were then collected spanning the full vertical extent delineated for each sample to give an average composition for that interval of the profile. Samples were deposited into resealable plastic bags labeled with the grab sample profile number and depth interval. Samples were taken back to the lab, dried, described, and sent to USGS Sample Control for analysis. Grab sample field sheets are available in Appendix 1.</w:t>
      </w:r>
    </w:p>
    <w:p w14:paraId="44CB6D55" w14:textId="7604FCC6" w:rsidR="004B0257" w:rsidRPr="00494D00" w:rsidRDefault="00CC6641" w:rsidP="002C492A">
      <w:r w:rsidRPr="00FA4EF4">
        <w:t>Seven 4-in</w:t>
      </w:r>
      <w:r w:rsidR="001A05CD">
        <w:t>ch</w:t>
      </w:r>
      <w:r w:rsidRPr="00FA4EF4">
        <w:t xml:space="preserve"> diameter drill cores were collected using a sonic drill rig (Figure 2). Each run was extruded from the core barrel into plastic sleeves which were then placed into labeled wooden core boxes. The core boxes were taken back to the lab, the plastic sleeves were opened, and the cores were partially dried since some runs contained significant excess water. The cores were then photographed (Appendix 2) and sampled in 1 ft intervals avoiding material near the edges to minimize risk of contamination. Approximately 1.2 kg of material was collected in a continuous channel for the full 1 ft interval. When the core recovered in a run did</w:t>
      </w:r>
      <w:r w:rsidR="00C20465">
        <w:t xml:space="preserve"> not</w:t>
      </w:r>
      <w:r w:rsidRPr="00FA4EF4">
        <w:t xml:space="preserve"> end on an even foot mark, the remaining interval was collected as a separate sample if it was ~0.7 ft or greater, and was included with the previous 1 ft interval if it was &lt;0.7 ft. The 0.7 ft mark was chosen as the lower cutoff for a separate sample because of the need for enough material to collect an ~1.2 </w:t>
      </w:r>
      <w:r w:rsidR="004B0257" w:rsidRPr="00FA4EF4">
        <w:t xml:space="preserve">kg sample while still retaining an archive portion of the core. Core samples were sieved using a 2 mm sieve, dried if needed, described, and sent to USGS Sample Control for analysis. </w:t>
      </w:r>
      <w:r w:rsidR="00494D00">
        <w:rPr>
          <w:color w:val="000000"/>
        </w:rPr>
        <w:t>Field sheets for drill cores are give</w:t>
      </w:r>
      <w:r w:rsidR="00494D00" w:rsidRPr="00EE159E">
        <w:t>n in Appendix 1</w:t>
      </w:r>
      <w:r w:rsidR="00494D00">
        <w:t>.</w:t>
      </w:r>
    </w:p>
    <w:p w14:paraId="75C27D83" w14:textId="14E8DB40" w:rsidR="00ED6FEB" w:rsidRPr="00007A50" w:rsidRDefault="004B0257" w:rsidP="002C492A">
      <w:r w:rsidRPr="00FA4EF4">
        <w:t>All sample processing (drying, description, etc.) was conducted in the lab at the NCGS Coastal Plain Office before submission to the USGS. As per the sampling protocol, one out of every 10 composite, grab, and core samples collect</w:t>
      </w:r>
      <w:r w:rsidRPr="00FA4EF4">
        <w:rPr>
          <w:color w:val="000000"/>
        </w:rPr>
        <w:t xml:space="preserve">ed was a duplicate. Upon receipt, the USGS facilitated additional sample prep and submission of samples to a laboratory for </w:t>
      </w:r>
      <w:r w:rsidR="00D642B2">
        <w:rPr>
          <w:color w:val="000000"/>
        </w:rPr>
        <w:t xml:space="preserve">chemical </w:t>
      </w:r>
      <w:r w:rsidRPr="00FA4EF4">
        <w:rPr>
          <w:color w:val="000000"/>
        </w:rPr>
        <w:t xml:space="preserve">analysis. </w:t>
      </w:r>
      <w:r w:rsidR="00F7767F">
        <w:rPr>
          <w:color w:val="000000"/>
        </w:rPr>
        <w:t>Major elements were acquire</w:t>
      </w:r>
      <w:r w:rsidR="00A84483">
        <w:rPr>
          <w:color w:val="000000"/>
        </w:rPr>
        <w:t>d</w:t>
      </w:r>
      <w:r w:rsidR="00F7767F">
        <w:rPr>
          <w:color w:val="000000"/>
        </w:rPr>
        <w:t xml:space="preserve"> using x-ray fluorescence (XRF), and trace elements were acquired using inductively-coupled plasma</w:t>
      </w:r>
      <w:r w:rsidR="0004479E">
        <w:rPr>
          <w:color w:val="000000"/>
        </w:rPr>
        <w:t xml:space="preserve"> </w:t>
      </w:r>
      <w:r w:rsidR="00F7767F">
        <w:rPr>
          <w:color w:val="000000"/>
        </w:rPr>
        <w:t xml:space="preserve"> optical emission spectroscopy (ICP-OES) </w:t>
      </w:r>
      <w:r w:rsidRPr="00FA4EF4">
        <w:rPr>
          <w:color w:val="000000"/>
        </w:rPr>
        <w:t>The resulting sample data underwent QA/QC by the USGS to establish which elements met USGS data quality standards while flagging those that did not. Spreadsheets were then sent to NCGS scientists who removed elements flagged by the USGS and averaged data for duplicated samples. Samples with averaged duplicate concentrations are reported with a</w:t>
      </w:r>
      <w:r w:rsidR="00AB0302">
        <w:rPr>
          <w:color w:val="000000"/>
        </w:rPr>
        <w:t>n</w:t>
      </w:r>
      <w:r w:rsidRPr="00FA4EF4">
        <w:rPr>
          <w:color w:val="000000"/>
        </w:rPr>
        <w:t xml:space="preserve"> * at the end of the sample number in </w:t>
      </w:r>
      <w:r w:rsidRPr="00FA4EF4">
        <w:t>Appendix 3 with the number of duplicates included in the average noted in the</w:t>
      </w:r>
      <w:r w:rsidR="00007A50">
        <w:t xml:space="preserve"> </w:t>
      </w:r>
      <w:r w:rsidR="00BA01E0" w:rsidRPr="00FA4EF4">
        <w:t>“Sample Description” column. Sample numbers follow the format NCGS-TQ-&lt;sample</w:t>
      </w:r>
      <w:r w:rsidR="00BA01E0">
        <w:t xml:space="preserve"> </w:t>
      </w:r>
      <w:r w:rsidR="00BA01E0" w:rsidRPr="00FA4EF4">
        <w:t xml:space="preserve">type&gt;&lt;sample number&gt;, where NCGS stands for North Carolina Geological Survey, TQ stands for Tungsten Queen, the sample type is composite (C), grab (G), or drill core (D), and the sample </w:t>
      </w:r>
      <w:r w:rsidR="00CE5C29" w:rsidRPr="00FA4EF4">
        <w:t>number is 1, 2, 3, etc</w:t>
      </w:r>
      <w:r w:rsidR="002308B9" w:rsidRPr="00FA4EF4">
        <w:t xml:space="preserve">. </w:t>
      </w:r>
      <w:r w:rsidR="00EE7F14" w:rsidRPr="00FA4EF4">
        <w:t xml:space="preserve">Drill cores and the two grab sample profiles also </w:t>
      </w:r>
      <w:r w:rsidR="00937AB6" w:rsidRPr="00FA4EF4">
        <w:t>have the</w:t>
      </w:r>
      <w:r w:rsidR="00EE7F14" w:rsidRPr="00FA4EF4">
        <w:t xml:space="preserve"> depth interval</w:t>
      </w:r>
      <w:r w:rsidR="00937AB6" w:rsidRPr="00FA4EF4">
        <w:t xml:space="preserve"> after the sample number </w:t>
      </w:r>
      <w:r w:rsidR="00EE7F14" w:rsidRPr="00FA4EF4">
        <w:t xml:space="preserve">as start depth-end depth (in inches for grab samples and feet for cores). </w:t>
      </w:r>
      <w:r w:rsidR="00611CE7" w:rsidRPr="00FA4EF4">
        <w:t xml:space="preserve">For example, composite sample 1 is noted </w:t>
      </w:r>
      <w:r w:rsidR="00ED6CBD" w:rsidRPr="00FA4EF4">
        <w:t xml:space="preserve">in </w:t>
      </w:r>
      <w:r w:rsidR="00390C26" w:rsidRPr="00FA4EF4">
        <w:t>Appendix 3</w:t>
      </w:r>
      <w:r w:rsidR="007416A7" w:rsidRPr="00FA4EF4">
        <w:t xml:space="preserve"> </w:t>
      </w:r>
      <w:r w:rsidR="00611CE7" w:rsidRPr="00FA4EF4">
        <w:t>as NCGS-TQ-C1</w:t>
      </w:r>
      <w:r w:rsidR="00937AB6" w:rsidRPr="00FA4EF4">
        <w:t>;</w:t>
      </w:r>
      <w:r w:rsidR="00667350" w:rsidRPr="00FA4EF4">
        <w:t xml:space="preserve"> the 0 to 4 in interval of grab sample </w:t>
      </w:r>
      <w:r w:rsidR="00C63843" w:rsidRPr="00FA4EF4">
        <w:t>profile 2 would be NCGS-TQ-G2-0-4</w:t>
      </w:r>
      <w:r w:rsidR="00937AB6" w:rsidRPr="00FA4EF4">
        <w:t>;</w:t>
      </w:r>
      <w:r w:rsidR="00C63843" w:rsidRPr="00FA4EF4">
        <w:t xml:space="preserve"> and the </w:t>
      </w:r>
      <w:r w:rsidR="002E4ECA" w:rsidRPr="00FA4EF4">
        <w:t xml:space="preserve">16 to 17.2 ft interval of </w:t>
      </w:r>
      <w:r w:rsidR="00365AB3" w:rsidRPr="00FA4EF4">
        <w:t>core 2 would be NCGS-TQ-D2-</w:t>
      </w:r>
      <w:r w:rsidR="001C7B41" w:rsidRPr="00FA4EF4">
        <w:t>16-17.2.</w:t>
      </w:r>
    </w:p>
    <w:p w14:paraId="215F50CC" w14:textId="7F9A0772" w:rsidR="00923EFB" w:rsidRPr="00354281" w:rsidRDefault="00A9313E" w:rsidP="00354281">
      <w:pPr>
        <w:pStyle w:val="Heading1"/>
      </w:pPr>
      <w:bookmarkStart w:id="5" w:name="_Toc222230010"/>
      <w:r w:rsidRPr="00354281">
        <w:t xml:space="preserve">4. </w:t>
      </w:r>
      <w:r w:rsidR="00923EFB" w:rsidRPr="00354281">
        <w:t>Results</w:t>
      </w:r>
      <w:bookmarkEnd w:id="5"/>
    </w:p>
    <w:p w14:paraId="77507BD3" w14:textId="667113AB" w:rsidR="00225F75" w:rsidRPr="00825882" w:rsidRDefault="007663A8" w:rsidP="002C492A">
      <w:r w:rsidRPr="00FA4EF4">
        <w:t>One goal</w:t>
      </w:r>
      <w:r w:rsidR="00B515F9" w:rsidRPr="00FA4EF4">
        <w:t xml:space="preserve"> of this study </w:t>
      </w:r>
      <w:r w:rsidR="00692620">
        <w:t>was</w:t>
      </w:r>
      <w:r w:rsidR="00B515F9" w:rsidRPr="00FA4EF4">
        <w:t xml:space="preserve"> </w:t>
      </w:r>
      <w:r w:rsidR="00894781" w:rsidRPr="00FA4EF4">
        <w:t xml:space="preserve">to </w:t>
      </w:r>
      <w:r w:rsidR="008F5743" w:rsidRPr="00FA4EF4">
        <w:t>characterize the</w:t>
      </w:r>
      <w:r w:rsidR="00692620">
        <w:t xml:space="preserve"> potential </w:t>
      </w:r>
      <w:r w:rsidR="00F71F69">
        <w:t xml:space="preserve">in the mine tailings </w:t>
      </w:r>
      <w:r w:rsidR="00692620">
        <w:t xml:space="preserve">for enrichment of critical minerals </w:t>
      </w:r>
      <w:r w:rsidR="00F71F69">
        <w:t xml:space="preserve">other than </w:t>
      </w:r>
      <w:r w:rsidR="008F5743" w:rsidRPr="00FA4EF4">
        <w:t xml:space="preserve">tungsten, which </w:t>
      </w:r>
      <w:r w:rsidR="000F2BD1" w:rsidRPr="00FA4EF4">
        <w:t>was</w:t>
      </w:r>
      <w:r w:rsidR="008F5743" w:rsidRPr="00FA4EF4">
        <w:t xml:space="preserve"> previously </w:t>
      </w:r>
      <w:r w:rsidR="000F2BD1" w:rsidRPr="00FA4EF4">
        <w:t>mined</w:t>
      </w:r>
      <w:r w:rsidR="008F5743" w:rsidRPr="00FA4EF4">
        <w:t xml:space="preserve"> from </w:t>
      </w:r>
      <w:r w:rsidR="0026490A" w:rsidRPr="00FA4EF4">
        <w:t>hubnerite</w:t>
      </w:r>
      <w:r w:rsidR="008F5743" w:rsidRPr="00FA4EF4">
        <w:t xml:space="preserve">. </w:t>
      </w:r>
      <w:r w:rsidR="00415B33" w:rsidRPr="00FA4EF4">
        <w:t xml:space="preserve">To evaluate which </w:t>
      </w:r>
      <w:r w:rsidR="00EA6797" w:rsidRPr="00FA4EF4">
        <w:t>critical minerals to include in the report, t</w:t>
      </w:r>
      <w:r w:rsidR="00167B63" w:rsidRPr="00FA4EF4">
        <w:t>his study</w:t>
      </w:r>
      <w:r w:rsidR="00EA6797" w:rsidRPr="00FA4EF4">
        <w:t xml:space="preserve"> </w:t>
      </w:r>
      <w:r w:rsidR="00E36837" w:rsidRPr="00FA4EF4">
        <w:t xml:space="preserve">used </w:t>
      </w:r>
      <w:r w:rsidR="0074058E" w:rsidRPr="00FA4EF4">
        <w:t>p</w:t>
      </w:r>
      <w:r w:rsidR="00DF2F73" w:rsidRPr="00FA4EF4">
        <w:t xml:space="preserve">ublished </w:t>
      </w:r>
      <w:r w:rsidR="0074058E" w:rsidRPr="00FA4EF4">
        <w:t>information</w:t>
      </w:r>
      <w:r w:rsidR="00DF2F73" w:rsidRPr="00FA4EF4">
        <w:t xml:space="preserve"> </w:t>
      </w:r>
      <w:r w:rsidR="00DD70B9" w:rsidRPr="00FA4EF4">
        <w:t>on</w:t>
      </w:r>
      <w:r w:rsidR="00DF2F73" w:rsidRPr="00FA4EF4">
        <w:t xml:space="preserve"> Tungsten </w:t>
      </w:r>
      <w:r w:rsidR="006672A1" w:rsidRPr="00FA4EF4">
        <w:t xml:space="preserve">Queen </w:t>
      </w:r>
      <w:r w:rsidR="00B40864" w:rsidRPr="00FA4EF4">
        <w:t xml:space="preserve">vein </w:t>
      </w:r>
      <w:r w:rsidR="00DD70B9" w:rsidRPr="00FA4EF4">
        <w:t>mineralogy</w:t>
      </w:r>
      <w:r w:rsidR="00DF2F73" w:rsidRPr="00FA4EF4">
        <w:t xml:space="preserve"> to determine which minerals</w:t>
      </w:r>
      <w:r w:rsidR="005E15B3" w:rsidRPr="00FA4EF4">
        <w:t xml:space="preserve"> may be present in</w:t>
      </w:r>
      <w:r w:rsidR="00DF2F73" w:rsidRPr="00FA4EF4">
        <w:t xml:space="preserve"> the </w:t>
      </w:r>
      <w:r w:rsidR="00FB0269" w:rsidRPr="00FA4EF4">
        <w:t xml:space="preserve">tailings and what critical minerals </w:t>
      </w:r>
      <w:r w:rsidR="00CD5042" w:rsidRPr="00FA4EF4">
        <w:t>are included in their chemical formulas</w:t>
      </w:r>
      <w:r w:rsidR="006B48A9" w:rsidRPr="00FA4EF4">
        <w:t xml:space="preserve"> (Table </w:t>
      </w:r>
      <w:r w:rsidR="005B6D05" w:rsidRPr="00FA4EF4">
        <w:t>1</w:t>
      </w:r>
      <w:r w:rsidR="00017827" w:rsidRPr="00FA4EF4">
        <w:t>)</w:t>
      </w:r>
      <w:r w:rsidR="00DF2F73" w:rsidRPr="00FA4EF4">
        <w:t>.</w:t>
      </w:r>
      <w:r w:rsidR="00370725" w:rsidRPr="00FA4EF4">
        <w:t xml:space="preserve"> </w:t>
      </w:r>
      <w:r w:rsidR="005A2770">
        <w:t xml:space="preserve">Critical minerals </w:t>
      </w:r>
      <w:r w:rsidR="003E46A8" w:rsidRPr="00FA4EF4">
        <w:t>Sb</w:t>
      </w:r>
      <w:r w:rsidR="0004171A" w:rsidRPr="00FA4EF4">
        <w:t xml:space="preserve">, </w:t>
      </w:r>
      <w:r w:rsidR="00842A4D" w:rsidRPr="00FA4EF4">
        <w:t>Be</w:t>
      </w:r>
      <w:r w:rsidR="0004171A" w:rsidRPr="00FA4EF4">
        <w:t>,</w:t>
      </w:r>
      <w:r w:rsidR="00825882">
        <w:t xml:space="preserve"> </w:t>
      </w:r>
      <w:r w:rsidR="00225F75" w:rsidRPr="00FA4EF4">
        <w:t xml:space="preserve">Bi, Mn, Te, W, and Zn were selected for inclusion because they are major </w:t>
      </w:r>
      <w:r w:rsidR="00225F75" w:rsidRPr="00FA4EF4">
        <w:lastRenderedPageBreak/>
        <w:t xml:space="preserve">components in the reported mineralogy. </w:t>
      </w:r>
      <w:r w:rsidR="00901A16">
        <w:t xml:space="preserve">The critical minerals </w:t>
      </w:r>
      <w:r w:rsidR="00225F75" w:rsidRPr="00FA4EF4">
        <w:t xml:space="preserve">Al, a major component in some of the reported silicate minerals, and </w:t>
      </w:r>
      <w:r w:rsidR="00B63F80">
        <w:t>Mg</w:t>
      </w:r>
      <w:r w:rsidR="00225F75" w:rsidRPr="00FA4EF4">
        <w:t>, a major component in dolomite and ankerite, were not included due to very low concentrations given they are otherwise abundant in the Earth’s crust. Finally, F is included as a proxy for the critical mineral fluorspar (fluorite) in geochemical diagrams since fluorite is the primary fluorine-containing mineral reported for the Tungsten Queen vein. However, F is not a perfect proxy since it could also occur in small amounts in apatite and topaz (Table 1).</w:t>
      </w:r>
    </w:p>
    <w:p w14:paraId="65AB34AD" w14:textId="6A855DC4" w:rsidR="00225F75" w:rsidRPr="00FA4EF4" w:rsidRDefault="00225F75" w:rsidP="002C492A">
      <w:r w:rsidRPr="00FA4EF4">
        <w:t>Some critical minerals are not major components in reported Tungsten Queen vein minerals but can incorporate into certain minerals in potentially meaningful quantities. Arsenic (As) is included in this report because it can commonly be present in pyrite, and in addition to</w:t>
      </w:r>
      <w:r>
        <w:t xml:space="preserve"> </w:t>
      </w:r>
      <w:r w:rsidRPr="00FA4EF4">
        <w:t xml:space="preserve">being a critical mineral, </w:t>
      </w:r>
      <w:r w:rsidR="00FB111C">
        <w:t>As</w:t>
      </w:r>
      <w:r w:rsidRPr="00FA4EF4">
        <w:t xml:space="preserve"> in sulfides has been implicated as a source for </w:t>
      </w:r>
      <w:r w:rsidR="005E333F">
        <w:t>As</w:t>
      </w:r>
      <w:r w:rsidRPr="00FA4EF4">
        <w:t xml:space="preserve"> in groundwater in other areas of the Carolina terrane </w:t>
      </w:r>
      <w:r w:rsidRPr="00FA4EF4">
        <w:fldChar w:fldCharType="begin"/>
      </w:r>
      <w:r w:rsidRPr="00FA4EF4">
        <w:instrText xml:space="preserve"> ADDIN ZOTERO_ITEM CSL_CITATION {"citationID":"RA3f1SQ8","properties":{"formattedCitation":"(Abraham, 2009; Dinwiddie and Liu, 2018)","plainCitation":"(Abraham, 2009; Dinwiddie and Liu, 2018)","noteIndex":0},"citationItems":[{"id":215,"uris":["http://zotero.org/users/17206691/items/UM4KUYRQ"],"itemData":{"id":215,"type":"report","collection-title":"Groundwater Circular","number":"2009-01","page":"1-40","publisher":"Division of Water Resources","title":"A hydrogeological assessment of arsenic in the Carolina terrane of Union County, North Carolina","author":[{"family":"Abraham","given":"Joju"}],"issued":{"date-parts":[["2009"]]}}},{"id":194,"uris":["http://zotero.org/users/17206691/items/2ENF6BU6"],"itemData":{"id":194,"type":"article-journal","abstract":"Ingestion of inorganic arsenic through food and water can have severe adverse health effects on the human body. Therefore, government regulations and health guidelines for arsenic concentrations in water have been established around the world to avoid or mitigate these health effects. In recent decades, analysis of groundwater in many locations around the world have revealed arsenic concentrations that exceed government regulation levels. The section of the Carolina Terrane located in North Carolina is one of such recently discovered areas. This study investigates the relationship between the geologic units of the Carolina terrane and arsenic concentrations in well water samples in Orange County, North Carolina. Kriging interpolation mapping and multivariate analysis reveals spatial and geochemical connections between wells of detectable arsenic and the Neoproterozoic epiclastics unit and geochemical variables such as F−, pH, and alkalinity. These associations imply that arsenic in Orange County, NC is being mobilized from authigenic arsenic-bearing sulfide minerals in the Neoproterozoic epiclastics bedrock unit by oxidative release likely associated with increased F−, pH, and alkalinity.","container-title":"Frontiers in Earth Science","DOI":"10.3389/feart.2018.00111","ISSN":"2296-6463","journalAbbreviation":"Front. Earth Sci.","language":"English","note":"publisher: Frontiers","source":"Frontiers","title":"Examining the Geologic Link of Arsenic Contamination in Groundwater in Orange County, North Carolina","URL":"https://www.frontiersin.org/journals/earth-science/articles/10.3389/feart.2018.00111/full","volume":"6","author":[{"family":"Dinwiddie","given":"Ethan"},{"family":"Liu","given":"Xiao-Ming"}],"accessed":{"date-parts":[["2025",5,21]]},"issued":{"date-parts":[["2018",8,16]]}}}],"schema":"https://github.com/citation-style-language/schema/raw/master/csl-citation.json"} </w:instrText>
      </w:r>
      <w:r w:rsidRPr="00FA4EF4">
        <w:fldChar w:fldCharType="separate"/>
      </w:r>
      <w:r w:rsidRPr="00FA4EF4">
        <w:t>(Abraham, 2009; Dinwiddie and Liu, 2018)</w:t>
      </w:r>
      <w:r w:rsidRPr="00FA4EF4">
        <w:fldChar w:fldCharType="end"/>
      </w:r>
      <w:r w:rsidRPr="00FA4EF4">
        <w:t xml:space="preserve">. </w:t>
      </w:r>
      <w:r w:rsidR="00901A16">
        <w:t xml:space="preserve">Critical minerals </w:t>
      </w:r>
      <w:r w:rsidRPr="00FA4EF4">
        <w:t xml:space="preserve">Ga and Ge can substitute into sphalerite </w:t>
      </w:r>
      <w:r w:rsidRPr="00FA4EF4">
        <w:fldChar w:fldCharType="begin"/>
      </w:r>
      <w:r w:rsidRPr="00FA4EF4">
        <w:instrText xml:space="preserve"> ADDIN ZOTERO_ITEM CSL_CITATION {"citationID":"pipRUTj3","properties":{"formattedCitation":"(Foley et al., 2017; Gnesda et al., 2020)","plainCitation":"(Foley et al., 2017; Gnesda et al., 2020)","dontUpdate":true,"noteIndex":0},"citationItems":[{"id":210,"uris":["http://zotero.org/users/17206691/items/64I3Z72Y"],"itemData":{"id":210,"type":"chapter","abstract":"Gallium is a soft, silvery metallic element with an atomic number of 31 and the chemical symbol Ga. Gallium is used in a wide variety of products that have microelectronic components containing either gallium arsenide (GaAs) or gallium nitride (GaN). GaAs is able to change electricity directly into laser light and is used in the manufacture of optoelectronic devices (laser diodes, light-emitting diodes [LEDs], photo detectors, and solar cells), which are important for aerospace and telecommunications applications and industrial and medical equipment. GaAs is also used in the production of highly specialized integrated circuits, semiconductors, and transistors; these are necessary for defense applications and high-performance computers. For example, cell phones with advanced personal computer-like functionality (smartphones) use GaAs-rich semiconductor components. GaN is used principally in the manufacture of LEDs and laser diodes, power electronics, and radio-frequency electronics. Because GaN power transistors operate at higher voltages and with a higher power...","collection-title":"U.S. Geological Survey Professional Paper 1802","container-title":"Critical mineral resources of the United States—Economic and environmental geology and prospects for future supply","language":"en","note":"ISBN: 9781411339910\nISSN: 2330-7102\ncontainer-title: Professional Paper\nDOI: 10.3133/pp1802H","page":"H1-H35","source":"pubs.usgs.gov","title":"Gallium","URL":"https://pubs.usgs.gov/publication/pp1802H","author":[{"family":"Foley","given":"Nora K."},{"family":"Jaskula","given":"Brian"},{"family":"Kimball","given":"Bryn E."},{"family":"Schulte","given":"Ruth"}],"editor":[{"family":"Schulte","given":"K.J."},{"family":"DeYoung","given":"J.H.","suffix":"Jr."},{"family":"Seal","given":"R.R.","suffix":"II"},{"family":"Bradley","given":"D.C."}],"accessed":{"date-parts":[["2025",5,21]]},"issued":{"date-parts":[["2017"]]}}},{"id":209,"uris":["http://zotero.org/users/17206691/items/LPKW8D4H"],"itemData":{"id":209,"type":"dataset","abstract":"This data release provides data for the single site in the United States (U.S.) that has public record of germanium (Ge) production. Germanium, which is currently classified as a critical mineral in the U.S., is also extracted as a byproduct from deposits in Alaska, Washington, and Tennessee. However, there is no public information that documents germanium production from these deposits. Current annual production of refined germanium is led by China at 85,000 tons, while estimates place U.S. reserves near 2,500 tons. Reported production of germanium in the U.S. is limited to one site, the Apex mine in Washington County, Utah. The Apex mine produced gallium (Ga) and germanium as primary products during the mid-1980s. Since its closure, germanium recovery has been restricted to refining processes of ore concentrates and recycling of waste scrap both in and outside the U.S. (U.S. Geological Survey, 2020). As a part of the process set forth by Executive Order 13817, the USGS National Minerals Information Center (NMIC) identified germanium as a critical mineral (Department of the Interior, 2018) due to the import reliance and importance in the sectors of defense, manufacturing, and telecommunications (Fortier and others, 2018). Germanium is used for strategic, consumer, and commercial applications due to its high refractive index, transparency to infrared light, and properties as a semiconductor. Most notably, germanium is a major component in infrared devices, fiber optic cables, and PET plastics (Melcher and Buchholz, 2014). As of 2019, the U.S. maintains greater than 50% reliance on imported germanium from countries such as Belgium and China who were the main U.S. suppliers between 2015-2018. Germanium is imported to the U.S. as germanium metal and dioxide for consumption (U.S. Geological Survey, 2020). Some germanium is recovered from recycling of scrap during the manufacturing process, such as the manufacture of fiber-optic cables (Mercer, 2015).The element germanium largely occurs as a geochemical substitute in various sulfide minerals, primarily in the mineral sphalerite (ZnS), with minor inclusion in silicate minerals. The greatest germanium concentrations occur in Kipushi-type deposits, principally in oxidation zones of sulfide ore (Holl and others, 2007). The largest past producers of germanium from Kipushi-type deposits occurred in Kipushi, Democratic Republic of the Congo, and Tsumeb, Namibia. These deposits host 60 million tonnes (t) at 100-200 parts per million (ppm) Ge and 28 million t at 50-150 ppm Ge, respectively. Currently, germanium is produced as a byproduct of zinc-bearing ore deposits. Acid mine drainage may have elevated signatures of germanium because of germanium's strong association to sulfide minerals (Shanks and others, 2017). Germanium is also recovered from lignite and coal deposits worldwide (Melcher and Buchholz, 2014). The entries and descriptions in the database were derived from published papers, reports, data, and internet documents representing a variety of sources, including geologic and exploration studies described in State, Federal, and industry reports. Production and resource information extracted from older sources might not be compliant with current rules and guidelines in minerals industry standards such as National Instrument 43-101 (NI 43-101). The presence of a germanium mineral deposit in this database is not meant to imply that the deposit is currently economic. Inclusion of material in the database is for descriptive purposes only and does not imply endorsement by the U.S. Government. The authors welcome additional published information in order to continually update and refine this dataset. Department of the Interior, 2018, Final list of critical minerals 2018: Federal Register Notice 83 FR 23295, no. 97, p. 23295-23296, https://www.federalregister.gov/d/2018-10667. Fortier, S.M., Nassar, N.T., Lederer, G.W., Brainard, J., Gambogi, J., and McCullough, E.A., 2018, Draft critical mineral list-Summary of methodology and background information-U.S. Geological Survey technical input document in response to Secretarial Order No. 3359: U.S. Geological Survey Open-File Report 2018-1021, 15 p., https://doi.org/10.3133/ofr20181021. Holl, R., Kling, M., and Schroll, E., 2007, Metallogenesis of germanium-A review: Ore Geology Reviews, v. 30, p. 145-180, https://doi.org/10.1016/j.oregeorev.2005.07.034. Melcher, F. and Buchholz, P., 2014, Germanium, chap. 8 of Gunn, G., eds., Critical metals handbook: Chichester, UK, John Wiley &amp;amp; Sons, Ltd., p. 177-203, https://doi.org/10.1002/9781118755341. Mercer, C.N., 2015, Germanium-Giving microelectronics an efficiency boost: U.S. Geological Survey Fact Sheet 2015-3011, 2 p., https://doi.org/10.3133/fs20153011. Shanks, W.C.P., III, Kimball, B.E., Tolcin, A.C., and Guberman, D.E., 2017, Germanium and indium, chap. I of Schulz, K.J., DeYoung, J.H., Jr., Seal, R.R., II, and Bradley, D.C., eds., Critical mineral resources of the United States-Economic and environmental geology and prospects for future supply: U.S. Geological Survey Professional Paper 1802, p. I1-I27, https://doi.org/10.3133/pp1802I. U.S. Geological Survey, 2020, Mineral commodity summaries 2020: U.S. Geological Survey, 200 p., https://doi.org/10.3133/mcs2020.","DOI":"10.5066/P9CPYTFN","genre":"U.S. Geological Survey Data Release","medium":"U.S. Geological Survey data release","number":"U.S. Geological Survey data release","publisher":"U.S. Geological Survey","source":"DOI.org (Datacite)","title":"Germanium Deposits in the United States","URL":"https://www.sciencebase.gov/catalog/item/5e87562a82cee42d133ff6b4","author":[{"family":"Gnesda","given":"William R"},{"family":"Karl","given":"Nick A"},{"family":"Mauk","given":"Jeffrey L"}],"accessed":{"date-parts":[["2025",5,21]]},"issued":{"date-parts":[["2020"]]}}}],"schema":"https://github.com/citation-style-language/schema/raw/master/csl-citation.json"} </w:instrText>
      </w:r>
      <w:r w:rsidRPr="00FA4EF4">
        <w:fldChar w:fldCharType="separate"/>
      </w:r>
      <w:r w:rsidRPr="00FA4EF4">
        <w:t>(Foley et al., 2017; Gnesda et al., 2020, respectively)</w:t>
      </w:r>
      <w:r w:rsidRPr="00FA4EF4">
        <w:fldChar w:fldCharType="end"/>
      </w:r>
      <w:r w:rsidRPr="00FA4EF4">
        <w:t xml:space="preserve">, and at the time of the writing of this report, are subject to export restrictions that </w:t>
      </w:r>
      <w:r w:rsidRPr="00FA4EF4">
        <w:fldChar w:fldCharType="begin"/>
      </w:r>
      <w:r w:rsidRPr="00FA4EF4">
        <w:instrText xml:space="preserve"> ADDIN ZOTERO_ITEM CSL_CITATION {"citationID":"szmIYVfc","properties":{"formattedCitation":"(Nassar et al., 2024)","plainCitation":"(Nassar et al., 2024)","dontUpdate":true,"noteIndex":0},"citationItems":[{"id":212,"uris":["http://zotero.org/users/17206691/items/FP2WWQRK"],"itemData":{"id":212,"type":"report","abstract":"China’s export controls on gallium and germanium exemplify concerns regarding the reliability of supplies of mineral commodities that are essential to economic development, national security, and transition to renewable energy. This report presents a new model that quantifies the potential effects of mineral commodity supply disruptions on the U.S. economy. After calculating postdisruption equilibrium prices and quantities, a nonlinear optimization routine was used along with economic input-output tables to estimate the effects of varying Chinese net export restrictions of gallium and germanium on U.S. gross domestic product (GDP). The results indicated that a complete restriction of China’s net exports of gallium and germanium could cause the U.S. GDP to decrease by $3.1 billion (with lower and upper estimates of $1.7 billion to $8.2 billion) and $0.4 billion ($0.01 billion to $1.1 billion), respectively, if disrupted separately, and $3.4 billion ($1.7 billion to $9.0 billion) if disrupted simultaneously. The proposed model...","genre":"Open-File Report","language":"en","note":"ISSN: 2331-1258\ncontainer-title: Open-File Report\nDOI: 10.3133/ofr20241057","number":"2024-1057","publisher":"U.S. Geological Survey","source":"pubs.usgs.gov","title":"Quantifying potential effects of China’s gallium and germanium export restrictions on the U.S. economy","URL":"https://pubs.usgs.gov/publication/ofr20241057","author":[{"family":"Nassar","given":"Nedal T."},{"family":"Shojaeddini","given":"Ensieh"},{"family":"Alonso","given":"Elisa"},{"family":"Jaskula","given":"Brian"},{"family":"Tolcin","given":"Amy"}],"accessed":{"date-parts":[["2025",5,21]]},"issued":{"date-parts":[["2024"]]}}}],"schema":"https://github.com/citation-style-language/schema/raw/master/csl-citation.json"} </w:instrText>
      </w:r>
      <w:r w:rsidRPr="00FA4EF4">
        <w:fldChar w:fldCharType="separate"/>
      </w:r>
      <w:r w:rsidRPr="00FA4EF4">
        <w:t>Nassar et al. (2024)</w:t>
      </w:r>
      <w:r w:rsidRPr="00FA4EF4">
        <w:fldChar w:fldCharType="end"/>
      </w:r>
      <w:r w:rsidRPr="00FA4EF4">
        <w:t xml:space="preserve"> estimate could have a $3.4 billion impact on the United States economy. Finally, vanadium (V) was included, which positive co-variations on geochemical plots suggest may be substituting for Al or present in Al-bearing minerals. </w:t>
      </w:r>
    </w:p>
    <w:p w14:paraId="0D495AFD" w14:textId="59F22326" w:rsidR="00354281" w:rsidRDefault="00225F75" w:rsidP="002C492A">
      <w:r w:rsidRPr="00FA4EF4">
        <w:t>Silver and Au, while not critical minerals, are included in this report because of the economic importance of both commodities, and the potential for Ag production from Tungsten Queen galena as a byproduct of WO</w:t>
      </w:r>
      <w:r w:rsidRPr="00FA4EF4">
        <w:rPr>
          <w:vertAlign w:val="subscript"/>
        </w:rPr>
        <w:t>3</w:t>
      </w:r>
      <w:r w:rsidRPr="00FA4EF4">
        <w:t xml:space="preserve"> mining </w:t>
      </w:r>
      <w:r w:rsidRPr="00FA4EF4">
        <w:fldChar w:fldCharType="begin"/>
      </w:r>
      <w:r w:rsidRPr="00FA4EF4">
        <w:instrText xml:space="preserve"> ADDIN ZOTERO_ITEM CSL_CITATION {"citationID":"DFwnPiXJ","properties":{"formattedCitation":"(Chaumba et al., 2015; Parker et al., 2015)","plainCitation":"(Chaumba et al., 2015; Parker et al., 2015)","noteIndex":0},"citationItems":[{"id":66,"uris":["http://zotero.org/users/17206691/items/6QNQWHMF"],"itemData":{"id":66,"type":"article-journal","abstract":"The Hamme (Tungsten Queen) mine, Vance County, N.C., was worked for wol-framite-huebnerite and it also produced minor amounts of sulfides (copper and silver). At this deposit, there are about 1 million metric tons of quartz-dominated tailings containing about 0.25% WO 3 , with accessory fluorite and very minor sulfides-mostly ga-lena with accessory silver concentrations. We undertook a petrographic and mineral composition study of the huebnerite, galena, and chalcopyrite to help place constrains on the origin of the deposit. Under the microscope, huebnerite shows zoning which is not reflected in the chemistry of the mineral. All minerals investigated have concentrations which show very limited compositional ranges. Huebnerite is strongly enriched in WO 3 (73.5-75.5 wt.%), MnWO 4 (97.3-99.7%), and Mn (1.037-1.065 atoms per formula unit, apfu) but is depleted in Fe 2+ (0.040-0.029 apfu). Sulfide mineralogy is composed of galena with concentrations of Pb (83.0-85.8 wt.%) and S (13.2-13.9 wt.%), and chalcopyrite with concentrations of Cu (33.8-38.2 wt.%), Fe (29.7-29.9 wt.%), and S (34.5-34.6 wt.%). Sulfur concentrations of galena in Hamme (Tungsten Queen) deposit are comparable to other lead deposits elsewhere. Coarser-grained and anhedral gale-nas have slightly higher Pb concentrations than those which occur either as rims to huebnerites or as 'intercumulus phases' between huebnerites. Hamme (Tungsten Queen) deposit huebnerite compositions reported here are comparable (although slightly enriched in Mn but depleted in Fe 2+) to other huebnerite deposits such as Round Mountain in Nevada and some huebnerites from Portugal. Compared to other wolfram-ite deposits, the Hamme (Tungsten Queen) deposit is more depleted in Fe 2+ and highly enriched in MnWO 4 , an indication of a lack of substitution of its Mn by other cations. Based on findings from this study, it is concluded that Hamme (Tungsten Queen) deposit huebnerites were formed early in the history of formation of the deposit and were little affected by a later hydrothermal event that affected the district. Galena inclusions in huebnerites and coarser-grained galenas, which are comprised of slightly higher Pb concentrations, are interpreted to be primary , likely formed at the time of formation of the enclosing huebnerites, than galenas which occur as 'intercumulus' grains and are also slightly depleted in Pb. These latter galena crystals likely formed later, probably during metamorphism and associated hy-drothermal alteration.","container-title":"Southeastern Geology","issue":"1","page":"33-49","title":"Hamme (Tungsten Queen) Mine Tailings, Vance County, North Carolina: Mineral chemistry of Potentially Recoverable Huebnerite-Wolframite and Sulfide Minerals","volume":"51","author":[{"family":"Chaumba","given":"Jeff B"},{"family":"Reid","given":"Jeffrey C"},{"family":"Parker","given":"Johnathon C"}],"issued":{"date-parts":[["2015"]]}}},{"id":62,"uris":["http://zotero.org/users/17206691/items/J5WDDJNY"],"itemData":{"id":62,"type":"article-journal","container-title":"Geological Society of America Abstracts with Programs","issue":"2","page":"6","title":"Hamme (Tungsten Queen) Mine Tailings, Vance County, North Carolina: Mineral Chemistry of Potentially Recoverable Huebernite-Wolframite and Sulfide Minerals","volume":"47","author":[{"family":"Parker","given":"Johnathon C."},{"family":"Reid","given":"Jeffrey C."},{"family":"Chaumba","given":"Jeff B."}],"issued":{"date-parts":[["2015"]]}}}],"schema":"https://github.com/citation-style-language/schema/raw/master/csl-citation.json"} </w:instrText>
      </w:r>
      <w:r w:rsidRPr="00FA4EF4">
        <w:fldChar w:fldCharType="separate"/>
      </w:r>
      <w:r w:rsidRPr="00FA4EF4">
        <w:t>(Chaumba et al., 2015; Parker et al., 2015)</w:t>
      </w:r>
      <w:r w:rsidRPr="00FA4EF4">
        <w:fldChar w:fldCharType="end"/>
      </w:r>
      <w:r w:rsidRPr="00FA4EF4">
        <w:t xml:space="preserve">. The full list of critical minerals and non-critical commodities featured in this report are listed in Table 2 </w:t>
      </w:r>
      <w:r w:rsidR="00623B86" w:rsidRPr="00FA4EF4">
        <w:t xml:space="preserve">along with their chemical symbols (abbreviations). All geochemical data collected for Tungsten Queen samples, including elements not discussed in this report, are available in Appendix 3. Appendix 3 also includes samples NCGS-TQ-D1-24-25, NCGS-TQ-D1-25-26.9, NCGS-TQ-D1-30-31.8, NCGS-TQ-D1-32-34.3, NCGS-TQ-G4, and NCGS-TQ-C1. Geochemical data from these samples were not discussed in this report because sample texture and chemistry (e.g., low silicon, high loss on ignition, very high Al and iron) indicated their chemical compositions </w:t>
      </w:r>
    </w:p>
    <w:tbl>
      <w:tblPr>
        <w:tblW w:w="5580" w:type="dxa"/>
        <w:tblLook w:val="04A0" w:firstRow="1" w:lastRow="0" w:firstColumn="1" w:lastColumn="0" w:noHBand="0" w:noVBand="1"/>
      </w:tblPr>
      <w:tblGrid>
        <w:gridCol w:w="2430"/>
        <w:gridCol w:w="3150"/>
      </w:tblGrid>
      <w:tr w:rsidR="00A603AF" w:rsidRPr="00A603AF" w14:paraId="79BC4CFB" w14:textId="77777777" w:rsidTr="00126239">
        <w:trPr>
          <w:trHeight w:val="792"/>
        </w:trPr>
        <w:tc>
          <w:tcPr>
            <w:tcW w:w="5580" w:type="dxa"/>
            <w:gridSpan w:val="2"/>
            <w:tcBorders>
              <w:top w:val="nil"/>
              <w:left w:val="nil"/>
              <w:bottom w:val="nil"/>
              <w:right w:val="nil"/>
            </w:tcBorders>
            <w:vAlign w:val="bottom"/>
            <w:hideMark/>
          </w:tcPr>
          <w:p w14:paraId="3E9BCAB5" w14:textId="77777777" w:rsidR="00A603AF" w:rsidRPr="00877767" w:rsidRDefault="00A603AF" w:rsidP="00354281">
            <w:pPr>
              <w:pStyle w:val="Caption1"/>
            </w:pPr>
            <w:r w:rsidRPr="00877767">
              <w:t>Table 2. List of Critical Minerals and Non-Critical Commodities Highlighted in this Report and their Chemical Symbols</w:t>
            </w:r>
          </w:p>
        </w:tc>
      </w:tr>
      <w:tr w:rsidR="00A603AF" w:rsidRPr="00A603AF" w14:paraId="79938DE6" w14:textId="77777777" w:rsidTr="00126239">
        <w:trPr>
          <w:trHeight w:val="152"/>
        </w:trPr>
        <w:tc>
          <w:tcPr>
            <w:tcW w:w="2430" w:type="dxa"/>
            <w:tcBorders>
              <w:top w:val="single" w:sz="4" w:space="0" w:color="auto"/>
              <w:left w:val="nil"/>
              <w:bottom w:val="double" w:sz="6" w:space="0" w:color="auto"/>
              <w:right w:val="nil"/>
            </w:tcBorders>
            <w:vAlign w:val="bottom"/>
            <w:hideMark/>
          </w:tcPr>
          <w:p w14:paraId="47E2211C" w14:textId="77777777" w:rsidR="00A603AF" w:rsidRPr="00A603AF" w:rsidRDefault="00A603AF" w:rsidP="00A603AF">
            <w:pPr>
              <w:spacing w:after="0"/>
              <w:jc w:val="center"/>
              <w:rPr>
                <w:rFonts w:eastAsia="Times New Roman" w:cs="Times New Roman"/>
                <w:b/>
                <w:bCs/>
                <w:color w:val="000000"/>
                <w:sz w:val="20"/>
                <w:szCs w:val="20"/>
              </w:rPr>
            </w:pPr>
            <w:r w:rsidRPr="00A603AF">
              <w:rPr>
                <w:rFonts w:eastAsia="Times New Roman" w:cs="Times New Roman"/>
                <w:b/>
                <w:bCs/>
                <w:color w:val="000000"/>
                <w:sz w:val="20"/>
                <w:szCs w:val="20"/>
              </w:rPr>
              <w:t>Critical Mineral</w:t>
            </w:r>
          </w:p>
        </w:tc>
        <w:tc>
          <w:tcPr>
            <w:tcW w:w="3150" w:type="dxa"/>
            <w:tcBorders>
              <w:top w:val="single" w:sz="4" w:space="0" w:color="auto"/>
              <w:left w:val="nil"/>
              <w:bottom w:val="double" w:sz="6" w:space="0" w:color="auto"/>
              <w:right w:val="nil"/>
            </w:tcBorders>
            <w:vAlign w:val="bottom"/>
            <w:hideMark/>
          </w:tcPr>
          <w:p w14:paraId="491D069D" w14:textId="77777777" w:rsidR="00A603AF" w:rsidRPr="00A603AF" w:rsidRDefault="00A603AF" w:rsidP="00935D9F">
            <w:pPr>
              <w:spacing w:after="0"/>
              <w:ind w:firstLine="0"/>
              <w:rPr>
                <w:rFonts w:eastAsia="Times New Roman" w:cs="Times New Roman"/>
                <w:b/>
                <w:bCs/>
                <w:color w:val="000000"/>
                <w:sz w:val="20"/>
                <w:szCs w:val="20"/>
              </w:rPr>
            </w:pPr>
            <w:r w:rsidRPr="00A603AF">
              <w:rPr>
                <w:rFonts w:eastAsia="Times New Roman" w:cs="Times New Roman"/>
                <w:b/>
                <w:bCs/>
                <w:color w:val="000000"/>
                <w:sz w:val="20"/>
                <w:szCs w:val="20"/>
              </w:rPr>
              <w:t>Chemical Symbol</w:t>
            </w:r>
          </w:p>
        </w:tc>
      </w:tr>
      <w:tr w:rsidR="00A603AF" w:rsidRPr="00A603AF" w14:paraId="1570D336" w14:textId="77777777" w:rsidTr="00126239">
        <w:trPr>
          <w:trHeight w:val="245"/>
        </w:trPr>
        <w:tc>
          <w:tcPr>
            <w:tcW w:w="2430" w:type="dxa"/>
            <w:tcBorders>
              <w:top w:val="nil"/>
              <w:left w:val="nil"/>
              <w:bottom w:val="nil"/>
              <w:right w:val="nil"/>
            </w:tcBorders>
            <w:noWrap/>
            <w:vAlign w:val="center"/>
            <w:hideMark/>
          </w:tcPr>
          <w:p w14:paraId="2CB79ABB" w14:textId="77777777" w:rsidR="00A603AF" w:rsidRPr="00A603AF" w:rsidRDefault="00A603AF" w:rsidP="00A603AF">
            <w:pPr>
              <w:spacing w:after="0"/>
              <w:jc w:val="center"/>
              <w:rPr>
                <w:rFonts w:eastAsia="Times New Roman" w:cs="Times New Roman"/>
                <w:color w:val="000000"/>
                <w:sz w:val="20"/>
                <w:szCs w:val="20"/>
              </w:rPr>
            </w:pPr>
            <w:r w:rsidRPr="00A603AF">
              <w:rPr>
                <w:rFonts w:eastAsia="Times New Roman" w:cs="Times New Roman"/>
                <w:color w:val="000000"/>
                <w:sz w:val="20"/>
                <w:szCs w:val="20"/>
              </w:rPr>
              <w:t>Antimony</w:t>
            </w:r>
          </w:p>
        </w:tc>
        <w:tc>
          <w:tcPr>
            <w:tcW w:w="3150" w:type="dxa"/>
            <w:tcBorders>
              <w:top w:val="nil"/>
              <w:left w:val="nil"/>
              <w:bottom w:val="nil"/>
              <w:right w:val="nil"/>
            </w:tcBorders>
            <w:noWrap/>
            <w:vAlign w:val="bottom"/>
            <w:hideMark/>
          </w:tcPr>
          <w:p w14:paraId="1AB7BA3F" w14:textId="77777777" w:rsidR="00A603AF" w:rsidRPr="00A603AF" w:rsidRDefault="00A603AF" w:rsidP="00A603AF">
            <w:pPr>
              <w:spacing w:after="0"/>
              <w:jc w:val="center"/>
              <w:rPr>
                <w:rFonts w:eastAsia="Times New Roman" w:cs="Times New Roman"/>
                <w:color w:val="000000"/>
                <w:sz w:val="20"/>
                <w:szCs w:val="20"/>
              </w:rPr>
            </w:pPr>
            <w:r w:rsidRPr="00A603AF">
              <w:rPr>
                <w:rFonts w:eastAsia="Times New Roman" w:cs="Times New Roman"/>
                <w:color w:val="000000"/>
                <w:sz w:val="20"/>
                <w:szCs w:val="20"/>
              </w:rPr>
              <w:t>Sb</w:t>
            </w:r>
          </w:p>
        </w:tc>
      </w:tr>
      <w:tr w:rsidR="00A603AF" w:rsidRPr="00A603AF" w14:paraId="7045117B" w14:textId="77777777" w:rsidTr="00126239">
        <w:trPr>
          <w:trHeight w:val="245"/>
        </w:trPr>
        <w:tc>
          <w:tcPr>
            <w:tcW w:w="2430" w:type="dxa"/>
            <w:tcBorders>
              <w:top w:val="nil"/>
              <w:left w:val="nil"/>
              <w:bottom w:val="nil"/>
              <w:right w:val="nil"/>
            </w:tcBorders>
            <w:noWrap/>
            <w:vAlign w:val="center"/>
            <w:hideMark/>
          </w:tcPr>
          <w:p w14:paraId="24638DAB" w14:textId="77777777" w:rsidR="00A603AF" w:rsidRPr="00A603AF" w:rsidRDefault="00A603AF" w:rsidP="00A603AF">
            <w:pPr>
              <w:spacing w:after="0"/>
              <w:jc w:val="center"/>
              <w:rPr>
                <w:rFonts w:eastAsia="Times New Roman" w:cs="Times New Roman"/>
                <w:color w:val="000000"/>
                <w:sz w:val="20"/>
                <w:szCs w:val="20"/>
              </w:rPr>
            </w:pPr>
            <w:r w:rsidRPr="00A603AF">
              <w:rPr>
                <w:rFonts w:eastAsia="Times New Roman" w:cs="Times New Roman"/>
                <w:color w:val="000000"/>
                <w:sz w:val="20"/>
                <w:szCs w:val="20"/>
              </w:rPr>
              <w:t>Arsenic</w:t>
            </w:r>
          </w:p>
        </w:tc>
        <w:tc>
          <w:tcPr>
            <w:tcW w:w="3150" w:type="dxa"/>
            <w:tcBorders>
              <w:top w:val="nil"/>
              <w:left w:val="nil"/>
              <w:bottom w:val="nil"/>
              <w:right w:val="nil"/>
            </w:tcBorders>
            <w:noWrap/>
            <w:vAlign w:val="bottom"/>
            <w:hideMark/>
          </w:tcPr>
          <w:p w14:paraId="1A3EA4CD" w14:textId="77777777" w:rsidR="00A603AF" w:rsidRPr="00A603AF" w:rsidRDefault="00A603AF" w:rsidP="00A603AF">
            <w:pPr>
              <w:spacing w:after="0"/>
              <w:jc w:val="center"/>
              <w:rPr>
                <w:rFonts w:eastAsia="Times New Roman" w:cs="Times New Roman"/>
                <w:color w:val="000000"/>
                <w:sz w:val="20"/>
                <w:szCs w:val="20"/>
              </w:rPr>
            </w:pPr>
            <w:r w:rsidRPr="00A603AF">
              <w:rPr>
                <w:rFonts w:eastAsia="Times New Roman" w:cs="Times New Roman"/>
                <w:color w:val="000000"/>
                <w:sz w:val="20"/>
                <w:szCs w:val="20"/>
              </w:rPr>
              <w:t>As</w:t>
            </w:r>
          </w:p>
        </w:tc>
      </w:tr>
      <w:tr w:rsidR="00A603AF" w:rsidRPr="00A603AF" w14:paraId="4C8662CB" w14:textId="77777777" w:rsidTr="00126239">
        <w:trPr>
          <w:trHeight w:val="245"/>
        </w:trPr>
        <w:tc>
          <w:tcPr>
            <w:tcW w:w="2430" w:type="dxa"/>
            <w:tcBorders>
              <w:top w:val="nil"/>
              <w:left w:val="nil"/>
              <w:bottom w:val="nil"/>
              <w:right w:val="nil"/>
            </w:tcBorders>
            <w:noWrap/>
            <w:vAlign w:val="center"/>
            <w:hideMark/>
          </w:tcPr>
          <w:p w14:paraId="24BC80B0" w14:textId="77777777" w:rsidR="00A603AF" w:rsidRPr="00A603AF" w:rsidRDefault="00A603AF" w:rsidP="00A603AF">
            <w:pPr>
              <w:spacing w:after="0"/>
              <w:jc w:val="center"/>
              <w:rPr>
                <w:rFonts w:eastAsia="Times New Roman" w:cs="Times New Roman"/>
                <w:color w:val="000000"/>
                <w:sz w:val="20"/>
                <w:szCs w:val="20"/>
              </w:rPr>
            </w:pPr>
            <w:r w:rsidRPr="00A603AF">
              <w:rPr>
                <w:rFonts w:eastAsia="Times New Roman" w:cs="Times New Roman"/>
                <w:color w:val="000000"/>
                <w:sz w:val="20"/>
                <w:szCs w:val="20"/>
              </w:rPr>
              <w:t>Beryllium</w:t>
            </w:r>
          </w:p>
        </w:tc>
        <w:tc>
          <w:tcPr>
            <w:tcW w:w="3150" w:type="dxa"/>
            <w:tcBorders>
              <w:top w:val="nil"/>
              <w:left w:val="nil"/>
              <w:bottom w:val="nil"/>
              <w:right w:val="nil"/>
            </w:tcBorders>
            <w:noWrap/>
            <w:vAlign w:val="bottom"/>
            <w:hideMark/>
          </w:tcPr>
          <w:p w14:paraId="6EA1B414" w14:textId="77777777" w:rsidR="00A603AF" w:rsidRPr="00A603AF" w:rsidRDefault="00A603AF" w:rsidP="00A603AF">
            <w:pPr>
              <w:spacing w:after="0"/>
              <w:jc w:val="center"/>
              <w:rPr>
                <w:rFonts w:eastAsia="Times New Roman" w:cs="Times New Roman"/>
                <w:color w:val="000000"/>
                <w:sz w:val="20"/>
                <w:szCs w:val="20"/>
              </w:rPr>
            </w:pPr>
            <w:r w:rsidRPr="00A603AF">
              <w:rPr>
                <w:rFonts w:eastAsia="Times New Roman" w:cs="Times New Roman"/>
                <w:color w:val="000000"/>
                <w:sz w:val="20"/>
                <w:szCs w:val="20"/>
              </w:rPr>
              <w:t>Be</w:t>
            </w:r>
          </w:p>
        </w:tc>
      </w:tr>
      <w:tr w:rsidR="00A603AF" w:rsidRPr="00A603AF" w14:paraId="2D48EEE7" w14:textId="77777777" w:rsidTr="00126239">
        <w:trPr>
          <w:trHeight w:val="245"/>
        </w:trPr>
        <w:tc>
          <w:tcPr>
            <w:tcW w:w="2430" w:type="dxa"/>
            <w:tcBorders>
              <w:top w:val="nil"/>
              <w:left w:val="nil"/>
              <w:bottom w:val="nil"/>
              <w:right w:val="nil"/>
            </w:tcBorders>
            <w:noWrap/>
            <w:vAlign w:val="center"/>
            <w:hideMark/>
          </w:tcPr>
          <w:p w14:paraId="5A88E594" w14:textId="77777777" w:rsidR="00A603AF" w:rsidRPr="00A603AF" w:rsidRDefault="00A603AF" w:rsidP="00A603AF">
            <w:pPr>
              <w:spacing w:after="0"/>
              <w:jc w:val="center"/>
              <w:rPr>
                <w:rFonts w:eastAsia="Times New Roman" w:cs="Times New Roman"/>
                <w:color w:val="000000"/>
                <w:sz w:val="20"/>
                <w:szCs w:val="20"/>
              </w:rPr>
            </w:pPr>
            <w:r w:rsidRPr="00A603AF">
              <w:rPr>
                <w:rFonts w:eastAsia="Times New Roman" w:cs="Times New Roman"/>
                <w:color w:val="000000"/>
                <w:sz w:val="20"/>
                <w:szCs w:val="20"/>
              </w:rPr>
              <w:t>Bismuth</w:t>
            </w:r>
          </w:p>
        </w:tc>
        <w:tc>
          <w:tcPr>
            <w:tcW w:w="3150" w:type="dxa"/>
            <w:tcBorders>
              <w:top w:val="nil"/>
              <w:left w:val="nil"/>
              <w:bottom w:val="nil"/>
              <w:right w:val="nil"/>
            </w:tcBorders>
            <w:noWrap/>
            <w:vAlign w:val="bottom"/>
            <w:hideMark/>
          </w:tcPr>
          <w:p w14:paraId="50DC44D1" w14:textId="77777777" w:rsidR="00A603AF" w:rsidRPr="00A603AF" w:rsidRDefault="00A603AF" w:rsidP="00A603AF">
            <w:pPr>
              <w:spacing w:after="0"/>
              <w:jc w:val="center"/>
              <w:rPr>
                <w:rFonts w:eastAsia="Times New Roman" w:cs="Times New Roman"/>
                <w:color w:val="000000"/>
                <w:sz w:val="20"/>
                <w:szCs w:val="20"/>
              </w:rPr>
            </w:pPr>
            <w:r w:rsidRPr="00A603AF">
              <w:rPr>
                <w:rFonts w:eastAsia="Times New Roman" w:cs="Times New Roman"/>
                <w:color w:val="000000"/>
                <w:sz w:val="20"/>
                <w:szCs w:val="20"/>
              </w:rPr>
              <w:t>Bi</w:t>
            </w:r>
          </w:p>
        </w:tc>
      </w:tr>
      <w:tr w:rsidR="00A603AF" w:rsidRPr="00A603AF" w14:paraId="602E0363" w14:textId="77777777" w:rsidTr="00126239">
        <w:trPr>
          <w:trHeight w:val="245"/>
        </w:trPr>
        <w:tc>
          <w:tcPr>
            <w:tcW w:w="2430" w:type="dxa"/>
            <w:tcBorders>
              <w:top w:val="nil"/>
              <w:left w:val="nil"/>
              <w:bottom w:val="nil"/>
              <w:right w:val="nil"/>
            </w:tcBorders>
            <w:noWrap/>
            <w:vAlign w:val="center"/>
            <w:hideMark/>
          </w:tcPr>
          <w:p w14:paraId="6201D9C0" w14:textId="77777777" w:rsidR="00A603AF" w:rsidRPr="00A603AF" w:rsidRDefault="00A603AF" w:rsidP="00A603AF">
            <w:pPr>
              <w:spacing w:after="0"/>
              <w:jc w:val="center"/>
              <w:rPr>
                <w:rFonts w:eastAsia="Times New Roman" w:cs="Times New Roman"/>
                <w:color w:val="000000"/>
                <w:sz w:val="20"/>
                <w:szCs w:val="20"/>
              </w:rPr>
            </w:pPr>
            <w:r w:rsidRPr="00A603AF">
              <w:rPr>
                <w:rFonts w:eastAsia="Times New Roman" w:cs="Times New Roman"/>
                <w:color w:val="000000"/>
                <w:sz w:val="20"/>
                <w:szCs w:val="20"/>
              </w:rPr>
              <w:t>Fluorine*</w:t>
            </w:r>
          </w:p>
        </w:tc>
        <w:tc>
          <w:tcPr>
            <w:tcW w:w="3150" w:type="dxa"/>
            <w:tcBorders>
              <w:top w:val="nil"/>
              <w:left w:val="nil"/>
              <w:bottom w:val="nil"/>
              <w:right w:val="nil"/>
            </w:tcBorders>
            <w:noWrap/>
            <w:vAlign w:val="bottom"/>
            <w:hideMark/>
          </w:tcPr>
          <w:p w14:paraId="7C0B7FAD" w14:textId="77777777" w:rsidR="00A603AF" w:rsidRPr="00A603AF" w:rsidRDefault="00A603AF" w:rsidP="00A603AF">
            <w:pPr>
              <w:spacing w:after="0"/>
              <w:jc w:val="center"/>
              <w:rPr>
                <w:rFonts w:eastAsia="Times New Roman" w:cs="Times New Roman"/>
                <w:color w:val="000000"/>
                <w:sz w:val="20"/>
                <w:szCs w:val="20"/>
              </w:rPr>
            </w:pPr>
            <w:r w:rsidRPr="00A603AF">
              <w:rPr>
                <w:rFonts w:eastAsia="Times New Roman" w:cs="Times New Roman"/>
                <w:color w:val="000000"/>
                <w:sz w:val="20"/>
                <w:szCs w:val="20"/>
              </w:rPr>
              <w:t>F</w:t>
            </w:r>
          </w:p>
        </w:tc>
      </w:tr>
      <w:tr w:rsidR="00A603AF" w:rsidRPr="00A603AF" w14:paraId="3980955E" w14:textId="77777777" w:rsidTr="00126239">
        <w:trPr>
          <w:trHeight w:val="245"/>
        </w:trPr>
        <w:tc>
          <w:tcPr>
            <w:tcW w:w="2430" w:type="dxa"/>
            <w:tcBorders>
              <w:top w:val="nil"/>
              <w:left w:val="nil"/>
              <w:bottom w:val="nil"/>
              <w:right w:val="nil"/>
            </w:tcBorders>
            <w:noWrap/>
            <w:vAlign w:val="center"/>
            <w:hideMark/>
          </w:tcPr>
          <w:p w14:paraId="6044CA66" w14:textId="77777777" w:rsidR="00A603AF" w:rsidRPr="00A603AF" w:rsidRDefault="00A603AF" w:rsidP="00A603AF">
            <w:pPr>
              <w:spacing w:after="0"/>
              <w:jc w:val="center"/>
              <w:rPr>
                <w:rFonts w:eastAsia="Times New Roman" w:cs="Times New Roman"/>
                <w:color w:val="000000"/>
                <w:sz w:val="20"/>
                <w:szCs w:val="20"/>
              </w:rPr>
            </w:pPr>
            <w:r w:rsidRPr="00A603AF">
              <w:rPr>
                <w:rFonts w:eastAsia="Times New Roman" w:cs="Times New Roman"/>
                <w:color w:val="000000"/>
                <w:sz w:val="20"/>
                <w:szCs w:val="20"/>
              </w:rPr>
              <w:t>Gallium</w:t>
            </w:r>
          </w:p>
        </w:tc>
        <w:tc>
          <w:tcPr>
            <w:tcW w:w="3150" w:type="dxa"/>
            <w:tcBorders>
              <w:top w:val="nil"/>
              <w:left w:val="nil"/>
              <w:bottom w:val="nil"/>
              <w:right w:val="nil"/>
            </w:tcBorders>
            <w:noWrap/>
            <w:vAlign w:val="bottom"/>
            <w:hideMark/>
          </w:tcPr>
          <w:p w14:paraId="4A15984D" w14:textId="77777777" w:rsidR="00A603AF" w:rsidRPr="00A603AF" w:rsidRDefault="00A603AF" w:rsidP="00A603AF">
            <w:pPr>
              <w:spacing w:after="0"/>
              <w:jc w:val="center"/>
              <w:rPr>
                <w:rFonts w:eastAsia="Times New Roman" w:cs="Times New Roman"/>
                <w:color w:val="000000"/>
                <w:sz w:val="20"/>
                <w:szCs w:val="20"/>
              </w:rPr>
            </w:pPr>
            <w:r w:rsidRPr="00A603AF">
              <w:rPr>
                <w:rFonts w:eastAsia="Times New Roman" w:cs="Times New Roman"/>
                <w:color w:val="000000"/>
                <w:sz w:val="20"/>
                <w:szCs w:val="20"/>
              </w:rPr>
              <w:t>Ga</w:t>
            </w:r>
          </w:p>
        </w:tc>
      </w:tr>
      <w:tr w:rsidR="00A603AF" w:rsidRPr="00A603AF" w14:paraId="0037D53B" w14:textId="77777777" w:rsidTr="00126239">
        <w:trPr>
          <w:trHeight w:val="245"/>
        </w:trPr>
        <w:tc>
          <w:tcPr>
            <w:tcW w:w="2430" w:type="dxa"/>
            <w:tcBorders>
              <w:top w:val="nil"/>
              <w:left w:val="nil"/>
              <w:bottom w:val="nil"/>
              <w:right w:val="nil"/>
            </w:tcBorders>
            <w:noWrap/>
            <w:vAlign w:val="center"/>
            <w:hideMark/>
          </w:tcPr>
          <w:p w14:paraId="14EF175C" w14:textId="77777777" w:rsidR="00A603AF" w:rsidRPr="00A603AF" w:rsidRDefault="00A603AF" w:rsidP="00A603AF">
            <w:pPr>
              <w:spacing w:after="0"/>
              <w:jc w:val="center"/>
              <w:rPr>
                <w:rFonts w:eastAsia="Times New Roman" w:cs="Times New Roman"/>
                <w:color w:val="000000"/>
                <w:sz w:val="20"/>
                <w:szCs w:val="20"/>
              </w:rPr>
            </w:pPr>
            <w:r w:rsidRPr="00A603AF">
              <w:rPr>
                <w:rFonts w:eastAsia="Times New Roman" w:cs="Times New Roman"/>
                <w:color w:val="000000"/>
                <w:sz w:val="20"/>
                <w:szCs w:val="20"/>
              </w:rPr>
              <w:t>Germanium</w:t>
            </w:r>
          </w:p>
        </w:tc>
        <w:tc>
          <w:tcPr>
            <w:tcW w:w="3150" w:type="dxa"/>
            <w:tcBorders>
              <w:top w:val="nil"/>
              <w:left w:val="nil"/>
              <w:bottom w:val="nil"/>
              <w:right w:val="nil"/>
            </w:tcBorders>
            <w:noWrap/>
            <w:vAlign w:val="bottom"/>
            <w:hideMark/>
          </w:tcPr>
          <w:p w14:paraId="335FE097" w14:textId="77777777" w:rsidR="00A603AF" w:rsidRPr="00A603AF" w:rsidRDefault="00A603AF" w:rsidP="00A603AF">
            <w:pPr>
              <w:spacing w:after="0"/>
              <w:jc w:val="center"/>
              <w:rPr>
                <w:rFonts w:eastAsia="Times New Roman" w:cs="Times New Roman"/>
                <w:color w:val="000000"/>
                <w:sz w:val="20"/>
                <w:szCs w:val="20"/>
              </w:rPr>
            </w:pPr>
            <w:r w:rsidRPr="00A603AF">
              <w:rPr>
                <w:rFonts w:eastAsia="Times New Roman" w:cs="Times New Roman"/>
                <w:color w:val="000000"/>
                <w:sz w:val="20"/>
                <w:szCs w:val="20"/>
              </w:rPr>
              <w:t>Ge</w:t>
            </w:r>
          </w:p>
        </w:tc>
      </w:tr>
      <w:tr w:rsidR="00A603AF" w:rsidRPr="00A603AF" w14:paraId="2212C0AA" w14:textId="77777777" w:rsidTr="00126239">
        <w:trPr>
          <w:trHeight w:val="245"/>
        </w:trPr>
        <w:tc>
          <w:tcPr>
            <w:tcW w:w="2430" w:type="dxa"/>
            <w:tcBorders>
              <w:top w:val="nil"/>
              <w:left w:val="nil"/>
              <w:bottom w:val="nil"/>
              <w:right w:val="nil"/>
            </w:tcBorders>
            <w:noWrap/>
            <w:vAlign w:val="center"/>
            <w:hideMark/>
          </w:tcPr>
          <w:p w14:paraId="78FBD9C6" w14:textId="77777777" w:rsidR="00A603AF" w:rsidRPr="00A603AF" w:rsidRDefault="00A603AF" w:rsidP="00A603AF">
            <w:pPr>
              <w:spacing w:after="0"/>
              <w:jc w:val="center"/>
              <w:rPr>
                <w:rFonts w:eastAsia="Times New Roman" w:cs="Times New Roman"/>
                <w:color w:val="000000"/>
                <w:sz w:val="20"/>
                <w:szCs w:val="20"/>
              </w:rPr>
            </w:pPr>
            <w:r w:rsidRPr="00A603AF">
              <w:rPr>
                <w:rFonts w:eastAsia="Times New Roman" w:cs="Times New Roman"/>
                <w:color w:val="000000"/>
                <w:sz w:val="20"/>
                <w:szCs w:val="20"/>
              </w:rPr>
              <w:t>Manganese</w:t>
            </w:r>
          </w:p>
        </w:tc>
        <w:tc>
          <w:tcPr>
            <w:tcW w:w="3150" w:type="dxa"/>
            <w:tcBorders>
              <w:top w:val="nil"/>
              <w:left w:val="nil"/>
              <w:bottom w:val="nil"/>
              <w:right w:val="nil"/>
            </w:tcBorders>
            <w:noWrap/>
            <w:vAlign w:val="bottom"/>
            <w:hideMark/>
          </w:tcPr>
          <w:p w14:paraId="70DE7A9D" w14:textId="77777777" w:rsidR="00A603AF" w:rsidRPr="00A603AF" w:rsidRDefault="00A603AF" w:rsidP="00A603AF">
            <w:pPr>
              <w:spacing w:after="0"/>
              <w:jc w:val="center"/>
              <w:rPr>
                <w:rFonts w:eastAsia="Times New Roman" w:cs="Times New Roman"/>
                <w:color w:val="000000"/>
                <w:sz w:val="20"/>
                <w:szCs w:val="20"/>
              </w:rPr>
            </w:pPr>
            <w:r w:rsidRPr="00A603AF">
              <w:rPr>
                <w:rFonts w:eastAsia="Times New Roman" w:cs="Times New Roman"/>
                <w:color w:val="000000"/>
                <w:sz w:val="20"/>
                <w:szCs w:val="20"/>
              </w:rPr>
              <w:t>Mn</w:t>
            </w:r>
          </w:p>
        </w:tc>
      </w:tr>
      <w:tr w:rsidR="00A603AF" w:rsidRPr="00A603AF" w14:paraId="5809C92C" w14:textId="77777777" w:rsidTr="00126239">
        <w:trPr>
          <w:trHeight w:val="245"/>
        </w:trPr>
        <w:tc>
          <w:tcPr>
            <w:tcW w:w="2430" w:type="dxa"/>
            <w:tcBorders>
              <w:top w:val="nil"/>
              <w:left w:val="nil"/>
              <w:bottom w:val="nil"/>
              <w:right w:val="nil"/>
            </w:tcBorders>
            <w:noWrap/>
            <w:vAlign w:val="center"/>
            <w:hideMark/>
          </w:tcPr>
          <w:p w14:paraId="4475F553" w14:textId="77777777" w:rsidR="00A603AF" w:rsidRPr="00A603AF" w:rsidRDefault="00A603AF" w:rsidP="00A603AF">
            <w:pPr>
              <w:spacing w:after="0"/>
              <w:jc w:val="center"/>
              <w:rPr>
                <w:rFonts w:eastAsia="Times New Roman" w:cs="Times New Roman"/>
                <w:color w:val="000000"/>
                <w:sz w:val="20"/>
                <w:szCs w:val="20"/>
              </w:rPr>
            </w:pPr>
            <w:r w:rsidRPr="00A603AF">
              <w:rPr>
                <w:rFonts w:eastAsia="Times New Roman" w:cs="Times New Roman"/>
                <w:color w:val="000000"/>
                <w:sz w:val="20"/>
                <w:szCs w:val="20"/>
              </w:rPr>
              <w:t>Tellurium</w:t>
            </w:r>
          </w:p>
        </w:tc>
        <w:tc>
          <w:tcPr>
            <w:tcW w:w="3150" w:type="dxa"/>
            <w:tcBorders>
              <w:top w:val="nil"/>
              <w:left w:val="nil"/>
              <w:bottom w:val="nil"/>
              <w:right w:val="nil"/>
            </w:tcBorders>
            <w:noWrap/>
            <w:vAlign w:val="bottom"/>
            <w:hideMark/>
          </w:tcPr>
          <w:p w14:paraId="7C515A80" w14:textId="77777777" w:rsidR="00A603AF" w:rsidRPr="00A603AF" w:rsidRDefault="00A603AF" w:rsidP="00A603AF">
            <w:pPr>
              <w:spacing w:after="0"/>
              <w:jc w:val="center"/>
              <w:rPr>
                <w:rFonts w:eastAsia="Times New Roman" w:cs="Times New Roman"/>
                <w:color w:val="000000"/>
                <w:sz w:val="20"/>
                <w:szCs w:val="20"/>
              </w:rPr>
            </w:pPr>
            <w:r w:rsidRPr="00A603AF">
              <w:rPr>
                <w:rFonts w:eastAsia="Times New Roman" w:cs="Times New Roman"/>
                <w:color w:val="000000"/>
                <w:sz w:val="20"/>
                <w:szCs w:val="20"/>
              </w:rPr>
              <w:t>Te</w:t>
            </w:r>
          </w:p>
        </w:tc>
      </w:tr>
      <w:tr w:rsidR="00A603AF" w:rsidRPr="00A603AF" w14:paraId="4CF34956" w14:textId="77777777" w:rsidTr="00126239">
        <w:trPr>
          <w:trHeight w:val="245"/>
        </w:trPr>
        <w:tc>
          <w:tcPr>
            <w:tcW w:w="2430" w:type="dxa"/>
            <w:tcBorders>
              <w:top w:val="nil"/>
              <w:left w:val="nil"/>
              <w:bottom w:val="nil"/>
              <w:right w:val="nil"/>
            </w:tcBorders>
            <w:noWrap/>
            <w:vAlign w:val="bottom"/>
            <w:hideMark/>
          </w:tcPr>
          <w:p w14:paraId="0A7793C0" w14:textId="77777777" w:rsidR="00A603AF" w:rsidRPr="00A603AF" w:rsidRDefault="00A603AF" w:rsidP="00A603AF">
            <w:pPr>
              <w:spacing w:after="0"/>
              <w:jc w:val="center"/>
              <w:rPr>
                <w:rFonts w:eastAsia="Times New Roman" w:cs="Times New Roman"/>
                <w:color w:val="000000"/>
                <w:sz w:val="20"/>
                <w:szCs w:val="20"/>
              </w:rPr>
            </w:pPr>
            <w:r w:rsidRPr="00A603AF">
              <w:rPr>
                <w:rFonts w:eastAsia="Times New Roman" w:cs="Times New Roman"/>
                <w:color w:val="000000"/>
                <w:sz w:val="20"/>
                <w:szCs w:val="20"/>
              </w:rPr>
              <w:t xml:space="preserve">Tungsten </w:t>
            </w:r>
          </w:p>
        </w:tc>
        <w:tc>
          <w:tcPr>
            <w:tcW w:w="3150" w:type="dxa"/>
            <w:tcBorders>
              <w:top w:val="nil"/>
              <w:left w:val="nil"/>
              <w:bottom w:val="nil"/>
              <w:right w:val="nil"/>
            </w:tcBorders>
            <w:noWrap/>
            <w:vAlign w:val="bottom"/>
            <w:hideMark/>
          </w:tcPr>
          <w:p w14:paraId="286BDC68" w14:textId="77777777" w:rsidR="00A603AF" w:rsidRPr="00A603AF" w:rsidRDefault="00A603AF" w:rsidP="00A603AF">
            <w:pPr>
              <w:spacing w:after="0"/>
              <w:jc w:val="center"/>
              <w:rPr>
                <w:rFonts w:eastAsia="Times New Roman" w:cs="Times New Roman"/>
                <w:color w:val="000000"/>
                <w:sz w:val="20"/>
                <w:szCs w:val="20"/>
              </w:rPr>
            </w:pPr>
            <w:r w:rsidRPr="00A603AF">
              <w:rPr>
                <w:rFonts w:eastAsia="Times New Roman" w:cs="Times New Roman"/>
                <w:color w:val="000000"/>
                <w:sz w:val="20"/>
                <w:szCs w:val="20"/>
              </w:rPr>
              <w:t>W</w:t>
            </w:r>
          </w:p>
        </w:tc>
      </w:tr>
      <w:tr w:rsidR="00A603AF" w:rsidRPr="00A603AF" w14:paraId="49D2CC3B" w14:textId="77777777" w:rsidTr="005871C8">
        <w:trPr>
          <w:trHeight w:val="57"/>
        </w:trPr>
        <w:tc>
          <w:tcPr>
            <w:tcW w:w="2430" w:type="dxa"/>
            <w:tcBorders>
              <w:top w:val="nil"/>
              <w:left w:val="nil"/>
              <w:bottom w:val="nil"/>
              <w:right w:val="nil"/>
            </w:tcBorders>
            <w:noWrap/>
            <w:vAlign w:val="center"/>
            <w:hideMark/>
          </w:tcPr>
          <w:p w14:paraId="2C5153FE" w14:textId="77777777" w:rsidR="00A603AF" w:rsidRPr="00A603AF" w:rsidRDefault="00A603AF" w:rsidP="00A603AF">
            <w:pPr>
              <w:spacing w:after="0"/>
              <w:jc w:val="center"/>
              <w:rPr>
                <w:rFonts w:eastAsia="Times New Roman" w:cs="Times New Roman"/>
                <w:color w:val="000000"/>
                <w:sz w:val="20"/>
                <w:szCs w:val="20"/>
              </w:rPr>
            </w:pPr>
            <w:r w:rsidRPr="00A603AF">
              <w:rPr>
                <w:rFonts w:eastAsia="Times New Roman" w:cs="Times New Roman"/>
                <w:color w:val="000000"/>
                <w:sz w:val="20"/>
                <w:szCs w:val="20"/>
              </w:rPr>
              <w:t>Vanadium</w:t>
            </w:r>
          </w:p>
        </w:tc>
        <w:tc>
          <w:tcPr>
            <w:tcW w:w="3150" w:type="dxa"/>
            <w:tcBorders>
              <w:top w:val="nil"/>
              <w:left w:val="nil"/>
              <w:bottom w:val="nil"/>
              <w:right w:val="nil"/>
            </w:tcBorders>
            <w:noWrap/>
            <w:vAlign w:val="bottom"/>
            <w:hideMark/>
          </w:tcPr>
          <w:p w14:paraId="470FF264" w14:textId="77777777" w:rsidR="00A603AF" w:rsidRPr="00A603AF" w:rsidRDefault="00A603AF" w:rsidP="00A603AF">
            <w:pPr>
              <w:spacing w:after="0"/>
              <w:jc w:val="center"/>
              <w:rPr>
                <w:rFonts w:eastAsia="Times New Roman" w:cs="Times New Roman"/>
                <w:color w:val="000000"/>
                <w:sz w:val="20"/>
                <w:szCs w:val="20"/>
              </w:rPr>
            </w:pPr>
            <w:r w:rsidRPr="00A603AF">
              <w:rPr>
                <w:rFonts w:eastAsia="Times New Roman" w:cs="Times New Roman"/>
                <w:color w:val="000000"/>
                <w:sz w:val="20"/>
                <w:szCs w:val="20"/>
              </w:rPr>
              <w:t>V</w:t>
            </w:r>
          </w:p>
        </w:tc>
      </w:tr>
      <w:tr w:rsidR="00A603AF" w:rsidRPr="00A603AF" w14:paraId="67DC0515" w14:textId="77777777" w:rsidTr="00126239">
        <w:trPr>
          <w:trHeight w:val="245"/>
        </w:trPr>
        <w:tc>
          <w:tcPr>
            <w:tcW w:w="2430" w:type="dxa"/>
            <w:tcBorders>
              <w:top w:val="nil"/>
              <w:left w:val="nil"/>
              <w:bottom w:val="nil"/>
              <w:right w:val="nil"/>
            </w:tcBorders>
            <w:noWrap/>
            <w:vAlign w:val="center"/>
            <w:hideMark/>
          </w:tcPr>
          <w:p w14:paraId="36F1CE79" w14:textId="77777777" w:rsidR="00A603AF" w:rsidRPr="00A603AF" w:rsidRDefault="00A603AF" w:rsidP="00A603AF">
            <w:pPr>
              <w:spacing w:after="0"/>
              <w:jc w:val="center"/>
              <w:rPr>
                <w:rFonts w:eastAsia="Times New Roman" w:cs="Times New Roman"/>
                <w:color w:val="000000"/>
                <w:sz w:val="20"/>
                <w:szCs w:val="20"/>
              </w:rPr>
            </w:pPr>
            <w:r w:rsidRPr="00A603AF">
              <w:rPr>
                <w:rFonts w:eastAsia="Times New Roman" w:cs="Times New Roman"/>
                <w:color w:val="000000"/>
                <w:sz w:val="20"/>
                <w:szCs w:val="20"/>
              </w:rPr>
              <w:t>Zinc</w:t>
            </w:r>
          </w:p>
        </w:tc>
        <w:tc>
          <w:tcPr>
            <w:tcW w:w="3150" w:type="dxa"/>
            <w:tcBorders>
              <w:top w:val="nil"/>
              <w:left w:val="nil"/>
              <w:bottom w:val="nil"/>
              <w:right w:val="nil"/>
            </w:tcBorders>
            <w:noWrap/>
            <w:vAlign w:val="bottom"/>
            <w:hideMark/>
          </w:tcPr>
          <w:p w14:paraId="758AC608" w14:textId="77777777" w:rsidR="00A603AF" w:rsidRPr="00A603AF" w:rsidRDefault="00A603AF" w:rsidP="00A603AF">
            <w:pPr>
              <w:spacing w:after="0"/>
              <w:jc w:val="center"/>
              <w:rPr>
                <w:rFonts w:eastAsia="Times New Roman" w:cs="Times New Roman"/>
                <w:color w:val="000000"/>
                <w:sz w:val="20"/>
                <w:szCs w:val="20"/>
              </w:rPr>
            </w:pPr>
            <w:r w:rsidRPr="00A603AF">
              <w:rPr>
                <w:rFonts w:eastAsia="Times New Roman" w:cs="Times New Roman"/>
                <w:color w:val="000000"/>
                <w:sz w:val="20"/>
                <w:szCs w:val="20"/>
              </w:rPr>
              <w:t>Zn</w:t>
            </w:r>
          </w:p>
        </w:tc>
      </w:tr>
      <w:tr w:rsidR="00A603AF" w:rsidRPr="00A603AF" w14:paraId="0E34FF35" w14:textId="77777777" w:rsidTr="005871C8">
        <w:trPr>
          <w:trHeight w:val="57"/>
        </w:trPr>
        <w:tc>
          <w:tcPr>
            <w:tcW w:w="2430" w:type="dxa"/>
            <w:tcBorders>
              <w:top w:val="nil"/>
              <w:left w:val="nil"/>
              <w:bottom w:val="nil"/>
              <w:right w:val="nil"/>
            </w:tcBorders>
            <w:noWrap/>
            <w:vAlign w:val="center"/>
            <w:hideMark/>
          </w:tcPr>
          <w:p w14:paraId="7EBBF148" w14:textId="77777777" w:rsidR="00A603AF" w:rsidRPr="00A603AF" w:rsidRDefault="00A603AF" w:rsidP="00A603AF">
            <w:pPr>
              <w:spacing w:after="0"/>
              <w:jc w:val="center"/>
              <w:rPr>
                <w:rFonts w:eastAsia="Times New Roman" w:cs="Times New Roman"/>
                <w:color w:val="000000"/>
                <w:sz w:val="20"/>
                <w:szCs w:val="20"/>
              </w:rPr>
            </w:pPr>
          </w:p>
        </w:tc>
        <w:tc>
          <w:tcPr>
            <w:tcW w:w="3150" w:type="dxa"/>
            <w:tcBorders>
              <w:top w:val="nil"/>
              <w:left w:val="nil"/>
              <w:bottom w:val="nil"/>
              <w:right w:val="nil"/>
            </w:tcBorders>
            <w:noWrap/>
            <w:vAlign w:val="bottom"/>
            <w:hideMark/>
          </w:tcPr>
          <w:p w14:paraId="0B2464A0" w14:textId="77777777" w:rsidR="00A603AF" w:rsidRPr="00A603AF" w:rsidRDefault="00A603AF" w:rsidP="00A603AF">
            <w:pPr>
              <w:spacing w:after="0"/>
              <w:jc w:val="center"/>
              <w:rPr>
                <w:rFonts w:eastAsia="Times New Roman" w:cs="Times New Roman"/>
                <w:sz w:val="20"/>
                <w:szCs w:val="20"/>
              </w:rPr>
            </w:pPr>
          </w:p>
        </w:tc>
      </w:tr>
      <w:tr w:rsidR="00A603AF" w:rsidRPr="00A603AF" w14:paraId="26DA8D1F" w14:textId="77777777" w:rsidTr="005871C8">
        <w:trPr>
          <w:trHeight w:val="153"/>
        </w:trPr>
        <w:tc>
          <w:tcPr>
            <w:tcW w:w="2430" w:type="dxa"/>
            <w:tcBorders>
              <w:top w:val="nil"/>
              <w:left w:val="nil"/>
              <w:bottom w:val="double" w:sz="6" w:space="0" w:color="auto"/>
              <w:right w:val="nil"/>
            </w:tcBorders>
            <w:vAlign w:val="bottom"/>
            <w:hideMark/>
          </w:tcPr>
          <w:p w14:paraId="222F46C2" w14:textId="77777777" w:rsidR="00A603AF" w:rsidRPr="00A603AF" w:rsidRDefault="00A603AF" w:rsidP="00126239">
            <w:pPr>
              <w:spacing w:after="0"/>
              <w:ind w:firstLine="0"/>
              <w:rPr>
                <w:rFonts w:eastAsia="Times New Roman" w:cs="Times New Roman"/>
                <w:b/>
                <w:bCs/>
                <w:color w:val="000000"/>
                <w:sz w:val="20"/>
                <w:szCs w:val="20"/>
              </w:rPr>
            </w:pPr>
            <w:r w:rsidRPr="00A603AF">
              <w:rPr>
                <w:rFonts w:eastAsia="Times New Roman" w:cs="Times New Roman"/>
                <w:b/>
                <w:bCs/>
                <w:color w:val="000000"/>
                <w:sz w:val="20"/>
                <w:szCs w:val="20"/>
              </w:rPr>
              <w:t>Non-Critical Commodity</w:t>
            </w:r>
          </w:p>
        </w:tc>
        <w:tc>
          <w:tcPr>
            <w:tcW w:w="3150" w:type="dxa"/>
            <w:tcBorders>
              <w:top w:val="nil"/>
              <w:left w:val="nil"/>
              <w:bottom w:val="double" w:sz="6" w:space="0" w:color="auto"/>
              <w:right w:val="nil"/>
            </w:tcBorders>
            <w:vAlign w:val="bottom"/>
            <w:hideMark/>
          </w:tcPr>
          <w:p w14:paraId="0ABA444A" w14:textId="77777777" w:rsidR="00A603AF" w:rsidRPr="00A603AF" w:rsidRDefault="00A603AF" w:rsidP="00A603AF">
            <w:pPr>
              <w:spacing w:after="0"/>
              <w:jc w:val="center"/>
              <w:rPr>
                <w:rFonts w:eastAsia="Times New Roman" w:cs="Times New Roman"/>
                <w:b/>
                <w:bCs/>
                <w:color w:val="000000"/>
                <w:sz w:val="20"/>
                <w:szCs w:val="20"/>
              </w:rPr>
            </w:pPr>
            <w:r w:rsidRPr="00A603AF">
              <w:rPr>
                <w:rFonts w:eastAsia="Times New Roman" w:cs="Times New Roman"/>
                <w:b/>
                <w:bCs/>
                <w:color w:val="000000"/>
                <w:sz w:val="20"/>
                <w:szCs w:val="20"/>
              </w:rPr>
              <w:t>Chemical Symbol</w:t>
            </w:r>
          </w:p>
        </w:tc>
      </w:tr>
      <w:tr w:rsidR="00A603AF" w:rsidRPr="00A603AF" w14:paraId="4AB74B57" w14:textId="77777777" w:rsidTr="00126239">
        <w:trPr>
          <w:trHeight w:val="245"/>
        </w:trPr>
        <w:tc>
          <w:tcPr>
            <w:tcW w:w="2430" w:type="dxa"/>
            <w:tcBorders>
              <w:top w:val="nil"/>
              <w:left w:val="nil"/>
              <w:bottom w:val="nil"/>
              <w:right w:val="nil"/>
            </w:tcBorders>
            <w:noWrap/>
            <w:vAlign w:val="center"/>
            <w:hideMark/>
          </w:tcPr>
          <w:p w14:paraId="2964A79E" w14:textId="77777777" w:rsidR="00A603AF" w:rsidRPr="00A603AF" w:rsidRDefault="00A603AF" w:rsidP="00A603AF">
            <w:pPr>
              <w:spacing w:after="0"/>
              <w:jc w:val="center"/>
              <w:rPr>
                <w:rFonts w:eastAsia="Times New Roman" w:cs="Times New Roman"/>
                <w:color w:val="000000"/>
                <w:sz w:val="20"/>
                <w:szCs w:val="20"/>
              </w:rPr>
            </w:pPr>
            <w:r w:rsidRPr="00A603AF">
              <w:rPr>
                <w:rFonts w:eastAsia="Times New Roman" w:cs="Times New Roman"/>
                <w:color w:val="000000"/>
                <w:sz w:val="20"/>
                <w:szCs w:val="20"/>
              </w:rPr>
              <w:t>Gold</w:t>
            </w:r>
          </w:p>
        </w:tc>
        <w:tc>
          <w:tcPr>
            <w:tcW w:w="3150" w:type="dxa"/>
            <w:tcBorders>
              <w:top w:val="nil"/>
              <w:left w:val="nil"/>
              <w:bottom w:val="nil"/>
              <w:right w:val="nil"/>
            </w:tcBorders>
            <w:noWrap/>
            <w:vAlign w:val="bottom"/>
            <w:hideMark/>
          </w:tcPr>
          <w:p w14:paraId="157F2B92" w14:textId="77777777" w:rsidR="00A603AF" w:rsidRPr="00A603AF" w:rsidRDefault="00A603AF" w:rsidP="00A603AF">
            <w:pPr>
              <w:spacing w:after="0"/>
              <w:jc w:val="center"/>
              <w:rPr>
                <w:rFonts w:eastAsia="Times New Roman" w:cs="Times New Roman"/>
                <w:color w:val="000000"/>
                <w:sz w:val="20"/>
                <w:szCs w:val="20"/>
              </w:rPr>
            </w:pPr>
            <w:r w:rsidRPr="00A603AF">
              <w:rPr>
                <w:rFonts w:eastAsia="Times New Roman" w:cs="Times New Roman"/>
                <w:color w:val="000000"/>
                <w:sz w:val="20"/>
                <w:szCs w:val="20"/>
              </w:rPr>
              <w:t>Au</w:t>
            </w:r>
          </w:p>
        </w:tc>
      </w:tr>
      <w:tr w:rsidR="00A603AF" w:rsidRPr="00A603AF" w14:paraId="2A97FDBC" w14:textId="77777777" w:rsidTr="005871C8">
        <w:trPr>
          <w:trHeight w:val="57"/>
        </w:trPr>
        <w:tc>
          <w:tcPr>
            <w:tcW w:w="2430" w:type="dxa"/>
            <w:tcBorders>
              <w:top w:val="nil"/>
              <w:left w:val="nil"/>
              <w:bottom w:val="single" w:sz="4" w:space="0" w:color="auto"/>
              <w:right w:val="nil"/>
            </w:tcBorders>
            <w:noWrap/>
            <w:vAlign w:val="center"/>
            <w:hideMark/>
          </w:tcPr>
          <w:p w14:paraId="74D2377F" w14:textId="77777777" w:rsidR="00A603AF" w:rsidRPr="00A603AF" w:rsidRDefault="00A603AF" w:rsidP="00A603AF">
            <w:pPr>
              <w:spacing w:after="0"/>
              <w:jc w:val="center"/>
              <w:rPr>
                <w:rFonts w:eastAsia="Times New Roman" w:cs="Times New Roman"/>
                <w:color w:val="000000"/>
                <w:sz w:val="20"/>
                <w:szCs w:val="20"/>
              </w:rPr>
            </w:pPr>
            <w:r w:rsidRPr="00A603AF">
              <w:rPr>
                <w:rFonts w:eastAsia="Times New Roman" w:cs="Times New Roman"/>
                <w:color w:val="000000"/>
                <w:sz w:val="20"/>
                <w:szCs w:val="20"/>
              </w:rPr>
              <w:t>Silver</w:t>
            </w:r>
          </w:p>
        </w:tc>
        <w:tc>
          <w:tcPr>
            <w:tcW w:w="3150" w:type="dxa"/>
            <w:tcBorders>
              <w:top w:val="nil"/>
              <w:left w:val="nil"/>
              <w:bottom w:val="single" w:sz="4" w:space="0" w:color="auto"/>
              <w:right w:val="nil"/>
            </w:tcBorders>
            <w:noWrap/>
            <w:vAlign w:val="bottom"/>
            <w:hideMark/>
          </w:tcPr>
          <w:p w14:paraId="3FA7FCBF" w14:textId="77777777" w:rsidR="00A603AF" w:rsidRPr="00A603AF" w:rsidRDefault="00A603AF" w:rsidP="00A603AF">
            <w:pPr>
              <w:spacing w:after="0"/>
              <w:jc w:val="center"/>
              <w:rPr>
                <w:rFonts w:eastAsia="Times New Roman" w:cs="Times New Roman"/>
                <w:color w:val="000000"/>
                <w:sz w:val="20"/>
                <w:szCs w:val="20"/>
              </w:rPr>
            </w:pPr>
            <w:r w:rsidRPr="00A603AF">
              <w:rPr>
                <w:rFonts w:eastAsia="Times New Roman" w:cs="Times New Roman"/>
                <w:color w:val="000000"/>
                <w:sz w:val="20"/>
                <w:szCs w:val="20"/>
              </w:rPr>
              <w:t>Ag</w:t>
            </w:r>
          </w:p>
        </w:tc>
      </w:tr>
      <w:tr w:rsidR="00A603AF" w:rsidRPr="00A603AF" w14:paraId="77D11C58" w14:textId="77777777" w:rsidTr="00126239">
        <w:trPr>
          <w:trHeight w:val="197"/>
        </w:trPr>
        <w:tc>
          <w:tcPr>
            <w:tcW w:w="5580" w:type="dxa"/>
            <w:gridSpan w:val="2"/>
            <w:tcBorders>
              <w:top w:val="single" w:sz="4" w:space="0" w:color="auto"/>
              <w:left w:val="nil"/>
              <w:bottom w:val="nil"/>
              <w:right w:val="nil"/>
            </w:tcBorders>
            <w:hideMark/>
          </w:tcPr>
          <w:p w14:paraId="32DFD573" w14:textId="77777777" w:rsidR="00A603AF" w:rsidRDefault="00A603AF" w:rsidP="00354281">
            <w:pPr>
              <w:pStyle w:val="Caption1"/>
            </w:pPr>
            <w:r w:rsidRPr="00A603AF">
              <w:t>*Used as a proxy for the critical mineral, fluorspar</w:t>
            </w:r>
          </w:p>
          <w:p w14:paraId="7F05ABB0" w14:textId="77777777" w:rsidR="005871C8" w:rsidRDefault="005871C8" w:rsidP="005871C8">
            <w:pPr>
              <w:ind w:firstLine="0"/>
            </w:pPr>
          </w:p>
          <w:p w14:paraId="23EDE0AD" w14:textId="77777777" w:rsidR="006358A6" w:rsidRPr="00A603AF" w:rsidRDefault="006358A6" w:rsidP="006358A6"/>
        </w:tc>
      </w:tr>
    </w:tbl>
    <w:p w14:paraId="3DDCEEC3" w14:textId="15258675" w:rsidR="006358A6" w:rsidRDefault="006358A6" w:rsidP="006358A6">
      <w:pPr>
        <w:ind w:firstLine="0"/>
      </w:pPr>
      <w:r w:rsidRPr="00FA4EF4">
        <w:lastRenderedPageBreak/>
        <w:t>reflected regolith instead of tailings. For NCGS-TQ-C1, this aligns with reports that the tailings had been previously moved out of the pond.</w:t>
      </w:r>
    </w:p>
    <w:p w14:paraId="1D8A919C" w14:textId="103AE12B" w:rsidR="00342EE1" w:rsidRPr="00FA4EF4" w:rsidRDefault="00342EE1" w:rsidP="00354281">
      <w:pPr>
        <w:pStyle w:val="Heading2"/>
      </w:pPr>
      <w:bookmarkStart w:id="6" w:name="_Toc222230011"/>
      <w:r w:rsidRPr="00FA4EF4">
        <w:t>4.1 Critical Minerals</w:t>
      </w:r>
      <w:bookmarkEnd w:id="6"/>
      <w:r w:rsidR="00F71C67" w:rsidRPr="00FA4EF4">
        <w:t xml:space="preserve"> </w:t>
      </w:r>
    </w:p>
    <w:p w14:paraId="480BF98F" w14:textId="77777777" w:rsidR="001A5376" w:rsidRPr="00CC4E34" w:rsidRDefault="001A5376" w:rsidP="00EC61CD">
      <w:pPr>
        <w:rPr>
          <w:rFonts w:cs="Times New Roman"/>
          <w:i/>
          <w:iCs/>
          <w:color w:val="000000"/>
          <w:szCs w:val="24"/>
        </w:rPr>
      </w:pPr>
      <w:r w:rsidRPr="00CC4E34">
        <w:rPr>
          <w:rFonts w:cs="Times New Roman"/>
          <w:i/>
          <w:iCs/>
          <w:color w:val="000000"/>
          <w:szCs w:val="24"/>
        </w:rPr>
        <w:t>Fluorine (Proxy for Fluorite/Fluorspar)</w:t>
      </w:r>
    </w:p>
    <w:p w14:paraId="78257B89" w14:textId="3FB77586" w:rsidR="0038616C" w:rsidRDefault="00542D5A" w:rsidP="002C492A">
      <w:r>
        <w:rPr>
          <w:color w:val="000000"/>
        </w:rPr>
        <w:t>Concentrations of F in c</w:t>
      </w:r>
      <w:r w:rsidR="001A5376" w:rsidRPr="00FA4EF4">
        <w:rPr>
          <w:color w:val="000000"/>
        </w:rPr>
        <w:t>omposite sample</w:t>
      </w:r>
      <w:r>
        <w:rPr>
          <w:color w:val="000000"/>
        </w:rPr>
        <w:t>s</w:t>
      </w:r>
      <w:r w:rsidR="001A5376" w:rsidRPr="00FA4EF4">
        <w:rPr>
          <w:color w:val="000000"/>
        </w:rPr>
        <w:t xml:space="preserve"> range from 1.082 to 1.8957</w:t>
      </w:r>
      <w:r w:rsidR="00AE1C8C" w:rsidRPr="00FA4EF4">
        <w:rPr>
          <w:color w:val="000000"/>
        </w:rPr>
        <w:t xml:space="preserve"> </w:t>
      </w:r>
      <w:r w:rsidR="002C0F81" w:rsidRPr="00FA4EF4">
        <w:rPr>
          <w:color w:val="000000"/>
        </w:rPr>
        <w:t>wt%</w:t>
      </w:r>
      <w:r w:rsidR="002C0F81" w:rsidRPr="00FA4EF4">
        <w:t xml:space="preserve"> </w:t>
      </w:r>
      <w:r w:rsidR="005E1216" w:rsidRPr="00FA4EF4">
        <w:t>(</w:t>
      </w:r>
      <w:r w:rsidR="005174D3" w:rsidRPr="00FA4EF4">
        <w:t>Figure 3</w:t>
      </w:r>
      <w:r w:rsidR="002233F9" w:rsidRPr="00FA4EF4">
        <w:t>a</w:t>
      </w:r>
      <w:r w:rsidR="005E1216" w:rsidRPr="00FA4EF4">
        <w:t>)</w:t>
      </w:r>
      <w:r w:rsidR="001A5376" w:rsidRPr="00FA4EF4">
        <w:t>, with</w:t>
      </w:r>
      <w:r w:rsidR="00191D94" w:rsidRPr="00FA4EF4">
        <w:t xml:space="preserve"> a mean of</w:t>
      </w:r>
      <w:r w:rsidR="001A5376" w:rsidRPr="00FA4EF4">
        <w:t xml:space="preserve"> </w:t>
      </w:r>
      <w:r w:rsidR="0076588F" w:rsidRPr="00FA4EF4">
        <w:t>1.5856</w:t>
      </w:r>
      <w:r w:rsidR="006B2FAF" w:rsidRPr="00FA4EF4">
        <w:t xml:space="preserve"> wt% and </w:t>
      </w:r>
      <w:r w:rsidR="006075CD" w:rsidRPr="00FA4EF4">
        <w:t xml:space="preserve">a </w:t>
      </w:r>
      <w:r w:rsidR="006B2FAF" w:rsidRPr="00FA4EF4">
        <w:t xml:space="preserve">median </w:t>
      </w:r>
      <w:r w:rsidR="006075CD" w:rsidRPr="00FA4EF4">
        <w:t xml:space="preserve">of </w:t>
      </w:r>
      <w:r w:rsidR="00C46F05" w:rsidRPr="00FA4EF4">
        <w:t>1.6744</w:t>
      </w:r>
      <w:r w:rsidR="004402FC" w:rsidRPr="00FA4EF4">
        <w:t xml:space="preserve"> </w:t>
      </w:r>
      <w:r w:rsidR="006075CD" w:rsidRPr="00FA4EF4">
        <w:t>wt%.</w:t>
      </w:r>
      <w:r w:rsidR="001A5376" w:rsidRPr="00FA4EF4">
        <w:t xml:space="preserve"> </w:t>
      </w:r>
      <w:r w:rsidR="006B2FAF" w:rsidRPr="00FA4EF4">
        <w:t xml:space="preserve">The highest concentrations are </w:t>
      </w:r>
      <w:r w:rsidR="001A5376" w:rsidRPr="00FA4EF4">
        <w:t xml:space="preserve">in </w:t>
      </w:r>
      <w:r w:rsidR="00345371" w:rsidRPr="00FA4EF4">
        <w:t>NCGS-TQ-C6</w:t>
      </w:r>
      <w:r w:rsidR="00960AA2" w:rsidRPr="00FA4EF4">
        <w:t xml:space="preserve"> (1.8957 wt%)</w:t>
      </w:r>
      <w:r w:rsidR="001A5376" w:rsidRPr="00FA4EF4">
        <w:t xml:space="preserve">, located in the </w:t>
      </w:r>
      <w:r w:rsidR="0083229B" w:rsidRPr="00FA4EF4">
        <w:t>north</w:t>
      </w:r>
      <w:r w:rsidR="001A5376" w:rsidRPr="00FA4EF4">
        <w:t xml:space="preserve">eastern portion of </w:t>
      </w:r>
      <w:r w:rsidR="00F82AD4" w:rsidRPr="00FA4EF4">
        <w:t>tailings pond 2</w:t>
      </w:r>
      <w:r w:rsidR="00654544" w:rsidRPr="00FA4EF4">
        <w:t>,</w:t>
      </w:r>
      <w:r w:rsidR="001A5376" w:rsidRPr="00FA4EF4">
        <w:t xml:space="preserve"> and </w:t>
      </w:r>
      <w:r w:rsidR="00345371" w:rsidRPr="00FA4EF4">
        <w:t>NCGS-TQ-C</w:t>
      </w:r>
      <w:r w:rsidR="00BF0BE3" w:rsidRPr="00FA4EF4">
        <w:t>7</w:t>
      </w:r>
      <w:r w:rsidR="00960AA2" w:rsidRPr="00FA4EF4">
        <w:t xml:space="preserve"> (</w:t>
      </w:r>
      <w:r w:rsidR="009A25B5" w:rsidRPr="00FA4EF4">
        <w:t>1.8882 wt%)</w:t>
      </w:r>
      <w:r w:rsidR="001A5376" w:rsidRPr="00FA4EF4">
        <w:t xml:space="preserve">, located in the southern portion of </w:t>
      </w:r>
      <w:r w:rsidR="00F82AD4" w:rsidRPr="00FA4EF4">
        <w:t>tailings pond 3</w:t>
      </w:r>
      <w:r w:rsidR="001A5376" w:rsidRPr="00FA4EF4">
        <w:t xml:space="preserve"> (</w:t>
      </w:r>
      <w:r w:rsidR="005174D3" w:rsidRPr="00FA4EF4">
        <w:t>Figure 3</w:t>
      </w:r>
      <w:r w:rsidR="005E05F1" w:rsidRPr="00FA4EF4">
        <w:t>b</w:t>
      </w:r>
      <w:r w:rsidR="001A5376" w:rsidRPr="00FA4EF4">
        <w:t>).</w:t>
      </w:r>
    </w:p>
    <w:p w14:paraId="385FAF8A" w14:textId="77777777" w:rsidR="00935D9F" w:rsidRDefault="00935D9F" w:rsidP="00935D9F">
      <w:r w:rsidRPr="00FA4EF4">
        <w:rPr>
          <w:color w:val="000000"/>
        </w:rPr>
        <w:t>Grab sample F concentrations range from 0</w:t>
      </w:r>
      <w:r w:rsidRPr="00FA4EF4">
        <w:t>.9029 to 2.3449 wt%, although most samples fall within the same range as the composite samples. The mean concentration is 1.4251 wt% while the median is 1.2571 wt%. Samples NCGS-TQ-G3-28-30 (2.3449 wt%) and NCGS-TQ-G2-0-4 (2.0114 wt%) contain the highest grab sample F concentrations</w:t>
      </w:r>
      <w:r>
        <w:t xml:space="preserve"> (Figure 3a)</w:t>
      </w:r>
      <w:r w:rsidRPr="00FA4EF4">
        <w:t>.</w:t>
      </w:r>
    </w:p>
    <w:p w14:paraId="47145F4B" w14:textId="2BE8B584" w:rsidR="00D47895" w:rsidRPr="00FA4EF4" w:rsidRDefault="00D47895" w:rsidP="00D47895">
      <w:r w:rsidRPr="00FA4EF4">
        <w:t>Drill cores span the widest compositional range, from 0.9006 to 9.3162 wt% F, and have a mean value of 2.6910 wt% and a median of 2.1291 wt%</w:t>
      </w:r>
      <w:r>
        <w:t xml:space="preserve"> (Figure 4)</w:t>
      </w:r>
      <w:r w:rsidRPr="00FA4EF4">
        <w:t xml:space="preserve">. The highest core sample </w:t>
      </w:r>
    </w:p>
    <w:p w14:paraId="39C3C151" w14:textId="217C148C" w:rsidR="001A5376" w:rsidRDefault="00721114" w:rsidP="006358A6">
      <w:pPr>
        <w:ind w:firstLine="0"/>
        <w:rPr>
          <w:rStyle w:val="Caption1Char"/>
        </w:rPr>
      </w:pPr>
      <w:r>
        <w:rPr>
          <w:rFonts w:cs="Times New Roman"/>
          <w:noProof/>
          <w:szCs w:val="24"/>
          <w14:ligatures w14:val="standardContextual"/>
        </w:rPr>
        <w:drawing>
          <wp:inline distT="0" distB="0" distL="0" distR="0" wp14:anchorId="4D11619A" wp14:editId="66859EBC">
            <wp:extent cx="5650875" cy="2630385"/>
            <wp:effectExtent l="0" t="0" r="6985" b="0"/>
            <wp:docPr id="1362021108" name="Picture 3" descr="A picture containing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021108" name="Picture 3" descr="A picture containing map&#10;&#10;AI-generated content may be incorrect."/>
                    <pic:cNvPicPr/>
                  </pic:nvPicPr>
                  <pic:blipFill rotWithShape="1">
                    <a:blip r:embed="rId14" cstate="print">
                      <a:extLst>
                        <a:ext uri="{28A0092B-C50C-407E-A947-70E740481C1C}">
                          <a14:useLocalDpi xmlns:a14="http://schemas.microsoft.com/office/drawing/2010/main" val="0"/>
                        </a:ext>
                      </a:extLst>
                    </a:blip>
                    <a:srcRect t="1183" b="5719"/>
                    <a:stretch/>
                  </pic:blipFill>
                  <pic:spPr bwMode="auto">
                    <a:xfrm>
                      <a:off x="0" y="0"/>
                      <a:ext cx="5669086" cy="2638862"/>
                    </a:xfrm>
                    <a:prstGeom prst="rect">
                      <a:avLst/>
                    </a:prstGeom>
                    <a:ln>
                      <a:noFill/>
                    </a:ln>
                    <a:extLst>
                      <a:ext uri="{53640926-AAD7-44D8-BBD7-CCE9431645EC}">
                        <a14:shadowObscured xmlns:a14="http://schemas.microsoft.com/office/drawing/2010/main"/>
                      </a:ext>
                    </a:extLst>
                  </pic:spPr>
                </pic:pic>
              </a:graphicData>
            </a:graphic>
          </wp:inline>
        </w:drawing>
      </w:r>
      <w:r w:rsidR="005174D3" w:rsidRPr="002C492A">
        <w:rPr>
          <w:rStyle w:val="Caption1Char"/>
        </w:rPr>
        <w:t>Figure 3</w:t>
      </w:r>
      <w:r w:rsidR="00946581" w:rsidRPr="002C492A">
        <w:rPr>
          <w:rStyle w:val="Caption1Char"/>
        </w:rPr>
        <w:t>.</w:t>
      </w:r>
      <w:r w:rsidR="000202C5" w:rsidRPr="002C492A">
        <w:rPr>
          <w:rStyle w:val="Caption1Char"/>
        </w:rPr>
        <w:t xml:space="preserve"> a. F </w:t>
      </w:r>
      <w:r w:rsidR="00131556" w:rsidRPr="002C492A">
        <w:rPr>
          <w:rStyle w:val="Caption1Char"/>
        </w:rPr>
        <w:t xml:space="preserve">concentration </w:t>
      </w:r>
      <w:r w:rsidR="000202C5" w:rsidRPr="002C492A">
        <w:rPr>
          <w:rStyle w:val="Caption1Char"/>
        </w:rPr>
        <w:t xml:space="preserve">versus depth for composite and grab samples. b. </w:t>
      </w:r>
      <w:r w:rsidR="006B386D" w:rsidRPr="002C492A">
        <w:rPr>
          <w:rStyle w:val="Caption1Char"/>
        </w:rPr>
        <w:t xml:space="preserve">Heat map for F </w:t>
      </w:r>
      <w:r w:rsidR="006979A1" w:rsidRPr="002C492A">
        <w:rPr>
          <w:rStyle w:val="Caption1Char"/>
        </w:rPr>
        <w:t>concentration</w:t>
      </w:r>
      <w:r w:rsidR="002236C7" w:rsidRPr="002C492A">
        <w:rPr>
          <w:rStyle w:val="Caption1Char"/>
        </w:rPr>
        <w:t xml:space="preserve"> (wt%)</w:t>
      </w:r>
      <w:r w:rsidR="006979A1" w:rsidRPr="002C492A">
        <w:rPr>
          <w:rStyle w:val="Caption1Char"/>
        </w:rPr>
        <w:t xml:space="preserve"> </w:t>
      </w:r>
      <w:r w:rsidR="006B386D" w:rsidRPr="002C492A">
        <w:rPr>
          <w:rStyle w:val="Caption1Char"/>
        </w:rPr>
        <w:t xml:space="preserve">in composite samples. </w:t>
      </w:r>
      <w:r w:rsidR="006979A1" w:rsidRPr="002C492A">
        <w:rPr>
          <w:rStyle w:val="Caption1Char"/>
        </w:rPr>
        <w:t>Darkest blue represents the highest values with yellow representing the lowest.</w:t>
      </w:r>
      <w:r w:rsidR="003A3E0D" w:rsidRPr="002C492A">
        <w:rPr>
          <w:rStyle w:val="Caption1Char"/>
        </w:rPr>
        <w:t xml:space="preserve"> See text for more information.</w:t>
      </w:r>
    </w:p>
    <w:p w14:paraId="2E771D0E" w14:textId="77777777" w:rsidR="00935D9F" w:rsidRDefault="00935D9F" w:rsidP="00D00A0F">
      <w:pPr>
        <w:spacing w:after="0"/>
        <w:ind w:firstLine="0"/>
        <w:rPr>
          <w:rStyle w:val="Caption1Char"/>
        </w:rPr>
      </w:pPr>
      <w:r>
        <w:rPr>
          <w:rFonts w:cs="Times New Roman"/>
          <w:noProof/>
          <w:color w:val="000000"/>
          <w:szCs w:val="24"/>
          <w14:ligatures w14:val="standardContextual"/>
        </w:rPr>
        <w:drawing>
          <wp:inline distT="0" distB="0" distL="0" distR="0" wp14:anchorId="2AA25BDB" wp14:editId="345EA416">
            <wp:extent cx="5195455" cy="2429156"/>
            <wp:effectExtent l="0" t="0" r="5715" b="9525"/>
            <wp:docPr id="1424759535" name="Picture 2" descr="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759535" name="Picture 2" descr="Chart&#10;&#10;AI-generated content may be incorrect."/>
                    <pic:cNvPicPr/>
                  </pic:nvPicPr>
                  <pic:blipFill rotWithShape="1">
                    <a:blip r:embed="rId15" cstate="print">
                      <a:extLst>
                        <a:ext uri="{28A0092B-C50C-407E-A947-70E740481C1C}">
                          <a14:useLocalDpi xmlns:a14="http://schemas.microsoft.com/office/drawing/2010/main" val="0"/>
                        </a:ext>
                      </a:extLst>
                    </a:blip>
                    <a:srcRect t="592" b="5898"/>
                    <a:stretch/>
                  </pic:blipFill>
                  <pic:spPr bwMode="auto">
                    <a:xfrm>
                      <a:off x="0" y="0"/>
                      <a:ext cx="5205335" cy="2433776"/>
                    </a:xfrm>
                    <a:prstGeom prst="rect">
                      <a:avLst/>
                    </a:prstGeom>
                    <a:ln>
                      <a:noFill/>
                    </a:ln>
                    <a:extLst>
                      <a:ext uri="{53640926-AAD7-44D8-BBD7-CCE9431645EC}">
                        <a14:shadowObscured xmlns:a14="http://schemas.microsoft.com/office/drawing/2010/main"/>
                      </a:ext>
                    </a:extLst>
                  </pic:spPr>
                </pic:pic>
              </a:graphicData>
            </a:graphic>
          </wp:inline>
        </w:drawing>
      </w:r>
      <w:r w:rsidRPr="00935D9F">
        <w:rPr>
          <w:rStyle w:val="Caption1Char"/>
        </w:rPr>
        <w:t>Figure 4. F concentration versus depth for Tungsten Queen Cores. See text for more information.</w:t>
      </w:r>
    </w:p>
    <w:p w14:paraId="1F87FFD4" w14:textId="51A193D8" w:rsidR="00D47895" w:rsidRPr="00D47895" w:rsidRDefault="00D47895" w:rsidP="00D47895">
      <w:pPr>
        <w:ind w:firstLine="0"/>
        <w:rPr>
          <w:rStyle w:val="Caption1Char"/>
          <w:sz w:val="24"/>
          <w:szCs w:val="22"/>
        </w:rPr>
      </w:pPr>
      <w:r w:rsidRPr="00FA4EF4">
        <w:lastRenderedPageBreak/>
        <w:t>concentrations are in NCGS-TQ-D7-14-15 (9.3162 wt%) and NCGS-TQ-D7-13-14 (8.1188 wt%), with NCGS-TQ-D7-15-16 also containing elevated F (6.2500 wt%; Figure 4)</w:t>
      </w:r>
      <w:r w:rsidRPr="00FA4EF4">
        <w:rPr>
          <w:color w:val="000000"/>
        </w:rPr>
        <w:t>.</w:t>
      </w:r>
    </w:p>
    <w:p w14:paraId="23723B20" w14:textId="59CB667A" w:rsidR="00B729E2" w:rsidRPr="00735F31" w:rsidRDefault="00B729E2" w:rsidP="00354281">
      <w:pPr>
        <w:spacing w:after="0"/>
        <w:rPr>
          <w:rFonts w:cs="Times New Roman"/>
          <w:i/>
          <w:iCs/>
          <w:szCs w:val="24"/>
        </w:rPr>
      </w:pPr>
      <w:r w:rsidRPr="00735F31">
        <w:rPr>
          <w:rFonts w:cs="Times New Roman"/>
          <w:i/>
          <w:iCs/>
          <w:color w:val="000000"/>
          <w:szCs w:val="24"/>
        </w:rPr>
        <w:t>Tung</w:t>
      </w:r>
      <w:r w:rsidRPr="00735F31">
        <w:rPr>
          <w:rFonts w:cs="Times New Roman"/>
          <w:i/>
          <w:iCs/>
          <w:szCs w:val="24"/>
        </w:rPr>
        <w:t xml:space="preserve">sten </w:t>
      </w:r>
    </w:p>
    <w:p w14:paraId="474EFFA8" w14:textId="4B8FA6A3" w:rsidR="00EF2B1D" w:rsidRDefault="001D3867" w:rsidP="002C492A">
      <w:r>
        <w:t xml:space="preserve">Concentrations of </w:t>
      </w:r>
      <w:r w:rsidR="009F0735" w:rsidRPr="00FA4EF4">
        <w:t>W</w:t>
      </w:r>
      <w:r w:rsidR="003F522E" w:rsidRPr="00FA4EF4">
        <w:t xml:space="preserve"> </w:t>
      </w:r>
      <w:r>
        <w:t>in c</w:t>
      </w:r>
      <w:r w:rsidRPr="00FA4EF4">
        <w:t>omposite sample</w:t>
      </w:r>
      <w:r>
        <w:t>s</w:t>
      </w:r>
      <w:r w:rsidRPr="00FA4EF4">
        <w:t xml:space="preserve"> </w:t>
      </w:r>
      <w:r w:rsidR="003F522E" w:rsidRPr="00FA4EF4">
        <w:t xml:space="preserve">range from </w:t>
      </w:r>
      <w:r w:rsidR="00F035AE" w:rsidRPr="00FA4EF4">
        <w:t>459</w:t>
      </w:r>
      <w:r w:rsidR="009A45B0" w:rsidRPr="00FA4EF4">
        <w:t xml:space="preserve"> to </w:t>
      </w:r>
      <w:r w:rsidR="0001040C" w:rsidRPr="00FA4EF4">
        <w:t>1330</w:t>
      </w:r>
      <w:r w:rsidR="003F522E" w:rsidRPr="00FA4EF4">
        <w:t xml:space="preserve"> </w:t>
      </w:r>
      <w:r w:rsidR="000D7D73" w:rsidRPr="00FA4EF4">
        <w:t>parts per million (</w:t>
      </w:r>
      <w:r w:rsidR="003F522E" w:rsidRPr="00FA4EF4">
        <w:t>ppm</w:t>
      </w:r>
      <w:r w:rsidR="000D7D73" w:rsidRPr="00FA4EF4">
        <w:t>;</w:t>
      </w:r>
      <w:r w:rsidR="00856A09" w:rsidRPr="00FA4EF4">
        <w:t xml:space="preserve"> </w:t>
      </w:r>
      <w:r w:rsidR="00292A06" w:rsidRPr="00FA4EF4">
        <w:t>Figure 5</w:t>
      </w:r>
      <w:r w:rsidR="00856A09" w:rsidRPr="00FA4EF4">
        <w:t>a)</w:t>
      </w:r>
      <w:r w:rsidR="003F522E" w:rsidRPr="00FA4EF4">
        <w:t xml:space="preserve">, </w:t>
      </w:r>
      <w:r w:rsidR="00271CCB" w:rsidRPr="00FA4EF4">
        <w:t>with</w:t>
      </w:r>
      <w:r w:rsidR="006D540E" w:rsidRPr="00FA4EF4">
        <w:t xml:space="preserve"> a mean of </w:t>
      </w:r>
      <w:r w:rsidR="0001033D" w:rsidRPr="00FA4EF4">
        <w:t>955 ppm and a median of 962 ppm. T</w:t>
      </w:r>
      <w:r w:rsidR="00271CCB" w:rsidRPr="00FA4EF4">
        <w:t>he h</w:t>
      </w:r>
      <w:r w:rsidR="00C66AF8" w:rsidRPr="00FA4EF4">
        <w:t>ighest</w:t>
      </w:r>
      <w:r w:rsidR="00271CCB" w:rsidRPr="00FA4EF4">
        <w:t xml:space="preserve"> </w:t>
      </w:r>
      <w:r w:rsidR="00C66AF8" w:rsidRPr="00FA4EF4">
        <w:t>concentrations</w:t>
      </w:r>
      <w:r w:rsidR="0001033D" w:rsidRPr="00FA4EF4">
        <w:t xml:space="preserve"> are</w:t>
      </w:r>
      <w:r w:rsidR="00C66AF8" w:rsidRPr="00FA4EF4">
        <w:t xml:space="preserve"> in </w:t>
      </w:r>
      <w:r w:rsidR="00520BFF" w:rsidRPr="00FA4EF4">
        <w:t>NCGS-TQ-C3</w:t>
      </w:r>
      <w:r w:rsidR="00204ED9" w:rsidRPr="00FA4EF4">
        <w:t xml:space="preserve"> (</w:t>
      </w:r>
      <w:r w:rsidR="005C5B64" w:rsidRPr="00FA4EF4">
        <w:t xml:space="preserve">1330 </w:t>
      </w:r>
      <w:r w:rsidR="00204ED9" w:rsidRPr="00FA4EF4">
        <w:t>ppm)</w:t>
      </w:r>
      <w:r w:rsidR="00216A9C">
        <w:t xml:space="preserve"> and</w:t>
      </w:r>
      <w:r w:rsidR="00204ED9" w:rsidRPr="00FA4EF4">
        <w:t xml:space="preserve"> </w:t>
      </w:r>
      <w:r w:rsidR="00520BFF" w:rsidRPr="00FA4EF4">
        <w:t>NCGS-TQ-C</w:t>
      </w:r>
      <w:r w:rsidR="00811115" w:rsidRPr="00FA4EF4">
        <w:t>6</w:t>
      </w:r>
      <w:r w:rsidR="00204ED9" w:rsidRPr="00FA4EF4">
        <w:t xml:space="preserve"> (</w:t>
      </w:r>
      <w:r w:rsidR="00FD53E4" w:rsidRPr="00FA4EF4">
        <w:t xml:space="preserve">1240 </w:t>
      </w:r>
      <w:r w:rsidR="00204ED9" w:rsidRPr="00FA4EF4">
        <w:t>ppm)</w:t>
      </w:r>
      <w:r w:rsidR="00C66AF8" w:rsidRPr="00FA4EF4">
        <w:t xml:space="preserve">, </w:t>
      </w:r>
      <w:r w:rsidR="00271CCB" w:rsidRPr="00FA4EF4">
        <w:t xml:space="preserve">located </w:t>
      </w:r>
      <w:r w:rsidR="00C66AF8" w:rsidRPr="00FA4EF4">
        <w:t xml:space="preserve">in the central </w:t>
      </w:r>
      <w:r w:rsidR="00994AC4" w:rsidRPr="00FA4EF4">
        <w:t>and</w:t>
      </w:r>
      <w:r w:rsidR="00C66AF8" w:rsidRPr="00FA4EF4">
        <w:t xml:space="preserve"> </w:t>
      </w:r>
      <w:r w:rsidR="008B3BB5" w:rsidRPr="00FA4EF4">
        <w:t>northeastern</w:t>
      </w:r>
      <w:r w:rsidR="00C66AF8" w:rsidRPr="00FA4EF4">
        <w:t xml:space="preserve"> portions of </w:t>
      </w:r>
      <w:r w:rsidR="00F82AD4" w:rsidRPr="00FA4EF4">
        <w:t>tailings pond 2</w:t>
      </w:r>
      <w:r w:rsidR="00204ED9" w:rsidRPr="00FA4EF4">
        <w:t>, respectively</w:t>
      </w:r>
      <w:r w:rsidR="00E201A9" w:rsidRPr="00FA4EF4">
        <w:t xml:space="preserve"> (</w:t>
      </w:r>
      <w:r w:rsidR="00292A06" w:rsidRPr="00FA4EF4">
        <w:t>Figure 5</w:t>
      </w:r>
      <w:r w:rsidR="00E314F7" w:rsidRPr="00FA4EF4">
        <w:t>b</w:t>
      </w:r>
      <w:r w:rsidR="00856740" w:rsidRPr="00FA4EF4">
        <w:t>)</w:t>
      </w:r>
      <w:r w:rsidR="00C66AF8" w:rsidRPr="00FA4EF4">
        <w:t>.</w:t>
      </w:r>
    </w:p>
    <w:p w14:paraId="0902D060" w14:textId="77777777" w:rsidR="00D47895" w:rsidRPr="00FA4EF4" w:rsidRDefault="00D47895" w:rsidP="00D47895">
      <w:r w:rsidRPr="00FA4EF4">
        <w:rPr>
          <w:color w:val="000000"/>
        </w:rPr>
        <w:t>Tungsten concentrations in grab samples range from 289 to 2400 ppm</w:t>
      </w:r>
      <w:r w:rsidRPr="00FA4EF4">
        <w:t>, with a mean value of 825 ppm and a median value of 533 ppm. The highest grab sample W concentrations are in samples NCGS-TQ-G3-28-30 (2400 ppm) and NCGS-TQ-G2-0-4 (1770 ppm</w:t>
      </w:r>
      <w:r>
        <w:t>; Figure 5a</w:t>
      </w:r>
      <w:r w:rsidRPr="00FA4EF4">
        <w:t>).</w:t>
      </w:r>
    </w:p>
    <w:p w14:paraId="4C0097E4" w14:textId="26C044C9" w:rsidR="00D47895" w:rsidRDefault="00D47895" w:rsidP="00D47895">
      <w:r w:rsidRPr="00FA4EF4">
        <w:t>Drill cores range from 366 to 3310 ppm, with a mean W content of 825 ppm and a median of 533 ppm</w:t>
      </w:r>
      <w:r w:rsidR="00BC4CE7">
        <w:t xml:space="preserve"> (Figure 6)</w:t>
      </w:r>
      <w:r w:rsidRPr="00FA4EF4">
        <w:t xml:space="preserve">. Highest concentrations are recorded in NCGS-TQ-D5-0-1 (3310 </w:t>
      </w:r>
    </w:p>
    <w:p w14:paraId="00A88AA7" w14:textId="309FD1CD" w:rsidR="00CD7F11" w:rsidRDefault="007C02B8" w:rsidP="00D00A0F">
      <w:pPr>
        <w:ind w:firstLine="0"/>
        <w:rPr>
          <w:rStyle w:val="Caption1Char"/>
        </w:rPr>
      </w:pPr>
      <w:r>
        <w:rPr>
          <w:rFonts w:cs="Times New Roman"/>
          <w:noProof/>
          <w:szCs w:val="24"/>
          <w14:ligatures w14:val="standardContextual"/>
        </w:rPr>
        <w:drawing>
          <wp:inline distT="0" distB="0" distL="0" distR="0" wp14:anchorId="41A7015F" wp14:editId="1952364F">
            <wp:extent cx="5942407" cy="2743200"/>
            <wp:effectExtent l="0" t="0" r="1270" b="0"/>
            <wp:docPr id="602873825" name="Picture 4" descr="A picture containing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873825" name="Picture 4" descr="A picture containing map&#10;&#10;AI-generated content may be incorrect."/>
                    <pic:cNvPicPr/>
                  </pic:nvPicPr>
                  <pic:blipFill rotWithShape="1">
                    <a:blip r:embed="rId16" cstate="print">
                      <a:extLst>
                        <a:ext uri="{28A0092B-C50C-407E-A947-70E740481C1C}">
                          <a14:useLocalDpi xmlns:a14="http://schemas.microsoft.com/office/drawing/2010/main" val="0"/>
                        </a:ext>
                      </a:extLst>
                    </a:blip>
                    <a:srcRect t="1775" b="5898"/>
                    <a:stretch/>
                  </pic:blipFill>
                  <pic:spPr bwMode="auto">
                    <a:xfrm>
                      <a:off x="0" y="0"/>
                      <a:ext cx="5942407" cy="2743200"/>
                    </a:xfrm>
                    <a:prstGeom prst="rect">
                      <a:avLst/>
                    </a:prstGeom>
                    <a:ln>
                      <a:noFill/>
                    </a:ln>
                    <a:extLst>
                      <a:ext uri="{53640926-AAD7-44D8-BBD7-CCE9431645EC}">
                        <a14:shadowObscured xmlns:a14="http://schemas.microsoft.com/office/drawing/2010/main"/>
                      </a:ext>
                    </a:extLst>
                  </pic:spPr>
                </pic:pic>
              </a:graphicData>
            </a:graphic>
          </wp:inline>
        </w:drawing>
      </w:r>
      <w:r w:rsidR="00292A06" w:rsidRPr="002C492A">
        <w:rPr>
          <w:rStyle w:val="Caption1Char"/>
        </w:rPr>
        <w:t>Figure 5</w:t>
      </w:r>
      <w:r w:rsidR="00CD7F11" w:rsidRPr="002C492A">
        <w:rPr>
          <w:rStyle w:val="Caption1Char"/>
        </w:rPr>
        <w:t xml:space="preserve">. a. W </w:t>
      </w:r>
      <w:r w:rsidR="00131556" w:rsidRPr="002C492A">
        <w:rPr>
          <w:rStyle w:val="Caption1Char"/>
        </w:rPr>
        <w:t xml:space="preserve">concentration </w:t>
      </w:r>
      <w:r w:rsidR="00CD7F11" w:rsidRPr="002C492A">
        <w:rPr>
          <w:rStyle w:val="Caption1Char"/>
        </w:rPr>
        <w:t>versus depth for composite and grab samples. b. Heat map for W concentration</w:t>
      </w:r>
      <w:r w:rsidR="0070339F" w:rsidRPr="002C492A">
        <w:rPr>
          <w:rStyle w:val="Caption1Char"/>
        </w:rPr>
        <w:t xml:space="preserve"> (ppm)</w:t>
      </w:r>
      <w:r w:rsidR="00CD7F11" w:rsidRPr="002C492A">
        <w:rPr>
          <w:rStyle w:val="Caption1Char"/>
        </w:rPr>
        <w:t xml:space="preserve"> in composite samples. Darkest blue represents the highest values with yellow representing the lowest.</w:t>
      </w:r>
      <w:r w:rsidR="003A3E0D" w:rsidRPr="002C492A">
        <w:rPr>
          <w:rStyle w:val="Caption1Char"/>
        </w:rPr>
        <w:t xml:space="preserve"> See text for more information.</w:t>
      </w:r>
    </w:p>
    <w:p w14:paraId="4B1B0D0A" w14:textId="67D02128" w:rsidR="00BC4CE7" w:rsidRDefault="00BC4CE7" w:rsidP="005871C8">
      <w:pPr>
        <w:ind w:firstLine="0"/>
        <w:rPr>
          <w:rStyle w:val="Caption1Char"/>
        </w:rPr>
      </w:pPr>
      <w:r>
        <w:rPr>
          <w:noProof/>
          <w14:ligatures w14:val="standardContextual"/>
        </w:rPr>
        <w:drawing>
          <wp:inline distT="0" distB="0" distL="0" distR="0" wp14:anchorId="3694E448" wp14:editId="3C341035">
            <wp:extent cx="5918322" cy="2743200"/>
            <wp:effectExtent l="0" t="0" r="6350" b="0"/>
            <wp:docPr id="910739092" name="Picture 5"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739092" name="Picture 5" descr="Diagram&#10;&#10;AI-generated content may be incorrect."/>
                    <pic:cNvPicPr/>
                  </pic:nvPicPr>
                  <pic:blipFill rotWithShape="1">
                    <a:blip r:embed="rId17" cstate="print">
                      <a:extLst>
                        <a:ext uri="{28A0092B-C50C-407E-A947-70E740481C1C}">
                          <a14:useLocalDpi xmlns:a14="http://schemas.microsoft.com/office/drawing/2010/main" val="0"/>
                        </a:ext>
                      </a:extLst>
                    </a:blip>
                    <a:srcRect t="789" b="6509"/>
                    <a:stretch/>
                  </pic:blipFill>
                  <pic:spPr bwMode="auto">
                    <a:xfrm>
                      <a:off x="0" y="0"/>
                      <a:ext cx="5918322" cy="2743200"/>
                    </a:xfrm>
                    <a:prstGeom prst="rect">
                      <a:avLst/>
                    </a:prstGeom>
                    <a:ln>
                      <a:noFill/>
                    </a:ln>
                    <a:extLst>
                      <a:ext uri="{53640926-AAD7-44D8-BBD7-CCE9431645EC}">
                        <a14:shadowObscured xmlns:a14="http://schemas.microsoft.com/office/drawing/2010/main"/>
                      </a:ext>
                    </a:extLst>
                  </pic:spPr>
                </pic:pic>
              </a:graphicData>
            </a:graphic>
          </wp:inline>
        </w:drawing>
      </w:r>
      <w:r w:rsidRPr="002C492A">
        <w:rPr>
          <w:rStyle w:val="Caption1Char"/>
        </w:rPr>
        <w:t>Figure 6. W concentration versus depth for Tungsten Queen Cores. See text for more information.</w:t>
      </w:r>
    </w:p>
    <w:p w14:paraId="164E8742" w14:textId="5DA7A23A" w:rsidR="00123C6E" w:rsidRPr="002C492A" w:rsidRDefault="00123C6E" w:rsidP="00123C6E">
      <w:pPr>
        <w:ind w:firstLine="0"/>
        <w:rPr>
          <w:rStyle w:val="Caption1Char"/>
        </w:rPr>
      </w:pPr>
      <w:r>
        <w:lastRenderedPageBreak/>
        <w:t>p</w:t>
      </w:r>
      <w:r w:rsidRPr="00FA4EF4">
        <w:t>pm) and NCGS-TQ-D5-3-4.4 (3260 ppm), with additional notable W spikes in NCGS-TQ-D6-3-4 (2560 ppm)</w:t>
      </w:r>
      <w:r>
        <w:t>,</w:t>
      </w:r>
      <w:r w:rsidRPr="00FA4EF4">
        <w:t xml:space="preserve"> NCGS-TQ-D6-4-4.7 (2580 ppm)</w:t>
      </w:r>
      <w:r>
        <w:t>,</w:t>
      </w:r>
      <w:r w:rsidRPr="00FA4EF4">
        <w:t xml:space="preserve"> and NCGS-TQ-D5-12-13</w:t>
      </w:r>
      <w:r w:rsidRPr="00FA4EF4" w:rsidDel="00BE2E53">
        <w:t xml:space="preserve"> </w:t>
      </w:r>
      <w:r w:rsidRPr="00FA4EF4">
        <w:t>(2400 ppm; Figure 6).</w:t>
      </w:r>
    </w:p>
    <w:p w14:paraId="62709506" w14:textId="62E4A6C5" w:rsidR="00D339D4" w:rsidRPr="00735F31" w:rsidRDefault="009475E3" w:rsidP="00354281">
      <w:pPr>
        <w:spacing w:after="0"/>
        <w:rPr>
          <w:rFonts w:cs="Times New Roman"/>
          <w:i/>
          <w:iCs/>
          <w:szCs w:val="24"/>
        </w:rPr>
      </w:pPr>
      <w:r w:rsidRPr="00735F31">
        <w:rPr>
          <w:rFonts w:cs="Times New Roman"/>
          <w:i/>
          <w:iCs/>
          <w:color w:val="000000"/>
          <w:szCs w:val="24"/>
        </w:rPr>
        <w:t xml:space="preserve">Manganese </w:t>
      </w:r>
    </w:p>
    <w:p w14:paraId="61558DE5" w14:textId="18C083EA" w:rsidR="00DF2F73" w:rsidRDefault="00C73B6F" w:rsidP="002C492A">
      <w:r w:rsidRPr="00FA4EF4">
        <w:t xml:space="preserve">Composite sample </w:t>
      </w:r>
      <w:r w:rsidR="0023576E" w:rsidRPr="00FA4EF4">
        <w:t>Mn</w:t>
      </w:r>
      <w:r w:rsidRPr="00FA4EF4">
        <w:t xml:space="preserve"> concentrations range from </w:t>
      </w:r>
      <w:r w:rsidR="007F7532" w:rsidRPr="00FA4EF4">
        <w:t>502</w:t>
      </w:r>
      <w:r w:rsidRPr="00FA4EF4">
        <w:t xml:space="preserve"> to </w:t>
      </w:r>
      <w:r w:rsidR="00AE341E" w:rsidRPr="00FA4EF4">
        <w:t>695</w:t>
      </w:r>
      <w:r w:rsidRPr="00FA4EF4">
        <w:t xml:space="preserve"> ppm</w:t>
      </w:r>
      <w:r w:rsidR="0065701C" w:rsidRPr="00FA4EF4">
        <w:t xml:space="preserve"> (</w:t>
      </w:r>
      <w:r w:rsidR="00292A06" w:rsidRPr="00FA4EF4">
        <w:t>Figure 7</w:t>
      </w:r>
      <w:r w:rsidR="0065701C" w:rsidRPr="00FA4EF4">
        <w:t>a)</w:t>
      </w:r>
      <w:r w:rsidRPr="00FA4EF4">
        <w:t xml:space="preserve">, with the highest concentrations in </w:t>
      </w:r>
      <w:r w:rsidR="0018052B" w:rsidRPr="00FA4EF4">
        <w:t>NCGS-TQ-C</w:t>
      </w:r>
      <w:r w:rsidR="00FA6E98" w:rsidRPr="00FA4EF4">
        <w:t>5</w:t>
      </w:r>
      <w:r w:rsidRPr="00FA4EF4">
        <w:t xml:space="preserve"> and </w:t>
      </w:r>
      <w:r w:rsidR="0018052B" w:rsidRPr="00FA4EF4">
        <w:t>NCGS</w:t>
      </w:r>
      <w:r w:rsidR="00FF6F35" w:rsidRPr="00FA4EF4">
        <w:t>-</w:t>
      </w:r>
      <w:r w:rsidR="0018052B" w:rsidRPr="00FA4EF4">
        <w:t>TQ</w:t>
      </w:r>
      <w:r w:rsidR="00FF6F35" w:rsidRPr="00FA4EF4">
        <w:t>-</w:t>
      </w:r>
      <w:r w:rsidR="0018052B" w:rsidRPr="00FA4EF4">
        <w:t>C</w:t>
      </w:r>
      <w:r w:rsidR="00FA6E98" w:rsidRPr="00FA4EF4">
        <w:t>6</w:t>
      </w:r>
      <w:r w:rsidRPr="00FA4EF4">
        <w:t xml:space="preserve">, located in the </w:t>
      </w:r>
      <w:r w:rsidR="00A764CE" w:rsidRPr="00FA4EF4">
        <w:t xml:space="preserve">eastern </w:t>
      </w:r>
      <w:r w:rsidR="005669C9" w:rsidRPr="00FA4EF4">
        <w:t>and</w:t>
      </w:r>
      <w:r w:rsidRPr="00FA4EF4">
        <w:t xml:space="preserve"> northeastern portions of </w:t>
      </w:r>
      <w:r w:rsidR="00F82AD4" w:rsidRPr="00FA4EF4">
        <w:t>tailings pond 2</w:t>
      </w:r>
      <w:r w:rsidR="00BC214F" w:rsidRPr="00FA4EF4">
        <w:t>, respectively</w:t>
      </w:r>
      <w:r w:rsidRPr="00FA4EF4">
        <w:t xml:space="preserve"> (</w:t>
      </w:r>
      <w:r w:rsidR="00292A06" w:rsidRPr="00FA4EF4">
        <w:t>Figure 7</w:t>
      </w:r>
      <w:r w:rsidR="0065701C" w:rsidRPr="00FA4EF4">
        <w:t>b</w:t>
      </w:r>
      <w:r w:rsidRPr="00FA4EF4">
        <w:t>).</w:t>
      </w:r>
      <w:r w:rsidR="00F96526" w:rsidRPr="00FA4EF4">
        <w:t xml:space="preserve"> </w:t>
      </w:r>
      <w:r w:rsidR="00F06690" w:rsidRPr="00FA4EF4">
        <w:t xml:space="preserve">The </w:t>
      </w:r>
      <w:r w:rsidR="00FC3549" w:rsidRPr="00FA4EF4">
        <w:t>mean</w:t>
      </w:r>
      <w:r w:rsidR="00F06690" w:rsidRPr="00FA4EF4">
        <w:t xml:space="preserve"> </w:t>
      </w:r>
      <w:r w:rsidR="00F309C9" w:rsidRPr="00FA4EF4">
        <w:t xml:space="preserve">Mn </w:t>
      </w:r>
      <w:r w:rsidR="00F06690" w:rsidRPr="00FA4EF4">
        <w:t xml:space="preserve">concentration is </w:t>
      </w:r>
      <w:r w:rsidR="00FC3549" w:rsidRPr="00FA4EF4">
        <w:t>609 ppm while the median is 653 ppm.</w:t>
      </w:r>
    </w:p>
    <w:p w14:paraId="44F4A3B7" w14:textId="77777777" w:rsidR="00C30FAF" w:rsidRDefault="00C30FAF" w:rsidP="002C492A">
      <w:r w:rsidRPr="00FA4EF4">
        <w:t>Grab sample Mn concentrations range from 232 to 1885 ppm, with a mean of 656 ppm and a median of 380 ppm. The highest grab sample Mn concentrations are in NCGS-TQ-G1 (1860 ppm) and NCGS-TQ-G5 (1885 ppm</w:t>
      </w:r>
      <w:r>
        <w:t>; Figure 7a</w:t>
      </w:r>
      <w:r w:rsidRPr="00FA4EF4">
        <w:t xml:space="preserve">). </w:t>
      </w:r>
    </w:p>
    <w:p w14:paraId="6CC3ACDD" w14:textId="073C40F8" w:rsidR="00C30FAF" w:rsidRPr="002C492A" w:rsidRDefault="00C30FAF" w:rsidP="002C492A">
      <w:pPr>
        <w:rPr>
          <w:rStyle w:val="Caption1Char"/>
        </w:rPr>
      </w:pPr>
      <w:r w:rsidRPr="00FA4EF4">
        <w:t>Drill cores range from 298 to 2020 ppm, with a mean of 709 ppm and a median of 636 ppm. The highest concentrations are in NCGS-TQ-D7-14-15 (2020 pm) and NCGS-TQ-D</w:t>
      </w:r>
      <w:r>
        <w:t>6-4-4.7</w:t>
      </w:r>
      <w:r w:rsidRPr="00FA4EF4">
        <w:t xml:space="preserve"> (1910 ppm; Figure 8). </w:t>
      </w:r>
    </w:p>
    <w:p w14:paraId="3F5D1C73" w14:textId="77777777" w:rsidR="00876470" w:rsidRDefault="008C714D" w:rsidP="005871C8">
      <w:pPr>
        <w:spacing w:after="0"/>
        <w:ind w:firstLine="0"/>
        <w:rPr>
          <w:rFonts w:cs="Times New Roman"/>
          <w:color w:val="000000"/>
          <w:sz w:val="20"/>
          <w:szCs w:val="20"/>
        </w:rPr>
      </w:pPr>
      <w:r>
        <w:rPr>
          <w:rFonts w:cs="Times New Roman"/>
          <w:noProof/>
          <w:szCs w:val="24"/>
          <w14:ligatures w14:val="standardContextual"/>
        </w:rPr>
        <w:drawing>
          <wp:inline distT="0" distB="0" distL="0" distR="0" wp14:anchorId="6FD3B28A" wp14:editId="247889B3">
            <wp:extent cx="5547360" cy="2560320"/>
            <wp:effectExtent l="0" t="0" r="0" b="0"/>
            <wp:docPr id="231893652" name="Picture 6" descr="A picture containing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893652" name="Picture 6" descr="A picture containing diagram&#10;&#10;AI-generated content may be incorrect."/>
                    <pic:cNvPicPr/>
                  </pic:nvPicPr>
                  <pic:blipFill rotWithShape="1">
                    <a:blip r:embed="rId18" cstate="print">
                      <a:extLst>
                        <a:ext uri="{28A0092B-C50C-407E-A947-70E740481C1C}">
                          <a14:useLocalDpi xmlns:a14="http://schemas.microsoft.com/office/drawing/2010/main" val="0"/>
                        </a:ext>
                      </a:extLst>
                    </a:blip>
                    <a:srcRect t="1602" b="6090"/>
                    <a:stretch/>
                  </pic:blipFill>
                  <pic:spPr bwMode="auto">
                    <a:xfrm>
                      <a:off x="0" y="0"/>
                      <a:ext cx="5547360" cy="2560320"/>
                    </a:xfrm>
                    <a:prstGeom prst="rect">
                      <a:avLst/>
                    </a:prstGeom>
                    <a:ln>
                      <a:noFill/>
                    </a:ln>
                    <a:extLst>
                      <a:ext uri="{53640926-AAD7-44D8-BBD7-CCE9431645EC}">
                        <a14:shadowObscured xmlns:a14="http://schemas.microsoft.com/office/drawing/2010/main"/>
                      </a:ext>
                    </a:extLst>
                  </pic:spPr>
                </pic:pic>
              </a:graphicData>
            </a:graphic>
          </wp:inline>
        </w:drawing>
      </w:r>
    </w:p>
    <w:p w14:paraId="3C318B35" w14:textId="67298841" w:rsidR="00BD699C" w:rsidRPr="002C492A" w:rsidRDefault="00292A06" w:rsidP="002C492A">
      <w:pPr>
        <w:pStyle w:val="Caption1"/>
      </w:pPr>
      <w:r w:rsidRPr="002C492A">
        <w:t>Figure 7</w:t>
      </w:r>
      <w:r w:rsidR="00BD699C" w:rsidRPr="002C492A">
        <w:t xml:space="preserve">. a. </w:t>
      </w:r>
      <w:r w:rsidR="006C4DFE" w:rsidRPr="002C492A">
        <w:t>Mn</w:t>
      </w:r>
      <w:r w:rsidR="00BD699C" w:rsidRPr="002C492A">
        <w:t xml:space="preserve"> </w:t>
      </w:r>
      <w:r w:rsidR="00131556" w:rsidRPr="002C492A">
        <w:t xml:space="preserve">concentration </w:t>
      </w:r>
      <w:r w:rsidR="00BD699C" w:rsidRPr="002C492A">
        <w:t xml:space="preserve">versus depth for composite and grab samples. b. Heat map for </w:t>
      </w:r>
      <w:r w:rsidR="006C4DFE" w:rsidRPr="002C492A">
        <w:t>Mn</w:t>
      </w:r>
      <w:r w:rsidR="00BD699C" w:rsidRPr="002C492A">
        <w:t xml:space="preserve"> concentration</w:t>
      </w:r>
      <w:r w:rsidR="0070339F" w:rsidRPr="002C492A">
        <w:t xml:space="preserve"> (ppm)</w:t>
      </w:r>
      <w:r w:rsidR="00BD699C" w:rsidRPr="002C492A">
        <w:t xml:space="preserve"> in composite samples. Darkest blue represents the highest values with yellow representing the lowest.</w:t>
      </w:r>
      <w:r w:rsidR="003A3E0D" w:rsidRPr="002C492A">
        <w:t xml:space="preserve"> See text for more information.</w:t>
      </w:r>
    </w:p>
    <w:p w14:paraId="598C2A02" w14:textId="77777777" w:rsidR="000263B5" w:rsidRDefault="0044779A" w:rsidP="005871C8">
      <w:pPr>
        <w:spacing w:after="0"/>
        <w:ind w:firstLine="0"/>
        <w:rPr>
          <w:rFonts w:cs="Times New Roman"/>
          <w:color w:val="000000"/>
          <w:sz w:val="20"/>
          <w:szCs w:val="20"/>
        </w:rPr>
      </w:pPr>
      <w:r>
        <w:rPr>
          <w:rFonts w:cs="Times New Roman"/>
          <w:noProof/>
          <w:color w:val="000000"/>
          <w:szCs w:val="24"/>
          <w14:ligatures w14:val="standardContextual"/>
        </w:rPr>
        <w:drawing>
          <wp:inline distT="0" distB="0" distL="0" distR="0" wp14:anchorId="66E10232" wp14:editId="4B98B3BC">
            <wp:extent cx="5509102" cy="2560320"/>
            <wp:effectExtent l="0" t="0" r="0" b="0"/>
            <wp:docPr id="1981652917" name="Picture 7"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652917" name="Picture 7" descr="Diagram&#10;&#10;AI-generated content may be incorrect."/>
                    <pic:cNvPicPr/>
                  </pic:nvPicPr>
                  <pic:blipFill rotWithShape="1">
                    <a:blip r:embed="rId19" cstate="print">
                      <a:extLst>
                        <a:ext uri="{28A0092B-C50C-407E-A947-70E740481C1C}">
                          <a14:useLocalDpi xmlns:a14="http://schemas.microsoft.com/office/drawing/2010/main" val="0"/>
                        </a:ext>
                      </a:extLst>
                    </a:blip>
                    <a:srcRect t="1282" b="5770"/>
                    <a:stretch/>
                  </pic:blipFill>
                  <pic:spPr bwMode="auto">
                    <a:xfrm>
                      <a:off x="0" y="0"/>
                      <a:ext cx="5509102" cy="2560320"/>
                    </a:xfrm>
                    <a:prstGeom prst="rect">
                      <a:avLst/>
                    </a:prstGeom>
                    <a:ln>
                      <a:noFill/>
                    </a:ln>
                    <a:extLst>
                      <a:ext uri="{53640926-AAD7-44D8-BBD7-CCE9431645EC}">
                        <a14:shadowObscured xmlns:a14="http://schemas.microsoft.com/office/drawing/2010/main"/>
                      </a:ext>
                    </a:extLst>
                  </pic:spPr>
                </pic:pic>
              </a:graphicData>
            </a:graphic>
          </wp:inline>
        </w:drawing>
      </w:r>
    </w:p>
    <w:p w14:paraId="5EA84713" w14:textId="5F1B2967" w:rsidR="00675258" w:rsidRPr="002C492A" w:rsidRDefault="00292A06" w:rsidP="002C492A">
      <w:pPr>
        <w:pStyle w:val="Caption1"/>
      </w:pPr>
      <w:r w:rsidRPr="002C492A">
        <w:t>Figure 8</w:t>
      </w:r>
      <w:r w:rsidR="003B2089" w:rsidRPr="002C492A">
        <w:t xml:space="preserve">. </w:t>
      </w:r>
      <w:r w:rsidR="00C55A8C" w:rsidRPr="002C492A">
        <w:t>Mn</w:t>
      </w:r>
      <w:r w:rsidR="003B2089" w:rsidRPr="002C492A">
        <w:t xml:space="preserve"> concentration versus depth for Tungsten Queen Cores. See text for more information.</w:t>
      </w:r>
    </w:p>
    <w:p w14:paraId="0A3FA4A6" w14:textId="77777777" w:rsidR="005E3F11" w:rsidRPr="00CB21FD" w:rsidRDefault="005E3F11" w:rsidP="00354281">
      <w:pPr>
        <w:spacing w:after="0"/>
        <w:rPr>
          <w:rFonts w:cs="Times New Roman"/>
          <w:i/>
          <w:iCs/>
          <w:color w:val="000000"/>
          <w:szCs w:val="24"/>
        </w:rPr>
      </w:pPr>
      <w:r w:rsidRPr="00CB21FD">
        <w:rPr>
          <w:rFonts w:cs="Times New Roman"/>
          <w:i/>
          <w:iCs/>
          <w:color w:val="000000"/>
          <w:szCs w:val="24"/>
        </w:rPr>
        <w:lastRenderedPageBreak/>
        <w:t>Zinc</w:t>
      </w:r>
    </w:p>
    <w:p w14:paraId="469C223C" w14:textId="537E26AA" w:rsidR="005E3F11" w:rsidRDefault="005E3F11" w:rsidP="002C492A">
      <w:r w:rsidRPr="00FA4EF4">
        <w:rPr>
          <w:color w:val="000000"/>
        </w:rPr>
        <w:t>Composite sample Zn concentrations range from 208 to 864 ppm</w:t>
      </w:r>
      <w:r w:rsidR="00CA1174" w:rsidRPr="00FA4EF4">
        <w:rPr>
          <w:color w:val="000000"/>
        </w:rPr>
        <w:t xml:space="preserve"> </w:t>
      </w:r>
      <w:r w:rsidR="00CA1174" w:rsidRPr="00FA4EF4">
        <w:t>(</w:t>
      </w:r>
      <w:r w:rsidR="00292A06" w:rsidRPr="00FA4EF4">
        <w:t>Figure 9</w:t>
      </w:r>
      <w:r w:rsidR="00CA1174" w:rsidRPr="00FA4EF4">
        <w:t>a)</w:t>
      </w:r>
      <w:r w:rsidRPr="00FA4EF4">
        <w:t xml:space="preserve">, with the highest concentration in </w:t>
      </w:r>
      <w:r w:rsidR="006F73DB" w:rsidRPr="00FA4EF4">
        <w:t>NCGS-TQ-C3</w:t>
      </w:r>
      <w:r w:rsidRPr="00FA4EF4">
        <w:t xml:space="preserve">, located in the central portion of </w:t>
      </w:r>
      <w:r w:rsidR="00F82AD4" w:rsidRPr="00FA4EF4">
        <w:t>tailings pond 2</w:t>
      </w:r>
      <w:r w:rsidRPr="00FA4EF4">
        <w:t xml:space="preserve"> (</w:t>
      </w:r>
      <w:r w:rsidR="00292A06" w:rsidRPr="00FA4EF4">
        <w:t>Figure 9</w:t>
      </w:r>
      <w:r w:rsidR="00CA1174" w:rsidRPr="00FA4EF4">
        <w:t>b</w:t>
      </w:r>
      <w:r w:rsidRPr="00FA4EF4">
        <w:t>).</w:t>
      </w:r>
      <w:r w:rsidR="00634C2C" w:rsidRPr="00FA4EF4">
        <w:t xml:space="preserve"> The mean concentration is </w:t>
      </w:r>
      <w:r w:rsidR="00F27111" w:rsidRPr="00FA4EF4">
        <w:t>456 ppm with a median of 345 ppm.</w:t>
      </w:r>
    </w:p>
    <w:p w14:paraId="1AB04856" w14:textId="77777777" w:rsidR="00123C6E" w:rsidRPr="00FA4EF4" w:rsidRDefault="00123C6E" w:rsidP="00123C6E">
      <w:r w:rsidRPr="00FA4EF4">
        <w:t>Grab sample Zn concentrations range from 84 to 1120 ppm, though all but one sample fall between 84 to 507 ppm (Figure 9a). The mean Zn concentration for grab samples is 244 ppm with a median of 137 ppm. The highest grab sample concentrations are in samples NCGS-TQ-G1 (1120 ppm) and NCGS-TQ-G3-28-30 (507 ppm</w:t>
      </w:r>
      <w:r>
        <w:t>; Figure 9a</w:t>
      </w:r>
      <w:r w:rsidRPr="00FA4EF4">
        <w:t xml:space="preserve">). </w:t>
      </w:r>
    </w:p>
    <w:p w14:paraId="77D3C143" w14:textId="77777777" w:rsidR="00123C6E" w:rsidRPr="00FA4EF4" w:rsidRDefault="00123C6E" w:rsidP="00123C6E">
      <w:r w:rsidRPr="00FA4EF4">
        <w:t xml:space="preserve">Drill cores range from 81 to 1850 ppm Zn, with a mean of 600 ppm and a median of 499 ppm. The highest concentrations are in NCGS-TQ-D7-14-15 (1850 ppm) and NCGS-TQ-D1-1-2 (1815 ppm; Figure 10). </w:t>
      </w:r>
    </w:p>
    <w:p w14:paraId="49AFD63B" w14:textId="77777777" w:rsidR="004041D7" w:rsidRDefault="000E69FC" w:rsidP="005871C8">
      <w:pPr>
        <w:spacing w:after="0"/>
        <w:ind w:firstLine="0"/>
        <w:rPr>
          <w:rFonts w:cs="Times New Roman"/>
          <w:color w:val="000000"/>
          <w:sz w:val="20"/>
          <w:szCs w:val="20"/>
        </w:rPr>
      </w:pPr>
      <w:r>
        <w:rPr>
          <w:rFonts w:cs="Times New Roman"/>
          <w:noProof/>
          <w:szCs w:val="24"/>
          <w14:ligatures w14:val="standardContextual"/>
        </w:rPr>
        <w:drawing>
          <wp:inline distT="0" distB="0" distL="0" distR="0" wp14:anchorId="2F4FE29B" wp14:editId="7418791A">
            <wp:extent cx="5544437" cy="2560320"/>
            <wp:effectExtent l="0" t="0" r="0" b="0"/>
            <wp:docPr id="702200470" name="Picture 8" descr="A picture containing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200470" name="Picture 8" descr="A picture containing diagram&#10;&#10;AI-generated content may be incorrect."/>
                    <pic:cNvPicPr/>
                  </pic:nvPicPr>
                  <pic:blipFill rotWithShape="1">
                    <a:blip r:embed="rId20" cstate="print">
                      <a:extLst>
                        <a:ext uri="{28A0092B-C50C-407E-A947-70E740481C1C}">
                          <a14:useLocalDpi xmlns:a14="http://schemas.microsoft.com/office/drawing/2010/main" val="0"/>
                        </a:ext>
                      </a:extLst>
                    </a:blip>
                    <a:srcRect t="1508" b="6134"/>
                    <a:stretch/>
                  </pic:blipFill>
                  <pic:spPr bwMode="auto">
                    <a:xfrm>
                      <a:off x="0" y="0"/>
                      <a:ext cx="5544437" cy="2560320"/>
                    </a:xfrm>
                    <a:prstGeom prst="rect">
                      <a:avLst/>
                    </a:prstGeom>
                    <a:ln>
                      <a:noFill/>
                    </a:ln>
                    <a:extLst>
                      <a:ext uri="{53640926-AAD7-44D8-BBD7-CCE9431645EC}">
                        <a14:shadowObscured xmlns:a14="http://schemas.microsoft.com/office/drawing/2010/main"/>
                      </a:ext>
                    </a:extLst>
                  </pic:spPr>
                </pic:pic>
              </a:graphicData>
            </a:graphic>
          </wp:inline>
        </w:drawing>
      </w:r>
    </w:p>
    <w:p w14:paraId="01C67858" w14:textId="113C19A0" w:rsidR="006C4DFE" w:rsidRPr="002C492A" w:rsidRDefault="00292A06" w:rsidP="002C492A">
      <w:pPr>
        <w:pStyle w:val="Caption1"/>
      </w:pPr>
      <w:r w:rsidRPr="002C492A">
        <w:t>Figure 9</w:t>
      </w:r>
      <w:r w:rsidR="006C4DFE" w:rsidRPr="002C492A">
        <w:t xml:space="preserve">. a. Zn </w:t>
      </w:r>
      <w:r w:rsidR="00131556" w:rsidRPr="002C492A">
        <w:t xml:space="preserve">concentration </w:t>
      </w:r>
      <w:r w:rsidR="006C4DFE" w:rsidRPr="002C492A">
        <w:t>versus depth for composite and grab samples. b. Heat map for Zn concentration</w:t>
      </w:r>
      <w:r w:rsidR="001B7A42" w:rsidRPr="002C492A">
        <w:t xml:space="preserve"> (ppm)</w:t>
      </w:r>
      <w:r w:rsidR="006C4DFE" w:rsidRPr="002C492A">
        <w:t xml:space="preserve"> in composite samples. Darkest blue represents the highest values with yellow representing the lowest.</w:t>
      </w:r>
      <w:r w:rsidR="003A3E0D" w:rsidRPr="002C492A">
        <w:t xml:space="preserve"> See text for more information.</w:t>
      </w:r>
    </w:p>
    <w:p w14:paraId="595D72BB" w14:textId="71075CA7" w:rsidR="00123C6E" w:rsidRDefault="00123C6E" w:rsidP="005871C8">
      <w:pPr>
        <w:ind w:firstLine="0"/>
      </w:pPr>
      <w:r>
        <w:rPr>
          <w:rFonts w:cs="Times New Roman"/>
          <w:noProof/>
          <w:color w:val="000000"/>
          <w:szCs w:val="24"/>
          <w14:ligatures w14:val="standardContextual"/>
        </w:rPr>
        <w:drawing>
          <wp:inline distT="0" distB="0" distL="0" distR="0" wp14:anchorId="427A6203" wp14:editId="0CCA6531">
            <wp:extent cx="5509220" cy="2560320"/>
            <wp:effectExtent l="0" t="0" r="0" b="4445"/>
            <wp:docPr id="115160612" name="Picture 9"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60612" name="Picture 9" descr="Diagram&#10;&#10;AI-generated content may be incorrect."/>
                    <pic:cNvPicPr/>
                  </pic:nvPicPr>
                  <pic:blipFill rotWithShape="1">
                    <a:blip r:embed="rId21" cstate="print">
                      <a:extLst>
                        <a:ext uri="{28A0092B-C50C-407E-A947-70E740481C1C}">
                          <a14:useLocalDpi xmlns:a14="http://schemas.microsoft.com/office/drawing/2010/main" val="0"/>
                        </a:ext>
                      </a:extLst>
                    </a:blip>
                    <a:srcRect t="1935" b="5119"/>
                    <a:stretch/>
                  </pic:blipFill>
                  <pic:spPr bwMode="auto">
                    <a:xfrm>
                      <a:off x="0" y="0"/>
                      <a:ext cx="5509220" cy="2560320"/>
                    </a:xfrm>
                    <a:prstGeom prst="rect">
                      <a:avLst/>
                    </a:prstGeom>
                    <a:ln>
                      <a:noFill/>
                    </a:ln>
                    <a:extLst>
                      <a:ext uri="{53640926-AAD7-44D8-BBD7-CCE9431645EC}">
                        <a14:shadowObscured xmlns:a14="http://schemas.microsoft.com/office/drawing/2010/main"/>
                      </a:ext>
                    </a:extLst>
                  </pic:spPr>
                </pic:pic>
              </a:graphicData>
            </a:graphic>
          </wp:inline>
        </w:drawing>
      </w:r>
      <w:r>
        <w:rPr>
          <w:rFonts w:cs="Times New Roman"/>
          <w:color w:val="000000"/>
          <w:sz w:val="20"/>
          <w:szCs w:val="20"/>
        </w:rPr>
        <w:t xml:space="preserve">    </w:t>
      </w:r>
      <w:r w:rsidRPr="002C492A">
        <w:rPr>
          <w:rStyle w:val="Caption1Char"/>
        </w:rPr>
        <w:t>Figure 10. Zn concentration versus depth for Tungsten Queen Cores. See text for more information</w:t>
      </w:r>
    </w:p>
    <w:p w14:paraId="41359FE9" w14:textId="77777777" w:rsidR="00123C6E" w:rsidRDefault="00123C6E" w:rsidP="00EC61CD">
      <w:pPr>
        <w:rPr>
          <w:rFonts w:cs="Times New Roman"/>
          <w:i/>
          <w:iCs/>
          <w:color w:val="000000"/>
          <w:szCs w:val="24"/>
        </w:rPr>
      </w:pPr>
    </w:p>
    <w:p w14:paraId="7EBD9E51" w14:textId="77777777" w:rsidR="00123C6E" w:rsidRDefault="00123C6E" w:rsidP="00EC61CD">
      <w:pPr>
        <w:rPr>
          <w:rFonts w:cs="Times New Roman"/>
          <w:i/>
          <w:iCs/>
          <w:color w:val="000000"/>
          <w:szCs w:val="24"/>
        </w:rPr>
      </w:pPr>
    </w:p>
    <w:p w14:paraId="1047BF84" w14:textId="77777777" w:rsidR="00123C6E" w:rsidRDefault="00123C6E" w:rsidP="00EC61CD">
      <w:pPr>
        <w:rPr>
          <w:rFonts w:cs="Times New Roman"/>
          <w:i/>
          <w:iCs/>
          <w:color w:val="000000"/>
          <w:szCs w:val="24"/>
        </w:rPr>
      </w:pPr>
    </w:p>
    <w:p w14:paraId="7B909274" w14:textId="4B6F84D5" w:rsidR="004B39BB" w:rsidRPr="00CB21FD" w:rsidRDefault="004B39BB" w:rsidP="00EC61CD">
      <w:pPr>
        <w:rPr>
          <w:rFonts w:cs="Times New Roman"/>
          <w:i/>
          <w:iCs/>
          <w:color w:val="000000"/>
          <w:szCs w:val="24"/>
        </w:rPr>
      </w:pPr>
      <w:r w:rsidRPr="00CB21FD">
        <w:rPr>
          <w:rFonts w:cs="Times New Roman"/>
          <w:i/>
          <w:iCs/>
          <w:color w:val="000000"/>
          <w:szCs w:val="24"/>
        </w:rPr>
        <w:lastRenderedPageBreak/>
        <w:t>Antimony</w:t>
      </w:r>
    </w:p>
    <w:p w14:paraId="744F691E" w14:textId="483A7C03" w:rsidR="004B39BB" w:rsidRDefault="004B39BB" w:rsidP="002C492A">
      <w:pPr>
        <w:rPr>
          <w:color w:val="000000"/>
        </w:rPr>
      </w:pPr>
      <w:r w:rsidRPr="00FA4EF4">
        <w:rPr>
          <w:color w:val="000000"/>
        </w:rPr>
        <w:t>Composite sample Sb concentrations range from 54 to 184 ppm</w:t>
      </w:r>
      <w:r w:rsidR="004F2681" w:rsidRPr="00FA4EF4">
        <w:t xml:space="preserve"> (</w:t>
      </w:r>
      <w:r w:rsidR="00292A06" w:rsidRPr="00FA4EF4">
        <w:t>Figure 11</w:t>
      </w:r>
      <w:r w:rsidR="004F2681" w:rsidRPr="00FA4EF4">
        <w:t>a)</w:t>
      </w:r>
      <w:r w:rsidRPr="00FA4EF4">
        <w:t xml:space="preserve">, with the highest concentration in </w:t>
      </w:r>
      <w:r w:rsidR="00B25CFC" w:rsidRPr="00FA4EF4">
        <w:t>NCGS-TQ-C</w:t>
      </w:r>
      <w:r w:rsidRPr="00FA4EF4">
        <w:t xml:space="preserve">5, located in the eastern portion of </w:t>
      </w:r>
      <w:r w:rsidR="00F82AD4" w:rsidRPr="00FA4EF4">
        <w:t>tailings pond 2</w:t>
      </w:r>
      <w:r w:rsidRPr="00FA4EF4">
        <w:t xml:space="preserve"> (</w:t>
      </w:r>
      <w:r w:rsidR="00292A06" w:rsidRPr="00FA4EF4">
        <w:t>Figure 11</w:t>
      </w:r>
      <w:r w:rsidR="004F2681" w:rsidRPr="00FA4EF4">
        <w:t>b</w:t>
      </w:r>
      <w:r w:rsidRPr="00FA4EF4">
        <w:t>).</w:t>
      </w:r>
      <w:r w:rsidR="00F667AD" w:rsidRPr="00FA4EF4">
        <w:t xml:space="preserve"> The </w:t>
      </w:r>
      <w:r w:rsidR="004A7754" w:rsidRPr="00FA4EF4">
        <w:t>mean</w:t>
      </w:r>
      <w:r w:rsidR="00F667AD" w:rsidRPr="00FA4EF4">
        <w:t xml:space="preserve"> Sb value for composite samples is </w:t>
      </w:r>
      <w:r w:rsidR="004A7754" w:rsidRPr="00FA4EF4">
        <w:t>113 ppm while the med</w:t>
      </w:r>
      <w:r w:rsidR="004A7754" w:rsidRPr="00FA4EF4">
        <w:rPr>
          <w:color w:val="000000"/>
        </w:rPr>
        <w:t xml:space="preserve">ian is </w:t>
      </w:r>
      <w:r w:rsidR="004B1BBE" w:rsidRPr="00FA4EF4">
        <w:rPr>
          <w:color w:val="000000"/>
        </w:rPr>
        <w:t>120 ppm.</w:t>
      </w:r>
    </w:p>
    <w:p w14:paraId="43C77989" w14:textId="2567994D" w:rsidR="00A10F9E" w:rsidRDefault="00EC61CD" w:rsidP="002C492A">
      <w:r w:rsidRPr="00FA4EF4">
        <w:t>Grab sample Sb concentrations range from 55 to 220 ppm, though most samples f</w:t>
      </w:r>
      <w:r w:rsidR="00E95DA8">
        <w:t>a</w:t>
      </w:r>
      <w:r w:rsidRPr="00FA4EF4">
        <w:t>ll from 55 to 110 ppm (Figure 11a). The mean concentration is 93 ppm, and the median is 77 ppm. The highest grab sample Sb concentrations are in NCGS-TQ-G3-28-30 (220 ppm) and NCGS-TQ-G2-6-7 (151 ppm</w:t>
      </w:r>
      <w:r w:rsidR="000C4E20">
        <w:t>; Figure 11a</w:t>
      </w:r>
      <w:r w:rsidRPr="00FA4EF4">
        <w:t xml:space="preserve">). </w:t>
      </w:r>
    </w:p>
    <w:p w14:paraId="34613214" w14:textId="2AF5CB82" w:rsidR="00123C6E" w:rsidRDefault="00123C6E" w:rsidP="002C492A">
      <w:r w:rsidRPr="00FA4EF4">
        <w:t>Drill core Sb concentrations range from 20 to 354 ppm, with a mean of 99 ppm and a median of 86 ppm. The highest concentrations are in NCGS-TQ-D5-3-4.4 (354 ppm) and NCGS-TQ-D6-3-4 (275 pm Figure 12).</w:t>
      </w:r>
    </w:p>
    <w:p w14:paraId="26F58FCA" w14:textId="77777777" w:rsidR="00AF1171" w:rsidRDefault="004A57B0" w:rsidP="005871C8">
      <w:pPr>
        <w:spacing w:after="0"/>
        <w:ind w:firstLine="0"/>
        <w:rPr>
          <w:rFonts w:cs="Times New Roman"/>
          <w:color w:val="000000"/>
          <w:sz w:val="20"/>
          <w:szCs w:val="20"/>
        </w:rPr>
      </w:pPr>
      <w:r>
        <w:rPr>
          <w:rFonts w:cs="Times New Roman"/>
          <w:noProof/>
          <w:szCs w:val="24"/>
          <w14:ligatures w14:val="standardContextual"/>
        </w:rPr>
        <w:drawing>
          <wp:inline distT="0" distB="0" distL="0" distR="0" wp14:anchorId="34547D13" wp14:editId="6125FF91">
            <wp:extent cx="5555761" cy="2560320"/>
            <wp:effectExtent l="0" t="0" r="6985" b="0"/>
            <wp:docPr id="1960291033" name="Picture 10" descr="A picture containing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91033" name="Picture 10" descr="A picture containing diagram&#10;&#10;AI-generated content may be incorrect."/>
                    <pic:cNvPicPr/>
                  </pic:nvPicPr>
                  <pic:blipFill rotWithShape="1">
                    <a:blip r:embed="rId22" cstate="print">
                      <a:extLst>
                        <a:ext uri="{28A0092B-C50C-407E-A947-70E740481C1C}">
                          <a14:useLocalDpi xmlns:a14="http://schemas.microsoft.com/office/drawing/2010/main" val="0"/>
                        </a:ext>
                      </a:extLst>
                    </a:blip>
                    <a:srcRect t="1763" b="6069"/>
                    <a:stretch/>
                  </pic:blipFill>
                  <pic:spPr bwMode="auto">
                    <a:xfrm>
                      <a:off x="0" y="0"/>
                      <a:ext cx="5555761" cy="2560320"/>
                    </a:xfrm>
                    <a:prstGeom prst="rect">
                      <a:avLst/>
                    </a:prstGeom>
                    <a:ln>
                      <a:noFill/>
                    </a:ln>
                    <a:extLst>
                      <a:ext uri="{53640926-AAD7-44D8-BBD7-CCE9431645EC}">
                        <a14:shadowObscured xmlns:a14="http://schemas.microsoft.com/office/drawing/2010/main"/>
                      </a:ext>
                    </a:extLst>
                  </pic:spPr>
                </pic:pic>
              </a:graphicData>
            </a:graphic>
          </wp:inline>
        </w:drawing>
      </w:r>
    </w:p>
    <w:p w14:paraId="55D6664A" w14:textId="4FFC8E8D" w:rsidR="00D35BAE" w:rsidRDefault="00292A06" w:rsidP="002C492A">
      <w:pPr>
        <w:pStyle w:val="Caption1"/>
      </w:pPr>
      <w:r w:rsidRPr="00FA4EF4">
        <w:t>Figure 11</w:t>
      </w:r>
      <w:r w:rsidR="00AE600D" w:rsidRPr="00FA4EF4">
        <w:t xml:space="preserve">. a. Sb </w:t>
      </w:r>
      <w:r w:rsidR="00131556" w:rsidRPr="00FA4EF4">
        <w:t xml:space="preserve">concentration </w:t>
      </w:r>
      <w:r w:rsidR="00AE600D" w:rsidRPr="00FA4EF4">
        <w:t xml:space="preserve">versus depth for composite and grab samples. b. Heat map for Sb </w:t>
      </w:r>
      <w:r w:rsidR="00850654" w:rsidRPr="00FA4EF4">
        <w:t>concentration (</w:t>
      </w:r>
      <w:r w:rsidR="00375FC1" w:rsidRPr="00FA4EF4">
        <w:t>ppm) in</w:t>
      </w:r>
      <w:r w:rsidR="00AE600D" w:rsidRPr="00FA4EF4">
        <w:t xml:space="preserve"> composite samples. Darkest blue represents the highest values with yellow representing the lowest.</w:t>
      </w:r>
      <w:r w:rsidR="003A3E0D" w:rsidRPr="00FA4EF4">
        <w:t xml:space="preserve"> See text for more information.</w:t>
      </w:r>
    </w:p>
    <w:p w14:paraId="5A154C47" w14:textId="77777777" w:rsidR="00123C6E" w:rsidRDefault="00123C6E" w:rsidP="005871C8">
      <w:pPr>
        <w:spacing w:after="0"/>
        <w:ind w:firstLine="0"/>
        <w:rPr>
          <w:rFonts w:cs="Times New Roman"/>
          <w:color w:val="000000"/>
          <w:sz w:val="20"/>
          <w:szCs w:val="20"/>
        </w:rPr>
      </w:pPr>
      <w:r>
        <w:rPr>
          <w:rFonts w:cs="Times New Roman"/>
          <w:noProof/>
          <w:szCs w:val="24"/>
          <w14:ligatures w14:val="standardContextual"/>
        </w:rPr>
        <w:drawing>
          <wp:inline distT="0" distB="0" distL="0" distR="0" wp14:anchorId="165555EF" wp14:editId="7CEF8B92">
            <wp:extent cx="5510233" cy="2560320"/>
            <wp:effectExtent l="0" t="0" r="0" b="0"/>
            <wp:docPr id="1202692448" name="Picture 37"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692448" name="Picture 37" descr="Diagram&#10;&#10;AI-generated content may be incorrect."/>
                    <pic:cNvPicPr/>
                  </pic:nvPicPr>
                  <pic:blipFill rotWithShape="1">
                    <a:blip r:embed="rId23" cstate="print">
                      <a:extLst>
                        <a:ext uri="{28A0092B-C50C-407E-A947-70E740481C1C}">
                          <a14:useLocalDpi xmlns:a14="http://schemas.microsoft.com/office/drawing/2010/main" val="0"/>
                        </a:ext>
                      </a:extLst>
                    </a:blip>
                    <a:srcRect t="1343" b="5726"/>
                    <a:stretch/>
                  </pic:blipFill>
                  <pic:spPr bwMode="auto">
                    <a:xfrm>
                      <a:off x="0" y="0"/>
                      <a:ext cx="5510233" cy="2560320"/>
                    </a:xfrm>
                    <a:prstGeom prst="rect">
                      <a:avLst/>
                    </a:prstGeom>
                    <a:ln>
                      <a:noFill/>
                    </a:ln>
                    <a:extLst>
                      <a:ext uri="{53640926-AAD7-44D8-BBD7-CCE9431645EC}">
                        <a14:shadowObscured xmlns:a14="http://schemas.microsoft.com/office/drawing/2010/main"/>
                      </a:ext>
                    </a:extLst>
                  </pic:spPr>
                </pic:pic>
              </a:graphicData>
            </a:graphic>
          </wp:inline>
        </w:drawing>
      </w:r>
    </w:p>
    <w:p w14:paraId="7E1C14C2" w14:textId="77777777" w:rsidR="00123C6E" w:rsidRPr="00D35BAE" w:rsidRDefault="00123C6E" w:rsidP="00123C6E">
      <w:pPr>
        <w:pStyle w:val="Caption1"/>
        <w:rPr>
          <w:sz w:val="24"/>
          <w:szCs w:val="24"/>
        </w:rPr>
      </w:pPr>
      <w:r w:rsidRPr="00FA4EF4">
        <w:t>Figure 12. Sb concentration versus depth for Tungsten Queen Cores. See text for more information.</w:t>
      </w:r>
    </w:p>
    <w:p w14:paraId="697B5F84" w14:textId="77777777" w:rsidR="00123C6E" w:rsidRDefault="00123C6E" w:rsidP="00EC61CD">
      <w:pPr>
        <w:rPr>
          <w:rFonts w:cs="Times New Roman"/>
          <w:i/>
          <w:iCs/>
          <w:color w:val="000000"/>
          <w:szCs w:val="24"/>
        </w:rPr>
      </w:pPr>
    </w:p>
    <w:p w14:paraId="1BFC8B96" w14:textId="77777777" w:rsidR="00123C6E" w:rsidRDefault="00123C6E" w:rsidP="00EC61CD">
      <w:pPr>
        <w:rPr>
          <w:rFonts w:cs="Times New Roman"/>
          <w:i/>
          <w:iCs/>
          <w:color w:val="000000"/>
          <w:szCs w:val="24"/>
        </w:rPr>
      </w:pPr>
    </w:p>
    <w:p w14:paraId="1D4E0E9B" w14:textId="3D0C4D41" w:rsidR="00406CE3" w:rsidRPr="00CB21FD" w:rsidRDefault="00406CE3" w:rsidP="00EC61CD">
      <w:pPr>
        <w:rPr>
          <w:rFonts w:cs="Times New Roman"/>
          <w:i/>
          <w:iCs/>
          <w:color w:val="000000"/>
          <w:szCs w:val="24"/>
        </w:rPr>
      </w:pPr>
      <w:r w:rsidRPr="00CB21FD">
        <w:rPr>
          <w:rFonts w:cs="Times New Roman"/>
          <w:i/>
          <w:iCs/>
          <w:color w:val="000000"/>
          <w:szCs w:val="24"/>
        </w:rPr>
        <w:lastRenderedPageBreak/>
        <w:t>Arsenic</w:t>
      </w:r>
    </w:p>
    <w:p w14:paraId="56930DC0" w14:textId="664E5CB5" w:rsidR="00406CE3" w:rsidRDefault="00406CE3" w:rsidP="002C492A">
      <w:r w:rsidRPr="00FA4EF4">
        <w:rPr>
          <w:color w:val="000000"/>
        </w:rPr>
        <w:t>Composite sample As concentrations range from 21 to 73 ppm</w:t>
      </w:r>
      <w:r w:rsidR="008D397A" w:rsidRPr="00FA4EF4">
        <w:t xml:space="preserve"> (</w:t>
      </w:r>
      <w:r w:rsidR="00292A06" w:rsidRPr="00FA4EF4">
        <w:t>Figure 13</w:t>
      </w:r>
      <w:r w:rsidR="008D397A" w:rsidRPr="00FA4EF4">
        <w:t>a)</w:t>
      </w:r>
      <w:r w:rsidRPr="00FA4EF4">
        <w:t xml:space="preserve">, with the highest concentrations in </w:t>
      </w:r>
      <w:r w:rsidR="003666EE" w:rsidRPr="00FA4EF4">
        <w:t>NCGS-TQ-C5</w:t>
      </w:r>
      <w:r w:rsidRPr="00FA4EF4">
        <w:t xml:space="preserve">, located in the eastern portion of </w:t>
      </w:r>
      <w:r w:rsidR="00F82AD4" w:rsidRPr="00FA4EF4">
        <w:t>tailings pond 2</w:t>
      </w:r>
      <w:r w:rsidRPr="00FA4EF4">
        <w:t xml:space="preserve"> (</w:t>
      </w:r>
      <w:r w:rsidR="00292A06" w:rsidRPr="00FA4EF4">
        <w:t>Figure 13</w:t>
      </w:r>
      <w:r w:rsidR="008D397A" w:rsidRPr="00FA4EF4">
        <w:t>b</w:t>
      </w:r>
      <w:r w:rsidRPr="00FA4EF4">
        <w:t>).</w:t>
      </w:r>
      <w:r w:rsidR="007F7DB0" w:rsidRPr="00FA4EF4">
        <w:t xml:space="preserve"> The mean concentration for composite samples </w:t>
      </w:r>
      <w:r w:rsidR="00211E80" w:rsidRPr="00FA4EF4">
        <w:t>i</w:t>
      </w:r>
      <w:r w:rsidR="007F7DB0" w:rsidRPr="00FA4EF4">
        <w:t xml:space="preserve">s </w:t>
      </w:r>
      <w:r w:rsidR="006C1AE0" w:rsidRPr="00FA4EF4">
        <w:t>43</w:t>
      </w:r>
      <w:r w:rsidR="007F7DB0" w:rsidRPr="00FA4EF4">
        <w:t xml:space="preserve"> ppm and the median concentration </w:t>
      </w:r>
      <w:r w:rsidR="00211E80" w:rsidRPr="00FA4EF4">
        <w:t>i</w:t>
      </w:r>
      <w:r w:rsidR="007F7DB0" w:rsidRPr="00FA4EF4">
        <w:t xml:space="preserve">s </w:t>
      </w:r>
      <w:r w:rsidR="006C1AE0" w:rsidRPr="00FA4EF4">
        <w:t>44</w:t>
      </w:r>
      <w:r w:rsidR="007F7DB0" w:rsidRPr="00FA4EF4">
        <w:t xml:space="preserve"> ppm.</w:t>
      </w:r>
    </w:p>
    <w:p w14:paraId="0130AB3C" w14:textId="77777777" w:rsidR="00C50024" w:rsidRDefault="005A176C" w:rsidP="005871C8">
      <w:pPr>
        <w:spacing w:after="0"/>
        <w:ind w:firstLine="0"/>
        <w:rPr>
          <w:rFonts w:cs="Times New Roman"/>
          <w:color w:val="000000"/>
          <w:sz w:val="20"/>
          <w:szCs w:val="20"/>
        </w:rPr>
      </w:pPr>
      <w:r>
        <w:rPr>
          <w:rFonts w:cs="Times New Roman"/>
          <w:noProof/>
          <w:szCs w:val="24"/>
          <w14:ligatures w14:val="standardContextual"/>
        </w:rPr>
        <w:drawing>
          <wp:inline distT="0" distB="0" distL="0" distR="0" wp14:anchorId="5757E148" wp14:editId="0DEBE87C">
            <wp:extent cx="5537886" cy="2560320"/>
            <wp:effectExtent l="0" t="0" r="5715" b="0"/>
            <wp:docPr id="1303801139" name="Picture 12" descr="A picture containing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801139" name="Picture 12" descr="A picture containing diagram&#10;&#10;AI-generated content may be incorrect."/>
                    <pic:cNvPicPr/>
                  </pic:nvPicPr>
                  <pic:blipFill rotWithShape="1">
                    <a:blip r:embed="rId24" cstate="print">
                      <a:extLst>
                        <a:ext uri="{28A0092B-C50C-407E-A947-70E740481C1C}">
                          <a14:useLocalDpi xmlns:a14="http://schemas.microsoft.com/office/drawing/2010/main" val="0"/>
                        </a:ext>
                      </a:extLst>
                    </a:blip>
                    <a:srcRect t="1661" b="5873"/>
                    <a:stretch/>
                  </pic:blipFill>
                  <pic:spPr bwMode="auto">
                    <a:xfrm>
                      <a:off x="0" y="0"/>
                      <a:ext cx="5537886" cy="2560320"/>
                    </a:xfrm>
                    <a:prstGeom prst="rect">
                      <a:avLst/>
                    </a:prstGeom>
                    <a:ln>
                      <a:noFill/>
                    </a:ln>
                    <a:extLst>
                      <a:ext uri="{53640926-AAD7-44D8-BBD7-CCE9431645EC}">
                        <a14:shadowObscured xmlns:a14="http://schemas.microsoft.com/office/drawing/2010/main"/>
                      </a:ext>
                    </a:extLst>
                  </pic:spPr>
                </pic:pic>
              </a:graphicData>
            </a:graphic>
          </wp:inline>
        </w:drawing>
      </w:r>
    </w:p>
    <w:p w14:paraId="761B771C" w14:textId="0A267A5B" w:rsidR="005679E0" w:rsidRPr="00AB1AD6" w:rsidRDefault="00292A06" w:rsidP="002C492A">
      <w:pPr>
        <w:pStyle w:val="Caption1"/>
        <w:rPr>
          <w:sz w:val="24"/>
          <w:szCs w:val="24"/>
        </w:rPr>
      </w:pPr>
      <w:r w:rsidRPr="00FA4EF4">
        <w:t>Figure 13</w:t>
      </w:r>
      <w:r w:rsidR="005679E0" w:rsidRPr="00FA4EF4">
        <w:t xml:space="preserve">. a. As </w:t>
      </w:r>
      <w:r w:rsidR="00131556" w:rsidRPr="00FA4EF4">
        <w:t xml:space="preserve">concentration </w:t>
      </w:r>
      <w:r w:rsidR="005679E0" w:rsidRPr="00FA4EF4">
        <w:t>versus depth for composite and grab samples. b. Heat map for As concentration</w:t>
      </w:r>
      <w:r w:rsidR="00317B9B" w:rsidRPr="00FA4EF4">
        <w:t xml:space="preserve"> (ppm)</w:t>
      </w:r>
      <w:r w:rsidR="005679E0" w:rsidRPr="00FA4EF4">
        <w:t xml:space="preserve"> in composite samples. Darkest blue represents the highest values with yellow representing the lowest.</w:t>
      </w:r>
      <w:r w:rsidR="003A3E0D" w:rsidRPr="00FA4EF4">
        <w:t xml:space="preserve"> See text for more information.</w:t>
      </w:r>
    </w:p>
    <w:p w14:paraId="6283567D" w14:textId="2501ABF3" w:rsidR="00406CE3" w:rsidRPr="00FA4EF4" w:rsidRDefault="00406CE3" w:rsidP="002C492A">
      <w:r w:rsidRPr="00FA4EF4">
        <w:t>Grab sample As concentrations range from 18 to 73 ppm, spanning a similar range as the composite samples</w:t>
      </w:r>
      <w:r w:rsidR="00C3470D" w:rsidRPr="00FA4EF4">
        <w:t xml:space="preserve"> (</w:t>
      </w:r>
      <w:r w:rsidR="00292A06" w:rsidRPr="00FA4EF4">
        <w:t>Figure 13</w:t>
      </w:r>
      <w:r w:rsidR="00C3470D" w:rsidRPr="00FA4EF4">
        <w:t>a)</w:t>
      </w:r>
      <w:r w:rsidRPr="00FA4EF4">
        <w:t xml:space="preserve">. </w:t>
      </w:r>
      <w:r w:rsidR="00171825" w:rsidRPr="00FA4EF4">
        <w:t xml:space="preserve">The </w:t>
      </w:r>
      <w:r w:rsidR="00211E80" w:rsidRPr="00FA4EF4">
        <w:t>mean</w:t>
      </w:r>
      <w:r w:rsidR="00171825" w:rsidRPr="00FA4EF4">
        <w:t xml:space="preserve"> </w:t>
      </w:r>
      <w:r w:rsidR="00211E80" w:rsidRPr="00FA4EF4">
        <w:t xml:space="preserve">As concentration is </w:t>
      </w:r>
      <w:r w:rsidR="00107969" w:rsidRPr="00FA4EF4">
        <w:t>33</w:t>
      </w:r>
      <w:r w:rsidR="00211E80" w:rsidRPr="00FA4EF4">
        <w:t xml:space="preserve"> ppm while the median was </w:t>
      </w:r>
      <w:r w:rsidR="00107969" w:rsidRPr="00FA4EF4">
        <w:t>30</w:t>
      </w:r>
      <w:r w:rsidR="00211E80" w:rsidRPr="00FA4EF4">
        <w:t xml:space="preserve"> ppm.</w:t>
      </w:r>
      <w:r w:rsidR="00107969" w:rsidRPr="00FA4EF4">
        <w:t xml:space="preserve"> </w:t>
      </w:r>
      <w:r w:rsidRPr="00FA4EF4">
        <w:t xml:space="preserve">The highest grab sample As concentrations </w:t>
      </w:r>
      <w:r w:rsidR="002142C0" w:rsidRPr="00FA4EF4">
        <w:t>are</w:t>
      </w:r>
      <w:r w:rsidRPr="00FA4EF4">
        <w:t xml:space="preserve"> from </w:t>
      </w:r>
      <w:r w:rsidR="003666EE" w:rsidRPr="00FA4EF4">
        <w:t>NCGS-TQ-G2-0-4</w:t>
      </w:r>
      <w:r w:rsidRPr="00FA4EF4">
        <w:t xml:space="preserve"> (73 ppm) and </w:t>
      </w:r>
      <w:r w:rsidR="003666EE" w:rsidRPr="00FA4EF4">
        <w:t>NCGS-TQ-G3-28-30</w:t>
      </w:r>
      <w:r w:rsidRPr="00FA4EF4">
        <w:t xml:space="preserve"> (56 ppm</w:t>
      </w:r>
      <w:r w:rsidR="00C80F53">
        <w:t>; Figure 13a</w:t>
      </w:r>
      <w:r w:rsidRPr="00FA4EF4">
        <w:t xml:space="preserve">). </w:t>
      </w:r>
    </w:p>
    <w:p w14:paraId="7E370273" w14:textId="65FB4106" w:rsidR="005934DE" w:rsidRDefault="00406CE3" w:rsidP="00EC61CD">
      <w:pPr>
        <w:rPr>
          <w:rFonts w:cs="Times New Roman"/>
          <w:szCs w:val="24"/>
        </w:rPr>
      </w:pPr>
      <w:r w:rsidRPr="00FA4EF4">
        <w:t xml:space="preserve">Four drill cores have As concentrations below </w:t>
      </w:r>
      <w:r w:rsidR="00DA1F05" w:rsidRPr="00FA4EF4">
        <w:t xml:space="preserve">the 10 ppm </w:t>
      </w:r>
      <w:r w:rsidRPr="00FA4EF4">
        <w:t>detection limit (</w:t>
      </w:r>
      <w:bookmarkStart w:id="7" w:name="_Hlk201067671"/>
      <w:r w:rsidR="00CA50B1" w:rsidRPr="00FA4EF4">
        <w:t>NCGS-TQ-D</w:t>
      </w:r>
      <w:r w:rsidR="0073408B" w:rsidRPr="00FA4EF4">
        <w:t>2-2-3</w:t>
      </w:r>
      <w:bookmarkEnd w:id="7"/>
      <w:r w:rsidR="0073408B" w:rsidRPr="00FA4EF4">
        <w:t>, NCGS-TQ-D2-</w:t>
      </w:r>
      <w:r w:rsidR="00F773F4" w:rsidRPr="00FA4EF4">
        <w:t>4</w:t>
      </w:r>
      <w:r w:rsidR="0073408B" w:rsidRPr="00FA4EF4">
        <w:t>-</w:t>
      </w:r>
      <w:r w:rsidR="00F773F4" w:rsidRPr="00FA4EF4">
        <w:t xml:space="preserve">5, </w:t>
      </w:r>
      <w:r w:rsidR="005E1131" w:rsidRPr="00FA4EF4">
        <w:t>NCGS-TQ-D7-20-21, and NCGS-TQ-D</w:t>
      </w:r>
      <w:r w:rsidR="00451069" w:rsidRPr="00FA4EF4">
        <w:t>7</w:t>
      </w:r>
      <w:r w:rsidR="005E1131" w:rsidRPr="00FA4EF4">
        <w:t>-2</w:t>
      </w:r>
      <w:r w:rsidR="007D4158" w:rsidRPr="00FA4EF4">
        <w:t>2</w:t>
      </w:r>
      <w:r w:rsidR="005E1131" w:rsidRPr="00FA4EF4">
        <w:t>-</w:t>
      </w:r>
      <w:r w:rsidR="007D4158" w:rsidRPr="00FA4EF4">
        <w:t>2</w:t>
      </w:r>
      <w:r w:rsidR="005E1131" w:rsidRPr="00FA4EF4">
        <w:t>3</w:t>
      </w:r>
      <w:r w:rsidR="00740128" w:rsidRPr="00FA4EF4">
        <w:t>Ave</w:t>
      </w:r>
      <w:r w:rsidRPr="00FA4EF4">
        <w:t>), while the rest range from 10 to 131 ppm</w:t>
      </w:r>
      <w:r w:rsidR="004E3CD6" w:rsidRPr="00FA4EF4">
        <w:t xml:space="preserve"> with a mean of </w:t>
      </w:r>
      <w:r w:rsidR="0099252A" w:rsidRPr="00FA4EF4">
        <w:t>40</w:t>
      </w:r>
      <w:r w:rsidR="004E3CD6" w:rsidRPr="00FA4EF4">
        <w:t xml:space="preserve"> ppm and a median of </w:t>
      </w:r>
      <w:r w:rsidR="0099252A" w:rsidRPr="00FA4EF4">
        <w:t>3</w:t>
      </w:r>
      <w:r w:rsidR="0007171B" w:rsidRPr="00FA4EF4">
        <w:t>6</w:t>
      </w:r>
      <w:r w:rsidR="004E3CD6" w:rsidRPr="00FA4EF4">
        <w:t xml:space="preserve"> ppm</w:t>
      </w:r>
      <w:r w:rsidR="002B520D">
        <w:t xml:space="preserve"> (Figure 14)</w:t>
      </w:r>
      <w:r w:rsidR="004E3CD6" w:rsidRPr="00FA4EF4">
        <w:t>.</w:t>
      </w:r>
      <w:r w:rsidRPr="00FA4EF4">
        <w:t xml:space="preserve"> The </w:t>
      </w:r>
    </w:p>
    <w:p w14:paraId="0185003D" w14:textId="77777777" w:rsidR="00D36696" w:rsidRDefault="00DB028E" w:rsidP="002A7932">
      <w:pPr>
        <w:spacing w:after="0"/>
        <w:ind w:firstLine="0"/>
        <w:rPr>
          <w:rFonts w:cs="Times New Roman"/>
          <w:color w:val="000000"/>
          <w:sz w:val="20"/>
          <w:szCs w:val="20"/>
        </w:rPr>
      </w:pPr>
      <w:r>
        <w:rPr>
          <w:rFonts w:cs="Times New Roman"/>
          <w:noProof/>
          <w:szCs w:val="24"/>
          <w14:ligatures w14:val="standardContextual"/>
        </w:rPr>
        <w:drawing>
          <wp:inline distT="0" distB="0" distL="0" distR="0" wp14:anchorId="260E0C39" wp14:editId="7221275A">
            <wp:extent cx="5514527" cy="2560320"/>
            <wp:effectExtent l="0" t="0" r="0" b="0"/>
            <wp:docPr id="1590515397" name="Picture 13"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515397" name="Picture 13" descr="Diagram&#10;&#10;AI-generated content may be incorrect."/>
                    <pic:cNvPicPr/>
                  </pic:nvPicPr>
                  <pic:blipFill rotWithShape="1">
                    <a:blip r:embed="rId25" cstate="print">
                      <a:extLst>
                        <a:ext uri="{28A0092B-C50C-407E-A947-70E740481C1C}">
                          <a14:useLocalDpi xmlns:a14="http://schemas.microsoft.com/office/drawing/2010/main" val="0"/>
                        </a:ext>
                      </a:extLst>
                    </a:blip>
                    <a:srcRect t="1442" b="5701"/>
                    <a:stretch/>
                  </pic:blipFill>
                  <pic:spPr bwMode="auto">
                    <a:xfrm>
                      <a:off x="0" y="0"/>
                      <a:ext cx="5514527" cy="2560320"/>
                    </a:xfrm>
                    <a:prstGeom prst="rect">
                      <a:avLst/>
                    </a:prstGeom>
                    <a:ln>
                      <a:noFill/>
                    </a:ln>
                    <a:extLst>
                      <a:ext uri="{53640926-AAD7-44D8-BBD7-CCE9431645EC}">
                        <a14:shadowObscured xmlns:a14="http://schemas.microsoft.com/office/drawing/2010/main"/>
                      </a:ext>
                    </a:extLst>
                  </pic:spPr>
                </pic:pic>
              </a:graphicData>
            </a:graphic>
          </wp:inline>
        </w:drawing>
      </w:r>
    </w:p>
    <w:p w14:paraId="32ED3882" w14:textId="6432877F" w:rsidR="00295812" w:rsidRPr="00DB028E" w:rsidRDefault="00292A06" w:rsidP="002C492A">
      <w:pPr>
        <w:pStyle w:val="Caption1"/>
        <w:rPr>
          <w:sz w:val="24"/>
          <w:szCs w:val="24"/>
        </w:rPr>
      </w:pPr>
      <w:r w:rsidRPr="00FA4EF4">
        <w:t>Figure 14</w:t>
      </w:r>
      <w:r w:rsidR="00295812" w:rsidRPr="00FA4EF4">
        <w:t>. As concentration versus depth for Tungsten Queen Cores. See text for more information.</w:t>
      </w:r>
    </w:p>
    <w:p w14:paraId="0AB83004" w14:textId="5716C804" w:rsidR="002B520D" w:rsidRDefault="002B520D" w:rsidP="002B520D">
      <w:pPr>
        <w:ind w:firstLine="0"/>
        <w:rPr>
          <w:rFonts w:cs="Times New Roman"/>
          <w:i/>
          <w:iCs/>
          <w:color w:val="000000"/>
          <w:szCs w:val="24"/>
        </w:rPr>
      </w:pPr>
      <w:r w:rsidRPr="00FA4EF4">
        <w:lastRenderedPageBreak/>
        <w:t>highest As concentrations are in samples NCGS-TQ-D6-3-4 (131 pm) and NCGS-TQ-D5-3-4.4 (118 ppm; Figure 14).</w:t>
      </w:r>
    </w:p>
    <w:p w14:paraId="0705BE25" w14:textId="72FA6316" w:rsidR="00AF5C3F" w:rsidRPr="00CB21FD" w:rsidRDefault="00AF5C3F" w:rsidP="00EC61CD">
      <w:pPr>
        <w:rPr>
          <w:rFonts w:cs="Times New Roman"/>
          <w:i/>
          <w:iCs/>
          <w:color w:val="000000"/>
          <w:szCs w:val="24"/>
        </w:rPr>
      </w:pPr>
      <w:r w:rsidRPr="00CB21FD">
        <w:rPr>
          <w:rFonts w:cs="Times New Roman"/>
          <w:i/>
          <w:iCs/>
          <w:color w:val="000000"/>
          <w:szCs w:val="24"/>
        </w:rPr>
        <w:t>Tellurium</w:t>
      </w:r>
    </w:p>
    <w:p w14:paraId="025C43CC" w14:textId="1D336A55" w:rsidR="00AF5C3F" w:rsidRDefault="00AF5C3F" w:rsidP="002C492A">
      <w:r w:rsidRPr="00FA4EF4">
        <w:t>Composite sample Te concentrations range from 11.1 to 31.0 ppm</w:t>
      </w:r>
      <w:r w:rsidR="00403BB2" w:rsidRPr="00FA4EF4">
        <w:t xml:space="preserve"> (</w:t>
      </w:r>
      <w:r w:rsidR="0064154E" w:rsidRPr="00FA4EF4">
        <w:t>Figure 15</w:t>
      </w:r>
      <w:r w:rsidR="00403BB2" w:rsidRPr="00FA4EF4">
        <w:t>a)</w:t>
      </w:r>
      <w:r w:rsidRPr="00FA4EF4">
        <w:t xml:space="preserve">, with the highest concentrations in </w:t>
      </w:r>
      <w:r w:rsidR="002655EB" w:rsidRPr="00FA4EF4">
        <w:t>NCGS-TQ-C5</w:t>
      </w:r>
      <w:r w:rsidRPr="00FA4EF4">
        <w:t xml:space="preserve">, located in the eastern portion of </w:t>
      </w:r>
      <w:r w:rsidR="00F82AD4" w:rsidRPr="00FA4EF4">
        <w:t>tailings pond 2</w:t>
      </w:r>
      <w:r w:rsidRPr="00FA4EF4">
        <w:t xml:space="preserve"> (</w:t>
      </w:r>
      <w:r w:rsidR="0064154E" w:rsidRPr="00FA4EF4">
        <w:t>Figure 15</w:t>
      </w:r>
      <w:r w:rsidR="00403BB2" w:rsidRPr="00FA4EF4">
        <w:t>b</w:t>
      </w:r>
      <w:r w:rsidRPr="00FA4EF4">
        <w:t>).</w:t>
      </w:r>
      <w:r w:rsidR="005559B4" w:rsidRPr="00FA4EF4">
        <w:t xml:space="preserve"> The mean</w:t>
      </w:r>
      <w:r w:rsidR="00EA6C8E" w:rsidRPr="00FA4EF4">
        <w:t xml:space="preserve"> and median</w:t>
      </w:r>
      <w:r w:rsidR="005559B4" w:rsidRPr="00FA4EF4">
        <w:t xml:space="preserve"> </w:t>
      </w:r>
      <w:r w:rsidR="008E0554" w:rsidRPr="00FA4EF4">
        <w:t xml:space="preserve">composite sample </w:t>
      </w:r>
      <w:r w:rsidR="005559B4" w:rsidRPr="00FA4EF4">
        <w:t>Te concentration</w:t>
      </w:r>
      <w:r w:rsidR="00EA6C8E" w:rsidRPr="00FA4EF4">
        <w:t>s</w:t>
      </w:r>
      <w:r w:rsidR="005559B4" w:rsidRPr="00FA4EF4">
        <w:t xml:space="preserve"> </w:t>
      </w:r>
      <w:r w:rsidR="00EA6C8E" w:rsidRPr="00FA4EF4">
        <w:t>are both</w:t>
      </w:r>
      <w:r w:rsidR="005559B4" w:rsidRPr="00FA4EF4">
        <w:t xml:space="preserve"> </w:t>
      </w:r>
      <w:r w:rsidR="008E0554" w:rsidRPr="00FA4EF4">
        <w:t>19</w:t>
      </w:r>
      <w:r w:rsidR="005559B4" w:rsidRPr="00FA4EF4">
        <w:t xml:space="preserve"> ppm.</w:t>
      </w:r>
    </w:p>
    <w:p w14:paraId="028ABBCE" w14:textId="77777777" w:rsidR="00383436" w:rsidRDefault="00834F6E" w:rsidP="002A7932">
      <w:pPr>
        <w:spacing w:after="0"/>
        <w:ind w:firstLine="0"/>
        <w:rPr>
          <w:rFonts w:cs="Times New Roman"/>
          <w:color w:val="000000"/>
          <w:sz w:val="20"/>
          <w:szCs w:val="20"/>
        </w:rPr>
      </w:pPr>
      <w:r>
        <w:rPr>
          <w:rFonts w:cs="Times New Roman"/>
          <w:noProof/>
          <w:szCs w:val="24"/>
          <w14:ligatures w14:val="standardContextual"/>
        </w:rPr>
        <w:drawing>
          <wp:inline distT="0" distB="0" distL="0" distR="0" wp14:anchorId="33518238" wp14:editId="663C8503">
            <wp:extent cx="5546758" cy="2560320"/>
            <wp:effectExtent l="0" t="0" r="0" b="0"/>
            <wp:docPr id="1476096247" name="Picture 14" descr="A picture containing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096247" name="Picture 14" descr="A picture containing table&#10;&#10;AI-generated content may be incorrect."/>
                    <pic:cNvPicPr/>
                  </pic:nvPicPr>
                  <pic:blipFill rotWithShape="1">
                    <a:blip r:embed="rId26" cstate="print">
                      <a:extLst>
                        <a:ext uri="{28A0092B-C50C-407E-A947-70E740481C1C}">
                          <a14:useLocalDpi xmlns:a14="http://schemas.microsoft.com/office/drawing/2010/main" val="0"/>
                        </a:ext>
                      </a:extLst>
                    </a:blip>
                    <a:srcRect t="1763" b="5919"/>
                    <a:stretch/>
                  </pic:blipFill>
                  <pic:spPr bwMode="auto">
                    <a:xfrm>
                      <a:off x="0" y="0"/>
                      <a:ext cx="5546758" cy="2560320"/>
                    </a:xfrm>
                    <a:prstGeom prst="rect">
                      <a:avLst/>
                    </a:prstGeom>
                    <a:ln>
                      <a:noFill/>
                    </a:ln>
                    <a:extLst>
                      <a:ext uri="{53640926-AAD7-44D8-BBD7-CCE9431645EC}">
                        <a14:shadowObscured xmlns:a14="http://schemas.microsoft.com/office/drawing/2010/main"/>
                      </a:ext>
                    </a:extLst>
                  </pic:spPr>
                </pic:pic>
              </a:graphicData>
            </a:graphic>
          </wp:inline>
        </w:drawing>
      </w:r>
    </w:p>
    <w:p w14:paraId="5D197907" w14:textId="4815AC95" w:rsidR="001C73A5" w:rsidRDefault="0064154E" w:rsidP="002C492A">
      <w:pPr>
        <w:pStyle w:val="Caption1"/>
      </w:pPr>
      <w:r w:rsidRPr="00FA4EF4">
        <w:t>Figure 15</w:t>
      </w:r>
      <w:r w:rsidR="001C73A5" w:rsidRPr="00FA4EF4">
        <w:t xml:space="preserve">. a. Te </w:t>
      </w:r>
      <w:r w:rsidR="00131556" w:rsidRPr="00FA4EF4">
        <w:t xml:space="preserve">concentration </w:t>
      </w:r>
      <w:r w:rsidR="001C73A5" w:rsidRPr="00FA4EF4">
        <w:t>versus depth for composite and grab samples. b. Heat map for Te concentration</w:t>
      </w:r>
      <w:r w:rsidR="0051458A" w:rsidRPr="00FA4EF4">
        <w:t xml:space="preserve"> (ppm)</w:t>
      </w:r>
      <w:r w:rsidR="001C73A5" w:rsidRPr="00FA4EF4">
        <w:t xml:space="preserve"> in composite samples. Darkest blue represents the highest values with yellow representing the lowest.</w:t>
      </w:r>
      <w:r w:rsidR="003A3E0D" w:rsidRPr="00FA4EF4">
        <w:t xml:space="preserve"> See text for more information.</w:t>
      </w:r>
    </w:p>
    <w:p w14:paraId="3D4812EF" w14:textId="23A60C9C" w:rsidR="0078604F" w:rsidRPr="00FA4EF4" w:rsidRDefault="0078604F" w:rsidP="002C492A">
      <w:r w:rsidRPr="00FA4EF4">
        <w:t>Grab sample Te concentrations range from 13.7 to 58.8 ppm, although only one sample has a concentration &gt;3</w:t>
      </w:r>
      <w:r w:rsidR="009B4979">
        <w:t>6</w:t>
      </w:r>
      <w:r w:rsidRPr="00FA4EF4">
        <w:t xml:space="preserve"> ppm (Figure 15a). The mean concentration is 23 ppm with a median of 17 ppm. The highest grab sample Te concentrations are in NCGS-TQ-G2-0-4 (58.8 ppm) and NCGS-TQ-G3-28-30 (35.2 ppm</w:t>
      </w:r>
      <w:r w:rsidR="003A774F">
        <w:t>; Figure 15a</w:t>
      </w:r>
      <w:r w:rsidRPr="00FA4EF4">
        <w:t>).</w:t>
      </w:r>
    </w:p>
    <w:p w14:paraId="795C7438" w14:textId="290C1639" w:rsidR="0062788F" w:rsidRPr="007771E2" w:rsidRDefault="0078604F" w:rsidP="002C492A">
      <w:r w:rsidRPr="00FA4EF4">
        <w:t>Drill cores range from 12.8 to 69.9 ppm Te, with a mean of 24 ppm and a median of 22 ppm. The highest Te concentrations are in NCGS-TQ-D5-3-4.4 (69.9 ppm), NCGS-TQ-D2-6-7 (66.0 ppm), and NCGS-TQ-D6-3-4 (62.7 pm; Figure 16).</w:t>
      </w:r>
    </w:p>
    <w:p w14:paraId="1F91AFB8" w14:textId="77777777" w:rsidR="00B77E7E" w:rsidRDefault="001576AE" w:rsidP="002A7932">
      <w:pPr>
        <w:spacing w:after="0"/>
        <w:ind w:firstLine="0"/>
        <w:rPr>
          <w:rFonts w:cs="Times New Roman"/>
          <w:color w:val="000000"/>
          <w:sz w:val="20"/>
          <w:szCs w:val="20"/>
        </w:rPr>
      </w:pPr>
      <w:r>
        <w:rPr>
          <w:rFonts w:cs="Times New Roman"/>
          <w:noProof/>
          <w:szCs w:val="24"/>
          <w14:ligatures w14:val="standardContextual"/>
        </w:rPr>
        <w:drawing>
          <wp:inline distT="0" distB="0" distL="0" distR="0" wp14:anchorId="4BE72332" wp14:editId="574AF837">
            <wp:extent cx="5537148" cy="2560320"/>
            <wp:effectExtent l="0" t="0" r="6985" b="0"/>
            <wp:docPr id="2014971748" name="Picture 15"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971748" name="Picture 15" descr="Diagram&#10;&#10;AI-generated content may be incorrect."/>
                    <pic:cNvPicPr/>
                  </pic:nvPicPr>
                  <pic:blipFill rotWithShape="1">
                    <a:blip r:embed="rId27" cstate="print">
                      <a:extLst>
                        <a:ext uri="{28A0092B-C50C-407E-A947-70E740481C1C}">
                          <a14:useLocalDpi xmlns:a14="http://schemas.microsoft.com/office/drawing/2010/main" val="0"/>
                        </a:ext>
                      </a:extLst>
                    </a:blip>
                    <a:srcRect t="1122" b="6401"/>
                    <a:stretch/>
                  </pic:blipFill>
                  <pic:spPr bwMode="auto">
                    <a:xfrm>
                      <a:off x="0" y="0"/>
                      <a:ext cx="5537148" cy="2560320"/>
                    </a:xfrm>
                    <a:prstGeom prst="rect">
                      <a:avLst/>
                    </a:prstGeom>
                    <a:ln>
                      <a:noFill/>
                    </a:ln>
                    <a:extLst>
                      <a:ext uri="{53640926-AAD7-44D8-BBD7-CCE9431645EC}">
                        <a14:shadowObscured xmlns:a14="http://schemas.microsoft.com/office/drawing/2010/main"/>
                      </a:ext>
                    </a:extLst>
                  </pic:spPr>
                </pic:pic>
              </a:graphicData>
            </a:graphic>
          </wp:inline>
        </w:drawing>
      </w:r>
    </w:p>
    <w:p w14:paraId="14D7E047" w14:textId="7776B1D8" w:rsidR="002473D8" w:rsidRPr="0062788F" w:rsidRDefault="0064154E" w:rsidP="002C492A">
      <w:pPr>
        <w:pStyle w:val="Caption1"/>
        <w:rPr>
          <w:sz w:val="24"/>
          <w:szCs w:val="24"/>
        </w:rPr>
      </w:pPr>
      <w:r w:rsidRPr="00FA4EF4">
        <w:t>Figure 16</w:t>
      </w:r>
      <w:r w:rsidR="002473D8" w:rsidRPr="00FA4EF4">
        <w:t>. Te concentration versus depth for Tungsten Queen Cores. See text for more information.</w:t>
      </w:r>
    </w:p>
    <w:p w14:paraId="175486FB" w14:textId="77777777" w:rsidR="00A363E0" w:rsidRPr="00CB21FD" w:rsidRDefault="00A363E0" w:rsidP="00EC61CD">
      <w:pPr>
        <w:rPr>
          <w:rFonts w:cs="Times New Roman"/>
          <w:i/>
          <w:iCs/>
          <w:color w:val="000000"/>
          <w:szCs w:val="24"/>
        </w:rPr>
      </w:pPr>
      <w:r w:rsidRPr="00CB21FD">
        <w:rPr>
          <w:rFonts w:cs="Times New Roman"/>
          <w:i/>
          <w:iCs/>
          <w:color w:val="000000"/>
          <w:szCs w:val="24"/>
        </w:rPr>
        <w:lastRenderedPageBreak/>
        <w:t>Vanadium</w:t>
      </w:r>
    </w:p>
    <w:p w14:paraId="20CB1717" w14:textId="0E51FF2E" w:rsidR="00A363E0" w:rsidRDefault="00A363E0" w:rsidP="002C492A">
      <w:r w:rsidRPr="00FA4EF4">
        <w:t>Composite sample V concentrations range from 20 to 55 ppm</w:t>
      </w:r>
      <w:r w:rsidR="00E7110E" w:rsidRPr="00FA4EF4">
        <w:t xml:space="preserve"> (</w:t>
      </w:r>
      <w:r w:rsidR="0064154E" w:rsidRPr="00FA4EF4">
        <w:t>Figure 17</w:t>
      </w:r>
      <w:r w:rsidR="00E7110E" w:rsidRPr="00FA4EF4">
        <w:t>a)</w:t>
      </w:r>
      <w:r w:rsidRPr="00FA4EF4">
        <w:t xml:space="preserve">, </w:t>
      </w:r>
      <w:r w:rsidR="0046284E" w:rsidRPr="00FA4EF4">
        <w:t>with a mean of 28 ppm and a median of 25 ppm.</w:t>
      </w:r>
      <w:r w:rsidRPr="00FA4EF4">
        <w:t xml:space="preserve"> The highest concentration is in </w:t>
      </w:r>
      <w:r w:rsidR="003666EE" w:rsidRPr="00FA4EF4">
        <w:t>NCGS-TQ-C5</w:t>
      </w:r>
      <w:r w:rsidRPr="00FA4EF4">
        <w:t xml:space="preserve">, located in the eastern portion of </w:t>
      </w:r>
      <w:r w:rsidR="00F82AD4" w:rsidRPr="00FA4EF4">
        <w:t>tailings pond 2</w:t>
      </w:r>
      <w:r w:rsidRPr="00FA4EF4">
        <w:t xml:space="preserve"> (</w:t>
      </w:r>
      <w:r w:rsidR="0064154E" w:rsidRPr="00FA4EF4">
        <w:t>Figure 17</w:t>
      </w:r>
      <w:r w:rsidR="00E7110E" w:rsidRPr="00FA4EF4">
        <w:t>b</w:t>
      </w:r>
      <w:r w:rsidRPr="00FA4EF4">
        <w:t>).</w:t>
      </w:r>
    </w:p>
    <w:p w14:paraId="1045A409" w14:textId="77777777" w:rsidR="00B77E7E" w:rsidRDefault="000672FE" w:rsidP="002A7932">
      <w:pPr>
        <w:spacing w:after="0"/>
        <w:ind w:firstLine="0"/>
        <w:rPr>
          <w:rFonts w:cs="Times New Roman"/>
          <w:color w:val="000000"/>
          <w:sz w:val="20"/>
          <w:szCs w:val="20"/>
        </w:rPr>
      </w:pPr>
      <w:r>
        <w:rPr>
          <w:rFonts w:cs="Times New Roman"/>
          <w:noProof/>
          <w:szCs w:val="24"/>
          <w14:ligatures w14:val="standardContextual"/>
        </w:rPr>
        <w:drawing>
          <wp:inline distT="0" distB="0" distL="0" distR="0" wp14:anchorId="29C52023" wp14:editId="68A9ADF6">
            <wp:extent cx="5568291" cy="2560320"/>
            <wp:effectExtent l="0" t="0" r="0" b="0"/>
            <wp:docPr id="1352718913" name="Picture 16" descr="A picture containing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718913" name="Picture 16" descr="A picture containing map&#10;&#10;AI-generated content may be incorrect."/>
                    <pic:cNvPicPr/>
                  </pic:nvPicPr>
                  <pic:blipFill rotWithShape="1">
                    <a:blip r:embed="rId28" cstate="print">
                      <a:extLst>
                        <a:ext uri="{28A0092B-C50C-407E-A947-70E740481C1C}">
                          <a14:useLocalDpi xmlns:a14="http://schemas.microsoft.com/office/drawing/2010/main" val="0"/>
                        </a:ext>
                      </a:extLst>
                    </a:blip>
                    <a:srcRect t="2014" b="6025"/>
                    <a:stretch/>
                  </pic:blipFill>
                  <pic:spPr bwMode="auto">
                    <a:xfrm>
                      <a:off x="0" y="0"/>
                      <a:ext cx="5568291" cy="2560320"/>
                    </a:xfrm>
                    <a:prstGeom prst="rect">
                      <a:avLst/>
                    </a:prstGeom>
                    <a:ln>
                      <a:noFill/>
                    </a:ln>
                    <a:extLst>
                      <a:ext uri="{53640926-AAD7-44D8-BBD7-CCE9431645EC}">
                        <a14:shadowObscured xmlns:a14="http://schemas.microsoft.com/office/drawing/2010/main"/>
                      </a:ext>
                    </a:extLst>
                  </pic:spPr>
                </pic:pic>
              </a:graphicData>
            </a:graphic>
          </wp:inline>
        </w:drawing>
      </w:r>
    </w:p>
    <w:p w14:paraId="736B5EBF" w14:textId="43BEF83A" w:rsidR="00C50760" w:rsidRPr="000672FE" w:rsidRDefault="0064154E" w:rsidP="002C492A">
      <w:pPr>
        <w:pStyle w:val="Caption1"/>
        <w:rPr>
          <w:sz w:val="24"/>
          <w:szCs w:val="24"/>
        </w:rPr>
      </w:pPr>
      <w:r w:rsidRPr="00FA4EF4">
        <w:t>Figure 17</w:t>
      </w:r>
      <w:r w:rsidR="00C50760" w:rsidRPr="00FA4EF4">
        <w:t xml:space="preserve">. a. V </w:t>
      </w:r>
      <w:r w:rsidR="00131556" w:rsidRPr="00FA4EF4">
        <w:t xml:space="preserve">concentration </w:t>
      </w:r>
      <w:r w:rsidR="00C50760" w:rsidRPr="00FA4EF4">
        <w:t>versus depth for composite and grab samples. b. Heat map for V concentration</w:t>
      </w:r>
      <w:r w:rsidR="00A552D4" w:rsidRPr="00FA4EF4">
        <w:t xml:space="preserve"> (ppm)</w:t>
      </w:r>
      <w:r w:rsidR="00C50760" w:rsidRPr="00FA4EF4">
        <w:t xml:space="preserve"> in composite samples. Darkest blue represents the highest values with yellow representing the lowest.</w:t>
      </w:r>
      <w:r w:rsidR="003A3E0D" w:rsidRPr="00FA4EF4">
        <w:t xml:space="preserve"> See text for more information.</w:t>
      </w:r>
    </w:p>
    <w:p w14:paraId="2A4180E8" w14:textId="6D28C8F9" w:rsidR="00A363E0" w:rsidRPr="00FA4EF4" w:rsidRDefault="00A363E0" w:rsidP="002C492A">
      <w:r w:rsidRPr="00FA4EF4">
        <w:t xml:space="preserve">Grab sample V concentrations range from 18 to 76 </w:t>
      </w:r>
      <w:r w:rsidR="001A036A" w:rsidRPr="00FA4EF4">
        <w:t>ppm</w:t>
      </w:r>
      <w:r w:rsidR="00BE0D63">
        <w:t xml:space="preserve">, with </w:t>
      </w:r>
      <w:r w:rsidR="001A036A" w:rsidRPr="00FA4EF4">
        <w:t xml:space="preserve">mean </w:t>
      </w:r>
      <w:r w:rsidR="00BE0D63">
        <w:t>of</w:t>
      </w:r>
      <w:r w:rsidR="001A036A" w:rsidRPr="00FA4EF4">
        <w:t xml:space="preserve"> 32 ppm </w:t>
      </w:r>
      <w:r w:rsidR="00A056EF">
        <w:t>and</w:t>
      </w:r>
      <w:r w:rsidR="001A036A" w:rsidRPr="00FA4EF4">
        <w:t xml:space="preserve"> a median value of 28 ppm</w:t>
      </w:r>
      <w:r w:rsidR="00BE0D63">
        <w:t>. T</w:t>
      </w:r>
      <w:r w:rsidR="003E581A">
        <w:t>he</w:t>
      </w:r>
      <w:r w:rsidR="00190F65" w:rsidRPr="00FA4EF4">
        <w:t xml:space="preserve"> </w:t>
      </w:r>
      <w:r w:rsidRPr="00FA4EF4">
        <w:t>highest concentrations</w:t>
      </w:r>
      <w:r w:rsidR="003E581A">
        <w:t xml:space="preserve"> are</w:t>
      </w:r>
      <w:r w:rsidRPr="00FA4EF4">
        <w:t xml:space="preserve"> </w:t>
      </w:r>
      <w:r w:rsidR="00190F65" w:rsidRPr="00FA4EF4">
        <w:t>in</w:t>
      </w:r>
      <w:r w:rsidRPr="00FA4EF4">
        <w:t xml:space="preserve"> </w:t>
      </w:r>
      <w:r w:rsidR="00D73DD5" w:rsidRPr="00FA4EF4">
        <w:t>NCGS-TQ-G3-28-30</w:t>
      </w:r>
      <w:r w:rsidRPr="00FA4EF4">
        <w:t xml:space="preserve"> (76 ppm) and </w:t>
      </w:r>
      <w:r w:rsidR="00E87BEC" w:rsidRPr="00FA4EF4">
        <w:t>NCGS-TQ-G2-0-4</w:t>
      </w:r>
      <w:r w:rsidRPr="00FA4EF4">
        <w:t xml:space="preserve"> (62 ppm</w:t>
      </w:r>
      <w:r w:rsidR="00484AF2">
        <w:t xml:space="preserve">; Figure </w:t>
      </w:r>
      <w:r w:rsidR="003C5BE0">
        <w:t>17a</w:t>
      </w:r>
      <w:r w:rsidRPr="00FA4EF4">
        <w:t>).</w:t>
      </w:r>
    </w:p>
    <w:p w14:paraId="01175881" w14:textId="7CF7B360" w:rsidR="00520A66" w:rsidRDefault="00A363E0" w:rsidP="002C492A">
      <w:r w:rsidRPr="00FA4EF4">
        <w:t>Drill core samples ha</w:t>
      </w:r>
      <w:r w:rsidR="003A12F4" w:rsidRPr="00FA4EF4">
        <w:t>ve</w:t>
      </w:r>
      <w:r w:rsidRPr="00FA4EF4">
        <w:t xml:space="preserve"> V concentrations from 12 to 28 ppm, </w:t>
      </w:r>
      <w:r w:rsidR="008F0D04" w:rsidRPr="00FA4EF4">
        <w:t>with a mean of 22 ppm and a median of 23 ppm</w:t>
      </w:r>
      <w:r w:rsidRPr="00FA4EF4">
        <w:t xml:space="preserve">. </w:t>
      </w:r>
      <w:r w:rsidR="00756494" w:rsidRPr="23773914">
        <w:t>The highest concentration is in NCGS-TQ-D1-23-24</w:t>
      </w:r>
      <w:r w:rsidR="00756494">
        <w:t xml:space="preserve">. </w:t>
      </w:r>
      <w:r w:rsidRPr="00FA4EF4">
        <w:t xml:space="preserve">None of the cores </w:t>
      </w:r>
      <w:r w:rsidR="008778A3" w:rsidRPr="00FA4EF4">
        <w:t>exhibit</w:t>
      </w:r>
      <w:r w:rsidRPr="00FA4EF4">
        <w:t xml:space="preserve"> spikes of notably high concentrations, however in general, cores 1 and 7 in </w:t>
      </w:r>
      <w:r w:rsidR="00F82AD4" w:rsidRPr="00FA4EF4">
        <w:t>tailings pond 3</w:t>
      </w:r>
      <w:r w:rsidRPr="00FA4EF4">
        <w:t xml:space="preserve"> ha</w:t>
      </w:r>
      <w:r w:rsidR="008778A3" w:rsidRPr="00FA4EF4">
        <w:t>ve</w:t>
      </w:r>
      <w:r w:rsidRPr="00FA4EF4">
        <w:t xml:space="preserve"> higher V content than the cores in </w:t>
      </w:r>
      <w:r w:rsidR="00F82AD4" w:rsidRPr="00FA4EF4">
        <w:t>tailings pond 2</w:t>
      </w:r>
      <w:r w:rsidRPr="00FA4EF4">
        <w:t xml:space="preserve"> (</w:t>
      </w:r>
      <w:r w:rsidR="0064154E" w:rsidRPr="00FA4EF4">
        <w:t>Figure 18</w:t>
      </w:r>
      <w:r w:rsidR="00171022" w:rsidRPr="00FA4EF4">
        <w:t>)</w:t>
      </w:r>
      <w:r w:rsidRPr="00FA4EF4">
        <w:t>.</w:t>
      </w:r>
    </w:p>
    <w:p w14:paraId="4F26CF09" w14:textId="77777777" w:rsidR="00B77E7E" w:rsidRDefault="00AE52A1" w:rsidP="002A7932">
      <w:pPr>
        <w:spacing w:after="0"/>
        <w:ind w:firstLine="0"/>
        <w:rPr>
          <w:rFonts w:cs="Times New Roman"/>
          <w:color w:val="000000"/>
          <w:sz w:val="20"/>
          <w:szCs w:val="20"/>
        </w:rPr>
      </w:pPr>
      <w:r>
        <w:rPr>
          <w:rFonts w:cs="Times New Roman"/>
          <w:noProof/>
          <w:szCs w:val="24"/>
          <w14:ligatures w14:val="standardContextual"/>
        </w:rPr>
        <w:drawing>
          <wp:inline distT="0" distB="0" distL="0" distR="0" wp14:anchorId="57925B30" wp14:editId="0D642E25">
            <wp:extent cx="5544558" cy="2560320"/>
            <wp:effectExtent l="0" t="0" r="0" b="0"/>
            <wp:docPr id="1762495049" name="Picture 18"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495049" name="Picture 18" descr="Diagram&#10;&#10;AI-generated content may be incorrect."/>
                    <pic:cNvPicPr/>
                  </pic:nvPicPr>
                  <pic:blipFill rotWithShape="1">
                    <a:blip r:embed="rId29" cstate="print">
                      <a:extLst>
                        <a:ext uri="{28A0092B-C50C-407E-A947-70E740481C1C}">
                          <a14:useLocalDpi xmlns:a14="http://schemas.microsoft.com/office/drawing/2010/main" val="0"/>
                        </a:ext>
                      </a:extLst>
                    </a:blip>
                    <a:srcRect t="1508" b="6137"/>
                    <a:stretch/>
                  </pic:blipFill>
                  <pic:spPr bwMode="auto">
                    <a:xfrm>
                      <a:off x="0" y="0"/>
                      <a:ext cx="5544558" cy="2560320"/>
                    </a:xfrm>
                    <a:prstGeom prst="rect">
                      <a:avLst/>
                    </a:prstGeom>
                    <a:ln>
                      <a:noFill/>
                    </a:ln>
                    <a:extLst>
                      <a:ext uri="{53640926-AAD7-44D8-BBD7-CCE9431645EC}">
                        <a14:shadowObscured xmlns:a14="http://schemas.microsoft.com/office/drawing/2010/main"/>
                      </a:ext>
                    </a:extLst>
                  </pic:spPr>
                </pic:pic>
              </a:graphicData>
            </a:graphic>
          </wp:inline>
        </w:drawing>
      </w:r>
    </w:p>
    <w:p w14:paraId="6CA1FA83" w14:textId="06218638" w:rsidR="00BE1069" w:rsidRPr="00B77E7E" w:rsidRDefault="0064154E" w:rsidP="002C492A">
      <w:pPr>
        <w:pStyle w:val="Caption1"/>
      </w:pPr>
      <w:r w:rsidRPr="00FA4EF4">
        <w:t>Figure 18</w:t>
      </w:r>
      <w:r w:rsidR="00BE1069" w:rsidRPr="00FA4EF4">
        <w:t>. V concentration versus depth for Tungsten Queen Cores. See text for more information.</w:t>
      </w:r>
    </w:p>
    <w:p w14:paraId="234F074F" w14:textId="77777777" w:rsidR="002A7932" w:rsidRDefault="002A7932" w:rsidP="00EC61CD">
      <w:pPr>
        <w:rPr>
          <w:rFonts w:cs="Times New Roman"/>
          <w:i/>
          <w:iCs/>
          <w:szCs w:val="24"/>
        </w:rPr>
      </w:pPr>
    </w:p>
    <w:p w14:paraId="66FB141B" w14:textId="77777777" w:rsidR="002A7932" w:rsidRDefault="002A7932" w:rsidP="00EC61CD">
      <w:pPr>
        <w:rPr>
          <w:rFonts w:cs="Times New Roman"/>
          <w:i/>
          <w:iCs/>
          <w:szCs w:val="24"/>
        </w:rPr>
      </w:pPr>
    </w:p>
    <w:p w14:paraId="6C009611" w14:textId="29D83878" w:rsidR="00A505B5" w:rsidRPr="00CB21FD" w:rsidRDefault="00A505B5" w:rsidP="00EC61CD">
      <w:pPr>
        <w:rPr>
          <w:rFonts w:cs="Times New Roman"/>
          <w:i/>
          <w:iCs/>
          <w:szCs w:val="24"/>
        </w:rPr>
      </w:pPr>
      <w:r w:rsidRPr="00CB21FD">
        <w:rPr>
          <w:rFonts w:cs="Times New Roman"/>
          <w:i/>
          <w:iCs/>
          <w:szCs w:val="24"/>
        </w:rPr>
        <w:lastRenderedPageBreak/>
        <w:t>Beryllium</w:t>
      </w:r>
    </w:p>
    <w:p w14:paraId="01A1F321" w14:textId="1A7E0480" w:rsidR="00077A5F" w:rsidRDefault="00A505B5" w:rsidP="002C492A">
      <w:r w:rsidRPr="00FA4EF4">
        <w:t>Composite sample Be concentrations range from 7 to 12 ppm</w:t>
      </w:r>
      <w:r w:rsidR="00E70254" w:rsidRPr="00FA4EF4">
        <w:t xml:space="preserve"> (</w:t>
      </w:r>
      <w:r w:rsidR="0064154E" w:rsidRPr="00FA4EF4">
        <w:t>Figure 19</w:t>
      </w:r>
      <w:r w:rsidR="00E70254" w:rsidRPr="00FA4EF4">
        <w:t>a)</w:t>
      </w:r>
      <w:r w:rsidRPr="00FA4EF4">
        <w:t>, with the highest concentration in</w:t>
      </w:r>
      <w:r w:rsidR="003A12F4" w:rsidRPr="00FA4EF4">
        <w:t xml:space="preserve"> sample</w:t>
      </w:r>
      <w:r w:rsidRPr="00FA4EF4">
        <w:t xml:space="preserve"> </w:t>
      </w:r>
      <w:r w:rsidR="00E038A3" w:rsidRPr="00FA4EF4">
        <w:t>NCGS-TQ-C8</w:t>
      </w:r>
      <w:r w:rsidRPr="00FA4EF4">
        <w:t xml:space="preserve">, located in the southeastern portion of </w:t>
      </w:r>
      <w:r w:rsidR="00F82AD4" w:rsidRPr="00FA4EF4">
        <w:t>tailings pond 3</w:t>
      </w:r>
      <w:r w:rsidRPr="00FA4EF4">
        <w:t xml:space="preserve"> (</w:t>
      </w:r>
      <w:r w:rsidR="0064154E" w:rsidRPr="00FA4EF4">
        <w:t>Figure 19</w:t>
      </w:r>
      <w:r w:rsidR="00E70254" w:rsidRPr="00FA4EF4">
        <w:t>b</w:t>
      </w:r>
      <w:r w:rsidRPr="00FA4EF4">
        <w:t xml:space="preserve">). </w:t>
      </w:r>
      <w:r w:rsidR="00E70254" w:rsidRPr="00FA4EF4">
        <w:t>The mean and median Be concentration for</w:t>
      </w:r>
      <w:r w:rsidRPr="00FA4EF4">
        <w:t xml:space="preserve"> composite samples</w:t>
      </w:r>
      <w:r w:rsidR="00E70254" w:rsidRPr="00FA4EF4">
        <w:t xml:space="preserve"> is 8 ppm</w:t>
      </w:r>
      <w:r w:rsidRPr="00FA4EF4">
        <w:t>.</w:t>
      </w:r>
    </w:p>
    <w:p w14:paraId="14530E44" w14:textId="3A9633B9" w:rsidR="00077A5F" w:rsidRPr="00FA4EF4" w:rsidRDefault="00077A5F" w:rsidP="002C492A">
      <w:r w:rsidRPr="00FA4EF4">
        <w:t>Grab sample Be concentrations range from 6 to 21 ppm (Figure 19a) with a mean of 11 ppm and a median of 9 ppm. The highest grab sample Be concentrations are from NCGS-TQ-G3-28-30 (21 ppm), NCGS-TQ-G1 (17 ppm), and NCGS-TQ-G2-41.5-50 (17 ppm</w:t>
      </w:r>
      <w:r w:rsidR="00067467">
        <w:t xml:space="preserve">; Figure </w:t>
      </w:r>
      <w:r w:rsidR="002650FA">
        <w:t>19a</w:t>
      </w:r>
      <w:r w:rsidRPr="00FA4EF4">
        <w:t xml:space="preserve">). </w:t>
      </w:r>
    </w:p>
    <w:p w14:paraId="4575EFD3" w14:textId="515701BF" w:rsidR="00077A5F" w:rsidRDefault="00077A5F" w:rsidP="002C492A">
      <w:r w:rsidRPr="00FA4EF4">
        <w:t>Four sonic core samples have Be concentrations below detection limit (&lt;5 ppm; NCGS-TQ-D5-0-1, NCGS-TQ-D5-12-13, NCGS-TQ-D5-20-21, NCGS-TQ-D6-4-4.7), while the rest range from 6 to 19 ppm, with a mean of 11 ppm and a median of 10 ppm. The highest core sample concentrations are NCGS-TQ-D3-1-2 (19 ppm) and NCGS-TQ-D7-12-13 (18 ppm; Figure 20).</w:t>
      </w:r>
    </w:p>
    <w:p w14:paraId="7F3CFCCA" w14:textId="77777777" w:rsidR="00077A5F" w:rsidRDefault="00077A5F" w:rsidP="00077A5F">
      <w:pPr>
        <w:rPr>
          <w:rFonts w:cs="Times New Roman"/>
          <w:szCs w:val="24"/>
        </w:rPr>
      </w:pPr>
    </w:p>
    <w:p w14:paraId="080C953E" w14:textId="77777777" w:rsidR="00563A7C" w:rsidRDefault="004D30BF" w:rsidP="002A7932">
      <w:pPr>
        <w:spacing w:after="0"/>
        <w:ind w:firstLine="0"/>
        <w:rPr>
          <w:rFonts w:cs="Times New Roman"/>
          <w:color w:val="000000"/>
          <w:sz w:val="20"/>
          <w:szCs w:val="20"/>
        </w:rPr>
      </w:pPr>
      <w:r>
        <w:rPr>
          <w:rFonts w:cs="Times New Roman"/>
          <w:noProof/>
          <w:szCs w:val="24"/>
          <w14:ligatures w14:val="standardContextual"/>
        </w:rPr>
        <w:drawing>
          <wp:inline distT="0" distB="0" distL="0" distR="0" wp14:anchorId="142F5A29" wp14:editId="18E49C37">
            <wp:extent cx="5539666" cy="2560320"/>
            <wp:effectExtent l="0" t="0" r="4445" b="0"/>
            <wp:docPr id="280006397" name="Picture 19" descr="A picture containing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006397" name="Picture 19" descr="A picture containing diagram&#10;&#10;AI-generated content may be incorrect."/>
                    <pic:cNvPicPr/>
                  </pic:nvPicPr>
                  <pic:blipFill rotWithShape="1">
                    <a:blip r:embed="rId30" cstate="print">
                      <a:extLst>
                        <a:ext uri="{28A0092B-C50C-407E-A947-70E740481C1C}">
                          <a14:useLocalDpi xmlns:a14="http://schemas.microsoft.com/office/drawing/2010/main" val="0"/>
                        </a:ext>
                      </a:extLst>
                    </a:blip>
                    <a:srcRect t="1666" b="5897"/>
                    <a:stretch/>
                  </pic:blipFill>
                  <pic:spPr bwMode="auto">
                    <a:xfrm>
                      <a:off x="0" y="0"/>
                      <a:ext cx="5539666" cy="2560320"/>
                    </a:xfrm>
                    <a:prstGeom prst="rect">
                      <a:avLst/>
                    </a:prstGeom>
                    <a:ln>
                      <a:noFill/>
                    </a:ln>
                    <a:extLst>
                      <a:ext uri="{53640926-AAD7-44D8-BBD7-CCE9431645EC}">
                        <a14:shadowObscured xmlns:a14="http://schemas.microsoft.com/office/drawing/2010/main"/>
                      </a:ext>
                    </a:extLst>
                  </pic:spPr>
                </pic:pic>
              </a:graphicData>
            </a:graphic>
          </wp:inline>
        </w:drawing>
      </w:r>
    </w:p>
    <w:p w14:paraId="72882501" w14:textId="67F3103A" w:rsidR="00A505B5" w:rsidRDefault="0064154E" w:rsidP="002C492A">
      <w:pPr>
        <w:pStyle w:val="Caption1"/>
        <w:rPr>
          <w:sz w:val="24"/>
          <w:szCs w:val="24"/>
        </w:rPr>
      </w:pPr>
      <w:r w:rsidRPr="00FA4EF4">
        <w:t>Figure 19</w:t>
      </w:r>
      <w:r w:rsidR="00547C8C" w:rsidRPr="00FA4EF4">
        <w:t xml:space="preserve">. a. Be </w:t>
      </w:r>
      <w:r w:rsidR="00131556" w:rsidRPr="00FA4EF4">
        <w:t xml:space="preserve">concentration </w:t>
      </w:r>
      <w:r w:rsidR="00547C8C" w:rsidRPr="00FA4EF4">
        <w:t>versus depth for composite and grab samples. b. Heat map for Be concentration</w:t>
      </w:r>
      <w:r w:rsidR="00416949" w:rsidRPr="00FA4EF4">
        <w:t xml:space="preserve"> (ppm)</w:t>
      </w:r>
      <w:r w:rsidR="00547C8C" w:rsidRPr="00FA4EF4">
        <w:t xml:space="preserve"> in composite samples. Darkest blue represents the highest values with yellow representing the lowest.</w:t>
      </w:r>
      <w:r w:rsidR="00F102B2" w:rsidRPr="00FA4EF4">
        <w:t xml:space="preserve"> See text for more information.</w:t>
      </w:r>
    </w:p>
    <w:p w14:paraId="281A6C4E" w14:textId="77777777" w:rsidR="00077A5F" w:rsidRDefault="00077A5F" w:rsidP="00077A5F">
      <w:pPr>
        <w:rPr>
          <w:rFonts w:cs="Times New Roman"/>
          <w:szCs w:val="24"/>
        </w:rPr>
      </w:pPr>
    </w:p>
    <w:p w14:paraId="3289DE43" w14:textId="77777777" w:rsidR="00F62755" w:rsidRDefault="007B5726" w:rsidP="002A7932">
      <w:pPr>
        <w:spacing w:after="0"/>
        <w:ind w:firstLine="0"/>
        <w:rPr>
          <w:rFonts w:cs="Times New Roman"/>
          <w:color w:val="000000"/>
          <w:sz w:val="20"/>
          <w:szCs w:val="20"/>
        </w:rPr>
      </w:pPr>
      <w:r>
        <w:rPr>
          <w:rFonts w:cs="Times New Roman"/>
          <w:noProof/>
          <w:szCs w:val="24"/>
          <w14:ligatures w14:val="standardContextual"/>
        </w:rPr>
        <w:drawing>
          <wp:inline distT="0" distB="0" distL="0" distR="0" wp14:anchorId="54E145EC" wp14:editId="64182584">
            <wp:extent cx="5385423" cy="2489415"/>
            <wp:effectExtent l="0" t="0" r="6350" b="6350"/>
            <wp:docPr id="283690582" name="Picture 21"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690582" name="Picture 21" descr="Diagram&#10;&#10;AI-generated content may be incorrect."/>
                    <pic:cNvPicPr/>
                  </pic:nvPicPr>
                  <pic:blipFill rotWithShape="1">
                    <a:blip r:embed="rId31" cstate="print">
                      <a:extLst>
                        <a:ext uri="{28A0092B-C50C-407E-A947-70E740481C1C}">
                          <a14:useLocalDpi xmlns:a14="http://schemas.microsoft.com/office/drawing/2010/main" val="0"/>
                        </a:ext>
                      </a:extLst>
                    </a:blip>
                    <a:srcRect t="1282" b="6269"/>
                    <a:stretch/>
                  </pic:blipFill>
                  <pic:spPr bwMode="auto">
                    <a:xfrm>
                      <a:off x="0" y="0"/>
                      <a:ext cx="5388346" cy="2490766"/>
                    </a:xfrm>
                    <a:prstGeom prst="rect">
                      <a:avLst/>
                    </a:prstGeom>
                    <a:ln>
                      <a:noFill/>
                    </a:ln>
                    <a:extLst>
                      <a:ext uri="{53640926-AAD7-44D8-BBD7-CCE9431645EC}">
                        <a14:shadowObscured xmlns:a14="http://schemas.microsoft.com/office/drawing/2010/main"/>
                      </a:ext>
                    </a:extLst>
                  </pic:spPr>
                </pic:pic>
              </a:graphicData>
            </a:graphic>
          </wp:inline>
        </w:drawing>
      </w:r>
    </w:p>
    <w:p w14:paraId="78B6D763" w14:textId="34E439CB" w:rsidR="00BE1069" w:rsidRPr="00282112" w:rsidRDefault="00D01219" w:rsidP="002C492A">
      <w:pPr>
        <w:pStyle w:val="Caption1"/>
        <w:rPr>
          <w:sz w:val="24"/>
          <w:szCs w:val="24"/>
        </w:rPr>
      </w:pPr>
      <w:r w:rsidRPr="00FA4EF4">
        <w:t>Figure 20</w:t>
      </w:r>
      <w:r w:rsidR="00BE1069" w:rsidRPr="00FA4EF4">
        <w:t>. Be concentration versus depth for Tungsten Queen Cores. See text for more information.</w:t>
      </w:r>
    </w:p>
    <w:p w14:paraId="7735EEE1" w14:textId="01E4476A" w:rsidR="008D0379" w:rsidRPr="00CB21FD" w:rsidRDefault="006F775B" w:rsidP="00EC61CD">
      <w:pPr>
        <w:rPr>
          <w:rFonts w:cs="Times New Roman"/>
          <w:i/>
          <w:iCs/>
          <w:szCs w:val="24"/>
        </w:rPr>
      </w:pPr>
      <w:r w:rsidRPr="00CB21FD">
        <w:rPr>
          <w:rFonts w:cs="Times New Roman"/>
          <w:i/>
          <w:iCs/>
          <w:szCs w:val="24"/>
        </w:rPr>
        <w:lastRenderedPageBreak/>
        <w:t>Bismuth</w:t>
      </w:r>
    </w:p>
    <w:p w14:paraId="7E25AE85" w14:textId="0CFE8322" w:rsidR="00875D7C" w:rsidRDefault="00875D7C" w:rsidP="002C492A">
      <w:r w:rsidRPr="00FA4EF4">
        <w:t xml:space="preserve">Composite sample </w:t>
      </w:r>
      <w:r w:rsidR="00E37D8F" w:rsidRPr="00FA4EF4">
        <w:t>Bi</w:t>
      </w:r>
      <w:r w:rsidRPr="00FA4EF4">
        <w:t xml:space="preserve"> concentrations range from </w:t>
      </w:r>
      <w:r w:rsidR="00136578" w:rsidRPr="00FA4EF4">
        <w:t>7.4</w:t>
      </w:r>
      <w:r w:rsidRPr="00FA4EF4">
        <w:t xml:space="preserve"> to </w:t>
      </w:r>
      <w:r w:rsidR="003011C1" w:rsidRPr="00FA4EF4">
        <w:t>24.7</w:t>
      </w:r>
      <w:r w:rsidRPr="00FA4EF4">
        <w:t xml:space="preserve"> ppm</w:t>
      </w:r>
      <w:r w:rsidR="00B85BC6" w:rsidRPr="00FA4EF4">
        <w:t xml:space="preserve"> (</w:t>
      </w:r>
      <w:r w:rsidR="00D01219" w:rsidRPr="00FA4EF4">
        <w:t>Figure 21</w:t>
      </w:r>
      <w:r w:rsidR="00B85BC6" w:rsidRPr="00FA4EF4">
        <w:t>a)</w:t>
      </w:r>
      <w:r w:rsidRPr="00FA4EF4">
        <w:t xml:space="preserve">, with the highest concentrations in </w:t>
      </w:r>
      <w:r w:rsidR="003666EE" w:rsidRPr="00FA4EF4">
        <w:t>NCGS-TQ-C5</w:t>
      </w:r>
      <w:r w:rsidRPr="00FA4EF4">
        <w:t xml:space="preserve">, located in the eastern portion of </w:t>
      </w:r>
      <w:r w:rsidR="00F82AD4" w:rsidRPr="00FA4EF4">
        <w:t>tailings pond 2</w:t>
      </w:r>
      <w:r w:rsidR="00F0757E" w:rsidRPr="00FA4EF4">
        <w:t xml:space="preserve"> </w:t>
      </w:r>
      <w:r w:rsidRPr="00FA4EF4">
        <w:t>(</w:t>
      </w:r>
      <w:r w:rsidR="00D01219" w:rsidRPr="00FA4EF4">
        <w:t>Figure 21</w:t>
      </w:r>
      <w:r w:rsidR="00B85BC6" w:rsidRPr="00FA4EF4">
        <w:t>b</w:t>
      </w:r>
      <w:r w:rsidRPr="00FA4EF4">
        <w:t>).</w:t>
      </w:r>
      <w:r w:rsidR="00B85BC6" w:rsidRPr="00FA4EF4">
        <w:t xml:space="preserve"> The mean concentration is 12 ppm while the median is 11 ppm.</w:t>
      </w:r>
    </w:p>
    <w:p w14:paraId="5038D575" w14:textId="77777777" w:rsidR="009112B2" w:rsidRDefault="000E72BA" w:rsidP="002A7932">
      <w:pPr>
        <w:spacing w:after="0"/>
        <w:ind w:firstLine="0"/>
        <w:rPr>
          <w:rFonts w:cs="Times New Roman"/>
          <w:color w:val="000000"/>
          <w:sz w:val="20"/>
          <w:szCs w:val="20"/>
        </w:rPr>
      </w:pPr>
      <w:r>
        <w:rPr>
          <w:rFonts w:cs="Times New Roman"/>
          <w:noProof/>
          <w:szCs w:val="24"/>
          <w14:ligatures w14:val="standardContextual"/>
        </w:rPr>
        <w:drawing>
          <wp:inline distT="0" distB="0" distL="0" distR="0" wp14:anchorId="2314B9F8" wp14:editId="3FCC0826">
            <wp:extent cx="5262942" cy="2429050"/>
            <wp:effectExtent l="0" t="0" r="0" b="9525"/>
            <wp:docPr id="1975977466" name="Picture 22" descr="A picture containing q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977466" name="Picture 22" descr="A picture containing qr code&#10;&#10;AI-generated content may be incorrect."/>
                    <pic:cNvPicPr/>
                  </pic:nvPicPr>
                  <pic:blipFill rotWithShape="1">
                    <a:blip r:embed="rId32" cstate="print">
                      <a:extLst>
                        <a:ext uri="{28A0092B-C50C-407E-A947-70E740481C1C}">
                          <a14:useLocalDpi xmlns:a14="http://schemas.microsoft.com/office/drawing/2010/main" val="0"/>
                        </a:ext>
                      </a:extLst>
                    </a:blip>
                    <a:srcRect t="1710" b="5982"/>
                    <a:stretch/>
                  </pic:blipFill>
                  <pic:spPr bwMode="auto">
                    <a:xfrm>
                      <a:off x="0" y="0"/>
                      <a:ext cx="5273037" cy="2433709"/>
                    </a:xfrm>
                    <a:prstGeom prst="rect">
                      <a:avLst/>
                    </a:prstGeom>
                    <a:ln>
                      <a:noFill/>
                    </a:ln>
                    <a:extLst>
                      <a:ext uri="{53640926-AAD7-44D8-BBD7-CCE9431645EC}">
                        <a14:shadowObscured xmlns:a14="http://schemas.microsoft.com/office/drawing/2010/main"/>
                      </a:ext>
                    </a:extLst>
                  </pic:spPr>
                </pic:pic>
              </a:graphicData>
            </a:graphic>
          </wp:inline>
        </w:drawing>
      </w:r>
    </w:p>
    <w:p w14:paraId="35F36317" w14:textId="571B5FD8" w:rsidR="000D397D" w:rsidRPr="000E72BA" w:rsidRDefault="00D01219" w:rsidP="002C492A">
      <w:pPr>
        <w:pStyle w:val="Caption1"/>
        <w:rPr>
          <w:sz w:val="24"/>
          <w:szCs w:val="24"/>
        </w:rPr>
      </w:pPr>
      <w:r w:rsidRPr="00FA4EF4">
        <w:t>Figure 21</w:t>
      </w:r>
      <w:r w:rsidR="000D397D" w:rsidRPr="00FA4EF4">
        <w:t xml:space="preserve">. a. Bi </w:t>
      </w:r>
      <w:r w:rsidR="00131556" w:rsidRPr="00FA4EF4">
        <w:t xml:space="preserve">concentration </w:t>
      </w:r>
      <w:r w:rsidR="000D397D" w:rsidRPr="00FA4EF4">
        <w:t>versus depth for composite and grab samples. b. Heat map for Bi concentration</w:t>
      </w:r>
      <w:r w:rsidR="00416949" w:rsidRPr="00FA4EF4">
        <w:t xml:space="preserve"> (ppm)</w:t>
      </w:r>
      <w:r w:rsidR="000D397D" w:rsidRPr="00FA4EF4">
        <w:t xml:space="preserve"> in composite samples. Darkest blue represents the highest values with yellow representing the lowest.</w:t>
      </w:r>
      <w:r w:rsidR="00F102B2" w:rsidRPr="00FA4EF4">
        <w:t xml:space="preserve"> See text for more information.</w:t>
      </w:r>
    </w:p>
    <w:p w14:paraId="06A52D37" w14:textId="01A2A611" w:rsidR="00875D7C" w:rsidRPr="00FA4EF4" w:rsidRDefault="00AE31D9" w:rsidP="002C492A">
      <w:r w:rsidRPr="00FA4EF4">
        <w:t xml:space="preserve">Grab sample </w:t>
      </w:r>
      <w:r w:rsidR="00FF220E" w:rsidRPr="00FA4EF4">
        <w:t>Bi</w:t>
      </w:r>
      <w:r w:rsidRPr="00FA4EF4">
        <w:t xml:space="preserve"> concentrations range from 6.3 to </w:t>
      </w:r>
      <w:r w:rsidR="00583BAD" w:rsidRPr="00FA4EF4">
        <w:t>44.2</w:t>
      </w:r>
      <w:r w:rsidRPr="00FA4EF4">
        <w:t xml:space="preserve"> ppm, though most</w:t>
      </w:r>
      <w:r w:rsidR="00B10CA4" w:rsidRPr="00FA4EF4">
        <w:t xml:space="preserve"> samples</w:t>
      </w:r>
      <w:r w:rsidRPr="00FA4EF4">
        <w:t xml:space="preserve"> fall </w:t>
      </w:r>
      <w:r w:rsidR="00B10CA4" w:rsidRPr="00FA4EF4">
        <w:t>with</w:t>
      </w:r>
      <w:r w:rsidRPr="00FA4EF4">
        <w:t>in the same range as the composite samples</w:t>
      </w:r>
      <w:r w:rsidR="001749CC" w:rsidRPr="00FA4EF4">
        <w:t xml:space="preserve"> (</w:t>
      </w:r>
      <w:r w:rsidR="00D01219" w:rsidRPr="00FA4EF4">
        <w:t>Figure 21</w:t>
      </w:r>
      <w:r w:rsidR="001749CC" w:rsidRPr="00FA4EF4">
        <w:t>a)</w:t>
      </w:r>
      <w:r w:rsidRPr="00FA4EF4">
        <w:t xml:space="preserve">. </w:t>
      </w:r>
      <w:r w:rsidR="00B85BC6" w:rsidRPr="00FA4EF4">
        <w:t>The</w:t>
      </w:r>
      <w:r w:rsidR="00327297" w:rsidRPr="00FA4EF4">
        <w:t xml:space="preserve"> grab</w:t>
      </w:r>
      <w:r w:rsidR="00B85BC6" w:rsidRPr="00FA4EF4">
        <w:t xml:space="preserve"> samples have a mean Bi concentration of </w:t>
      </w:r>
      <w:r w:rsidR="00724B87" w:rsidRPr="00FA4EF4">
        <w:t>14</w:t>
      </w:r>
      <w:r w:rsidR="00B85BC6" w:rsidRPr="00FA4EF4">
        <w:t xml:space="preserve"> ppm and a median of </w:t>
      </w:r>
      <w:r w:rsidR="00724B87" w:rsidRPr="00FA4EF4">
        <w:t>11 ppm. The</w:t>
      </w:r>
      <w:r w:rsidRPr="00FA4EF4">
        <w:t xml:space="preserve"> highest grab sample </w:t>
      </w:r>
      <w:r w:rsidR="006C618C" w:rsidRPr="00FA4EF4">
        <w:t>Bi</w:t>
      </w:r>
      <w:r w:rsidRPr="00FA4EF4">
        <w:t xml:space="preserve"> concentrations </w:t>
      </w:r>
      <w:r w:rsidR="00E26589" w:rsidRPr="00FA4EF4">
        <w:t>are</w:t>
      </w:r>
      <w:r w:rsidRPr="00FA4EF4">
        <w:t xml:space="preserve"> from </w:t>
      </w:r>
      <w:r w:rsidR="003666EE" w:rsidRPr="00FA4EF4">
        <w:t>NCGS-TQ-G3-28-30</w:t>
      </w:r>
      <w:r w:rsidRPr="00FA4EF4">
        <w:t xml:space="preserve"> (</w:t>
      </w:r>
      <w:r w:rsidR="00EA5FB5" w:rsidRPr="00FA4EF4">
        <w:t>44.2</w:t>
      </w:r>
      <w:r w:rsidRPr="00FA4EF4">
        <w:t xml:space="preserve"> ppm) and </w:t>
      </w:r>
      <w:r w:rsidR="003666EE" w:rsidRPr="00FA4EF4">
        <w:t>NCGS-TQ-G2-0-4</w:t>
      </w:r>
      <w:r w:rsidRPr="00FA4EF4">
        <w:t xml:space="preserve"> (</w:t>
      </w:r>
      <w:r w:rsidR="006D3C0F" w:rsidRPr="00FA4EF4">
        <w:t>26</w:t>
      </w:r>
      <w:r w:rsidRPr="00FA4EF4">
        <w:t xml:space="preserve"> ppm</w:t>
      </w:r>
      <w:r w:rsidR="003D7C84">
        <w:t xml:space="preserve">; Figure </w:t>
      </w:r>
      <w:r w:rsidR="000756A0">
        <w:t>21a</w:t>
      </w:r>
      <w:r w:rsidRPr="00FA4EF4">
        <w:t>)</w:t>
      </w:r>
      <w:r w:rsidR="00875D7C" w:rsidRPr="00FA4EF4">
        <w:t xml:space="preserve">. </w:t>
      </w:r>
    </w:p>
    <w:p w14:paraId="09C44511" w14:textId="76610BE8" w:rsidR="00875D7C" w:rsidRDefault="00875D7C" w:rsidP="002C492A">
      <w:r w:rsidRPr="00FA4EF4">
        <w:t>Drill core</w:t>
      </w:r>
      <w:r w:rsidR="005535B8" w:rsidRPr="00FA4EF4">
        <w:t xml:space="preserve"> samples</w:t>
      </w:r>
      <w:r w:rsidRPr="00FA4EF4">
        <w:t xml:space="preserve"> range from </w:t>
      </w:r>
      <w:r w:rsidR="000623C5" w:rsidRPr="00FA4EF4">
        <w:t>3.3</w:t>
      </w:r>
      <w:r w:rsidRPr="00FA4EF4">
        <w:t xml:space="preserve"> to 20 ppm</w:t>
      </w:r>
      <w:r w:rsidR="002C2EB7" w:rsidRPr="00FA4EF4">
        <w:t xml:space="preserve"> Bi</w:t>
      </w:r>
      <w:r w:rsidRPr="00FA4EF4">
        <w:t xml:space="preserve">, </w:t>
      </w:r>
      <w:r w:rsidR="008E53C6" w:rsidRPr="00FA4EF4">
        <w:t>with a mean of 9 ppm and a median of 8 ppm</w:t>
      </w:r>
      <w:r w:rsidRPr="00FA4EF4">
        <w:t xml:space="preserve">. The highest concentrations are </w:t>
      </w:r>
      <w:r w:rsidR="003666EE" w:rsidRPr="00FA4EF4">
        <w:t>NCGS-TQ-D6-3-4</w:t>
      </w:r>
      <w:r w:rsidR="0047617E" w:rsidRPr="00FA4EF4">
        <w:t xml:space="preserve"> </w:t>
      </w:r>
      <w:r w:rsidR="002D3745" w:rsidRPr="00FA4EF4">
        <w:t xml:space="preserve">(20.0 ppm) </w:t>
      </w:r>
      <w:r w:rsidR="0047617E" w:rsidRPr="00FA4EF4">
        <w:t xml:space="preserve">and </w:t>
      </w:r>
      <w:r w:rsidR="00F07B93" w:rsidRPr="00FA4EF4">
        <w:t>NCGS-TQ-D5-11-12</w:t>
      </w:r>
      <w:r w:rsidR="002D3745" w:rsidRPr="00FA4EF4">
        <w:t xml:space="preserve"> (19.0 pm)</w:t>
      </w:r>
      <w:r w:rsidR="00880D54" w:rsidRPr="00FA4EF4">
        <w:t xml:space="preserve">, however, </w:t>
      </w:r>
      <w:r w:rsidR="00F07B93" w:rsidRPr="00FA4EF4">
        <w:t>NCGS-TQ-</w:t>
      </w:r>
      <w:r w:rsidR="00AD7BF4" w:rsidRPr="00FA4EF4">
        <w:t xml:space="preserve">D6-0-1, NCGS-TQ-D6-1-2, and NCGS-TQ-D6-4-4.7 </w:t>
      </w:r>
      <w:r w:rsidR="00887A50" w:rsidRPr="00FA4EF4">
        <w:t xml:space="preserve">also have </w:t>
      </w:r>
      <w:r w:rsidR="00AA1C9B" w:rsidRPr="00FA4EF4">
        <w:t>similarly elevated Bi (18.0 ppm, each), as do NCGS-TQ-D7-2-3</w:t>
      </w:r>
      <w:r w:rsidR="00AA1C9B">
        <w:t xml:space="preserve"> </w:t>
      </w:r>
      <w:r w:rsidR="00AA1C9B" w:rsidRPr="00FA4EF4">
        <w:t>(17.5 ppm) and the NCGS-TQ-D5-3-4.4 (17.0 ppm; Figure 22).</w:t>
      </w:r>
    </w:p>
    <w:p w14:paraId="1E1049B7" w14:textId="77777777" w:rsidR="009112B2" w:rsidRDefault="00B730AA" w:rsidP="002A7932">
      <w:pPr>
        <w:spacing w:after="0"/>
        <w:ind w:firstLine="0"/>
        <w:rPr>
          <w:rFonts w:cs="Times New Roman"/>
          <w:color w:val="000000"/>
          <w:sz w:val="20"/>
          <w:szCs w:val="20"/>
        </w:rPr>
      </w:pPr>
      <w:r>
        <w:rPr>
          <w:rFonts w:cs="Times New Roman"/>
          <w:noProof/>
          <w:szCs w:val="24"/>
          <w14:ligatures w14:val="standardContextual"/>
        </w:rPr>
        <w:drawing>
          <wp:inline distT="0" distB="0" distL="0" distR="0" wp14:anchorId="2A931368" wp14:editId="5DD8E00C">
            <wp:extent cx="5603304" cy="2560320"/>
            <wp:effectExtent l="0" t="0" r="0" b="0"/>
            <wp:docPr id="320069358" name="Picture 23"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069358" name="Picture 23" descr="Diagram&#10;&#10;AI-generated content may be incorrect."/>
                    <pic:cNvPicPr/>
                  </pic:nvPicPr>
                  <pic:blipFill rotWithShape="1">
                    <a:blip r:embed="rId33" cstate="print">
                      <a:extLst>
                        <a:ext uri="{28A0092B-C50C-407E-A947-70E740481C1C}">
                          <a14:useLocalDpi xmlns:a14="http://schemas.microsoft.com/office/drawing/2010/main" val="0"/>
                        </a:ext>
                      </a:extLst>
                    </a:blip>
                    <a:srcRect t="1398" b="7215"/>
                    <a:stretch/>
                  </pic:blipFill>
                  <pic:spPr bwMode="auto">
                    <a:xfrm>
                      <a:off x="0" y="0"/>
                      <a:ext cx="5603304" cy="2560320"/>
                    </a:xfrm>
                    <a:prstGeom prst="rect">
                      <a:avLst/>
                    </a:prstGeom>
                    <a:ln>
                      <a:noFill/>
                    </a:ln>
                    <a:extLst>
                      <a:ext uri="{53640926-AAD7-44D8-BBD7-CCE9431645EC}">
                        <a14:shadowObscured xmlns:a14="http://schemas.microsoft.com/office/drawing/2010/main"/>
                      </a:ext>
                    </a:extLst>
                  </pic:spPr>
                </pic:pic>
              </a:graphicData>
            </a:graphic>
          </wp:inline>
        </w:drawing>
      </w:r>
    </w:p>
    <w:p w14:paraId="6AF6EA77" w14:textId="159C08F5" w:rsidR="006A4191" w:rsidRPr="00D93613" w:rsidRDefault="00D01219" w:rsidP="002C492A">
      <w:pPr>
        <w:pStyle w:val="Caption1"/>
        <w:rPr>
          <w:sz w:val="24"/>
          <w:szCs w:val="24"/>
        </w:rPr>
      </w:pPr>
      <w:r w:rsidRPr="00FA4EF4">
        <w:t>Figure 22</w:t>
      </w:r>
      <w:r w:rsidR="00195259" w:rsidRPr="00FA4EF4">
        <w:t>. Bi concentration versus depth for Tungsten Queen Cores. See text for more information.</w:t>
      </w:r>
    </w:p>
    <w:p w14:paraId="6EDDDD79" w14:textId="77777777" w:rsidR="002A7932" w:rsidRDefault="002A7932" w:rsidP="00EC61CD">
      <w:pPr>
        <w:rPr>
          <w:rFonts w:cs="Times New Roman"/>
          <w:i/>
          <w:iCs/>
          <w:szCs w:val="24"/>
        </w:rPr>
      </w:pPr>
    </w:p>
    <w:p w14:paraId="7494522A" w14:textId="60FD421B" w:rsidR="006701D6" w:rsidRPr="00CB21FD" w:rsidRDefault="006701D6" w:rsidP="00EC61CD">
      <w:pPr>
        <w:rPr>
          <w:rFonts w:cs="Times New Roman"/>
          <w:i/>
          <w:iCs/>
          <w:szCs w:val="24"/>
        </w:rPr>
      </w:pPr>
      <w:r w:rsidRPr="00CB21FD">
        <w:rPr>
          <w:rFonts w:cs="Times New Roman"/>
          <w:i/>
          <w:iCs/>
          <w:szCs w:val="24"/>
        </w:rPr>
        <w:lastRenderedPageBreak/>
        <w:t>Gallium</w:t>
      </w:r>
    </w:p>
    <w:p w14:paraId="3E836EA0" w14:textId="384F6EC6" w:rsidR="002A0970" w:rsidRDefault="002A0970" w:rsidP="002C492A">
      <w:r w:rsidRPr="00FA4EF4">
        <w:t xml:space="preserve">Composite sample Ga concentrations range from </w:t>
      </w:r>
      <w:r w:rsidR="009B107B" w:rsidRPr="00FA4EF4">
        <w:t>3</w:t>
      </w:r>
      <w:r w:rsidRPr="00FA4EF4">
        <w:t xml:space="preserve"> to </w:t>
      </w:r>
      <w:r w:rsidR="009B107B" w:rsidRPr="00FA4EF4">
        <w:t>8</w:t>
      </w:r>
      <w:r w:rsidRPr="00FA4EF4">
        <w:t xml:space="preserve"> ppm, </w:t>
      </w:r>
      <w:r w:rsidR="00457B40" w:rsidRPr="00FA4EF4">
        <w:t xml:space="preserve">although </w:t>
      </w:r>
      <w:r w:rsidR="00A116EE" w:rsidRPr="00FA4EF4">
        <w:t>six of the seven samples contain</w:t>
      </w:r>
      <w:r w:rsidR="00D00E76" w:rsidRPr="00FA4EF4">
        <w:t xml:space="preserve"> ≤</w:t>
      </w:r>
      <w:r w:rsidRPr="00FA4EF4">
        <w:t xml:space="preserve"> </w:t>
      </w:r>
      <w:r w:rsidR="00294961" w:rsidRPr="00FA4EF4">
        <w:t>4</w:t>
      </w:r>
      <w:r w:rsidRPr="00FA4EF4">
        <w:t xml:space="preserve"> </w:t>
      </w:r>
      <w:r w:rsidR="00E26589" w:rsidRPr="00FA4EF4">
        <w:t>ppm (</w:t>
      </w:r>
      <w:r w:rsidR="00E45BDF" w:rsidRPr="00FA4EF4">
        <w:t>Figure 23</w:t>
      </w:r>
      <w:r w:rsidR="00E26589" w:rsidRPr="00FA4EF4">
        <w:t>a)</w:t>
      </w:r>
      <w:r w:rsidRPr="00FA4EF4">
        <w:t xml:space="preserve">. </w:t>
      </w:r>
      <w:r w:rsidR="00D04EDB" w:rsidRPr="00FA4EF4">
        <w:t xml:space="preserve">The mean Ga content of composite samples is 4 ppm while the median is 3 ppm. </w:t>
      </w:r>
      <w:r w:rsidRPr="00FA4EF4">
        <w:t xml:space="preserve">The highest concentration is in </w:t>
      </w:r>
      <w:r w:rsidR="003666EE" w:rsidRPr="00FA4EF4">
        <w:t>NCGS-TQ-C5</w:t>
      </w:r>
      <w:r w:rsidRPr="00FA4EF4">
        <w:t xml:space="preserve">, located in the eastern portion of </w:t>
      </w:r>
      <w:r w:rsidR="00F82AD4" w:rsidRPr="00FA4EF4">
        <w:t>tailings pond 2</w:t>
      </w:r>
      <w:r w:rsidRPr="00FA4EF4">
        <w:t xml:space="preserve"> (</w:t>
      </w:r>
      <w:r w:rsidR="00E45BDF" w:rsidRPr="00FA4EF4">
        <w:t>Figure 23</w:t>
      </w:r>
      <w:r w:rsidR="00D04EDB" w:rsidRPr="00FA4EF4">
        <w:t>b</w:t>
      </w:r>
      <w:r w:rsidRPr="00FA4EF4">
        <w:t>).</w:t>
      </w:r>
    </w:p>
    <w:p w14:paraId="72CF7140" w14:textId="77777777" w:rsidR="00157392" w:rsidRPr="00FA4EF4" w:rsidRDefault="00157392" w:rsidP="002C492A">
      <w:r w:rsidRPr="00FA4EF4">
        <w:t>Grab samples have 3 to 23 ppm Ga (Figure 23a), with a mean of 8 ppm and a median of 6 ppm. The highest concentrations are from NCGS-TQ-G3-28-30 (23 ppm) and NCGS-TQ-G2-0-4 (17 ppm).</w:t>
      </w:r>
    </w:p>
    <w:p w14:paraId="3E3FD9FA" w14:textId="77777777" w:rsidR="00AA1C9B" w:rsidRDefault="00AA1C9B" w:rsidP="0016561F">
      <w:pPr>
        <w:spacing w:after="0"/>
        <w:rPr>
          <w:rFonts w:cs="Times New Roman"/>
          <w:noProof/>
          <w:szCs w:val="24"/>
          <w14:ligatures w14:val="standardContextual"/>
        </w:rPr>
      </w:pPr>
    </w:p>
    <w:p w14:paraId="60C8FC42" w14:textId="51F1A47B" w:rsidR="0016561F" w:rsidRDefault="00C52E35" w:rsidP="002A7932">
      <w:pPr>
        <w:spacing w:after="0"/>
        <w:ind w:firstLine="0"/>
        <w:rPr>
          <w:rFonts w:cs="Times New Roman"/>
          <w:color w:val="000000"/>
          <w:sz w:val="20"/>
          <w:szCs w:val="20"/>
        </w:rPr>
      </w:pPr>
      <w:r>
        <w:rPr>
          <w:rFonts w:cs="Times New Roman"/>
          <w:noProof/>
          <w:szCs w:val="24"/>
          <w14:ligatures w14:val="standardContextual"/>
        </w:rPr>
        <w:drawing>
          <wp:inline distT="0" distB="0" distL="0" distR="0" wp14:anchorId="010213F7" wp14:editId="2B2AF00D">
            <wp:extent cx="5765141" cy="2653443"/>
            <wp:effectExtent l="0" t="0" r="7620" b="0"/>
            <wp:docPr id="33812938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129386" name="Picture 338129386"/>
                    <pic:cNvPicPr/>
                  </pic:nvPicPr>
                  <pic:blipFill rotWithShape="1">
                    <a:blip r:embed="rId34" cstate="print">
                      <a:extLst>
                        <a:ext uri="{28A0092B-C50C-407E-A947-70E740481C1C}">
                          <a14:useLocalDpi xmlns:a14="http://schemas.microsoft.com/office/drawing/2010/main" val="0"/>
                        </a:ext>
                      </a:extLst>
                    </a:blip>
                    <a:srcRect t="1795" b="6154"/>
                    <a:stretch/>
                  </pic:blipFill>
                  <pic:spPr bwMode="auto">
                    <a:xfrm>
                      <a:off x="0" y="0"/>
                      <a:ext cx="5769433" cy="2655418"/>
                    </a:xfrm>
                    <a:prstGeom prst="rect">
                      <a:avLst/>
                    </a:prstGeom>
                    <a:ln>
                      <a:noFill/>
                    </a:ln>
                    <a:extLst>
                      <a:ext uri="{53640926-AAD7-44D8-BBD7-CCE9431645EC}">
                        <a14:shadowObscured xmlns:a14="http://schemas.microsoft.com/office/drawing/2010/main"/>
                      </a:ext>
                    </a:extLst>
                  </pic:spPr>
                </pic:pic>
              </a:graphicData>
            </a:graphic>
          </wp:inline>
        </w:drawing>
      </w:r>
    </w:p>
    <w:p w14:paraId="0E7707D1" w14:textId="217A02C5" w:rsidR="00530E5E" w:rsidRDefault="00E45BDF" w:rsidP="002C492A">
      <w:pPr>
        <w:pStyle w:val="Caption1"/>
      </w:pPr>
      <w:r w:rsidRPr="00FA4EF4">
        <w:t>Figure 23</w:t>
      </w:r>
      <w:r w:rsidR="00B70913" w:rsidRPr="00FA4EF4">
        <w:t xml:space="preserve">. a. Ga </w:t>
      </w:r>
      <w:r w:rsidR="00131556" w:rsidRPr="00FA4EF4">
        <w:t xml:space="preserve">concentration </w:t>
      </w:r>
      <w:r w:rsidR="00B70913" w:rsidRPr="00FA4EF4">
        <w:t>versus depth for composite and grab samples. b. Heat map for Ga concentration</w:t>
      </w:r>
      <w:r w:rsidR="003A4D83" w:rsidRPr="00FA4EF4">
        <w:t xml:space="preserve"> (ppm)</w:t>
      </w:r>
      <w:r w:rsidR="00B70913" w:rsidRPr="00FA4EF4">
        <w:t xml:space="preserve"> in composite samples. Darkest blue represents the highest values with yellow representing the lowest.</w:t>
      </w:r>
      <w:r w:rsidR="00F102B2" w:rsidRPr="00FA4EF4">
        <w:t xml:space="preserve"> See text for more information.</w:t>
      </w:r>
    </w:p>
    <w:p w14:paraId="3AEB97AC" w14:textId="7F78FF18" w:rsidR="0016561F" w:rsidRDefault="0016561F" w:rsidP="002C492A">
      <w:r w:rsidRPr="00FA4EF4">
        <w:t>Drill core samples contain Ga concentrations from 2 to 6 ppm, with a mean and median of 5 ppm. None of the cores exhibit notably enriched intervals (Figure 24).</w:t>
      </w:r>
    </w:p>
    <w:p w14:paraId="3D498BE9" w14:textId="77777777" w:rsidR="0016561F" w:rsidRDefault="003F27F1" w:rsidP="002A7932">
      <w:pPr>
        <w:spacing w:after="0"/>
        <w:ind w:firstLine="0"/>
        <w:rPr>
          <w:rFonts w:cs="Times New Roman"/>
          <w:color w:val="000000"/>
          <w:sz w:val="20"/>
          <w:szCs w:val="20"/>
        </w:rPr>
      </w:pPr>
      <w:r>
        <w:rPr>
          <w:rFonts w:cs="Times New Roman"/>
          <w:noProof/>
          <w:color w:val="000000"/>
          <w:szCs w:val="24"/>
          <w14:ligatures w14:val="standardContextual"/>
        </w:rPr>
        <w:drawing>
          <wp:inline distT="0" distB="0" distL="0" distR="0" wp14:anchorId="27C8326B" wp14:editId="1589ADAF">
            <wp:extent cx="5566086" cy="2560320"/>
            <wp:effectExtent l="0" t="0" r="0" b="0"/>
            <wp:docPr id="17581623" name="Picture 25"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1623" name="Picture 25" descr="Diagram&#10;&#10;AI-generated content may be incorrect."/>
                    <pic:cNvPicPr/>
                  </pic:nvPicPr>
                  <pic:blipFill rotWithShape="1">
                    <a:blip r:embed="rId35" cstate="print">
                      <a:extLst>
                        <a:ext uri="{28A0092B-C50C-407E-A947-70E740481C1C}">
                          <a14:useLocalDpi xmlns:a14="http://schemas.microsoft.com/office/drawing/2010/main" val="0"/>
                        </a:ext>
                      </a:extLst>
                    </a:blip>
                    <a:srcRect t="1123" b="6882"/>
                    <a:stretch/>
                  </pic:blipFill>
                  <pic:spPr bwMode="auto">
                    <a:xfrm>
                      <a:off x="0" y="0"/>
                      <a:ext cx="5566086" cy="2560320"/>
                    </a:xfrm>
                    <a:prstGeom prst="rect">
                      <a:avLst/>
                    </a:prstGeom>
                    <a:ln>
                      <a:noFill/>
                    </a:ln>
                    <a:extLst>
                      <a:ext uri="{53640926-AAD7-44D8-BBD7-CCE9431645EC}">
                        <a14:shadowObscured xmlns:a14="http://schemas.microsoft.com/office/drawing/2010/main"/>
                      </a:ext>
                    </a:extLst>
                  </pic:spPr>
                </pic:pic>
              </a:graphicData>
            </a:graphic>
          </wp:inline>
        </w:drawing>
      </w:r>
    </w:p>
    <w:p w14:paraId="0ABE3A9E" w14:textId="4DF3C8D1" w:rsidR="00F92314" w:rsidRPr="005870A2" w:rsidRDefault="00E45BDF" w:rsidP="002C492A">
      <w:pPr>
        <w:pStyle w:val="Caption1"/>
        <w:rPr>
          <w:noProof/>
          <w:sz w:val="24"/>
          <w:szCs w:val="24"/>
          <w14:ligatures w14:val="standardContextual"/>
        </w:rPr>
      </w:pPr>
      <w:r w:rsidRPr="00FA4EF4">
        <w:t>Figure 24</w:t>
      </w:r>
      <w:r w:rsidR="009259F6" w:rsidRPr="00FA4EF4">
        <w:t>. Ga concentration versus depth for Tungsten Queen Cores. See text for more information.</w:t>
      </w:r>
    </w:p>
    <w:p w14:paraId="6B94B398" w14:textId="77777777" w:rsidR="002A7932" w:rsidRDefault="002A7932" w:rsidP="00EC61CD">
      <w:pPr>
        <w:rPr>
          <w:rFonts w:cs="Times New Roman"/>
          <w:i/>
          <w:iCs/>
          <w:szCs w:val="24"/>
        </w:rPr>
      </w:pPr>
    </w:p>
    <w:p w14:paraId="102C9DFD" w14:textId="77777777" w:rsidR="002A7932" w:rsidRDefault="002A7932" w:rsidP="00EC61CD">
      <w:pPr>
        <w:rPr>
          <w:rFonts w:cs="Times New Roman"/>
          <w:i/>
          <w:iCs/>
          <w:szCs w:val="24"/>
        </w:rPr>
      </w:pPr>
    </w:p>
    <w:p w14:paraId="069A1219" w14:textId="42BAB7DE" w:rsidR="006701D6" w:rsidRPr="00CB21FD" w:rsidRDefault="006701D6" w:rsidP="00EC61CD">
      <w:pPr>
        <w:rPr>
          <w:rFonts w:cs="Times New Roman"/>
          <w:i/>
          <w:iCs/>
          <w:szCs w:val="24"/>
        </w:rPr>
      </w:pPr>
      <w:r w:rsidRPr="00CB21FD">
        <w:rPr>
          <w:rFonts w:cs="Times New Roman"/>
          <w:i/>
          <w:iCs/>
          <w:szCs w:val="24"/>
        </w:rPr>
        <w:lastRenderedPageBreak/>
        <w:t>Germanium</w:t>
      </w:r>
    </w:p>
    <w:p w14:paraId="4711B96B" w14:textId="1821ED2F" w:rsidR="009C7CDB" w:rsidRDefault="006A0BE8" w:rsidP="002C492A">
      <w:r w:rsidRPr="00FA4EF4">
        <w:t xml:space="preserve">All composite samples </w:t>
      </w:r>
      <w:r w:rsidR="006F77FE" w:rsidRPr="00FA4EF4">
        <w:t xml:space="preserve">contain 2 ppm </w:t>
      </w:r>
      <w:r w:rsidR="00004C71" w:rsidRPr="00FA4EF4">
        <w:t>G</w:t>
      </w:r>
      <w:r w:rsidR="006F77FE" w:rsidRPr="00FA4EF4">
        <w:t xml:space="preserve">e </w:t>
      </w:r>
      <w:r w:rsidR="003278A7" w:rsidRPr="00FA4EF4">
        <w:t>(</w:t>
      </w:r>
      <w:r w:rsidR="006F77FE" w:rsidRPr="00FA4EF4">
        <w:t>Figure</w:t>
      </w:r>
      <w:r w:rsidR="00CF4D4B" w:rsidRPr="00FA4EF4">
        <w:t>s</w:t>
      </w:r>
      <w:r w:rsidR="00591552" w:rsidRPr="00FA4EF4">
        <w:t xml:space="preserve"> </w:t>
      </w:r>
      <w:r w:rsidR="00F42661" w:rsidRPr="00FA4EF4">
        <w:t>2</w:t>
      </w:r>
      <w:r w:rsidR="00F03CA9" w:rsidRPr="00FA4EF4">
        <w:t>5</w:t>
      </w:r>
      <w:r w:rsidR="00591552" w:rsidRPr="00FA4EF4">
        <w:t>a</w:t>
      </w:r>
      <w:r w:rsidR="00CF4D4B" w:rsidRPr="00FA4EF4">
        <w:t xml:space="preserve"> and </w:t>
      </w:r>
      <w:r w:rsidR="00F42661" w:rsidRPr="00FA4EF4">
        <w:t>2</w:t>
      </w:r>
      <w:r w:rsidR="00F03CA9" w:rsidRPr="00FA4EF4">
        <w:t>5</w:t>
      </w:r>
      <w:r w:rsidR="00CF4D4B" w:rsidRPr="00FA4EF4">
        <w:t>b</w:t>
      </w:r>
      <w:r w:rsidR="006F77FE" w:rsidRPr="00FA4EF4">
        <w:t>)</w:t>
      </w:r>
      <w:r w:rsidR="003B19B2" w:rsidRPr="00FA4EF4">
        <w:t xml:space="preserve"> while all grab samples </w:t>
      </w:r>
      <w:r w:rsidR="008E354A" w:rsidRPr="00FA4EF4">
        <w:t>have 2 or 3 ppm</w:t>
      </w:r>
      <w:r w:rsidR="00A369C0" w:rsidRPr="00FA4EF4">
        <w:t xml:space="preserve"> (</w:t>
      </w:r>
      <w:r w:rsidR="00E45BDF" w:rsidRPr="00FA4EF4">
        <w:t>Figure 25</w:t>
      </w:r>
      <w:r w:rsidR="00CF4D4B" w:rsidRPr="00FA4EF4">
        <w:t>a</w:t>
      </w:r>
      <w:r w:rsidR="008A4C55" w:rsidRPr="00FA4EF4">
        <w:t>)</w:t>
      </w:r>
      <w:r w:rsidR="00CF4D4B" w:rsidRPr="00FA4EF4">
        <w:t xml:space="preserve"> with a mean and median grab sample concentration of 2 ppm</w:t>
      </w:r>
      <w:r w:rsidR="00A369C0" w:rsidRPr="00FA4EF4">
        <w:t>. C</w:t>
      </w:r>
      <w:r w:rsidR="0023498D" w:rsidRPr="00FA4EF4">
        <w:t>ore</w:t>
      </w:r>
      <w:r w:rsidR="00152262" w:rsidRPr="00FA4EF4">
        <w:t xml:space="preserve"> samples range from 2 to 5 ppm</w:t>
      </w:r>
      <w:r w:rsidR="00C33502" w:rsidRPr="00FA4EF4">
        <w:t xml:space="preserve"> Ge, with</w:t>
      </w:r>
      <w:r w:rsidR="002D3958" w:rsidRPr="00FA4EF4">
        <w:t xml:space="preserve"> the highest values (5 ppm) in</w:t>
      </w:r>
      <w:r w:rsidR="00C33502" w:rsidRPr="00FA4EF4">
        <w:t xml:space="preserve"> </w:t>
      </w:r>
      <w:r w:rsidR="00D733E8" w:rsidRPr="00FA4EF4">
        <w:t>NCGS-TQ-D5</w:t>
      </w:r>
      <w:r w:rsidR="00B6640E" w:rsidRPr="00FA4EF4">
        <w:t>-20-</w:t>
      </w:r>
      <w:r w:rsidR="008B0EB4" w:rsidRPr="00FA4EF4">
        <w:t>21, NCGS</w:t>
      </w:r>
      <w:r w:rsidR="003C24A1" w:rsidRPr="00FA4EF4">
        <w:t>-TQ-D7-0-1, NCGS-TQ-D7-</w:t>
      </w:r>
      <w:r w:rsidR="00A70375" w:rsidRPr="00FA4EF4">
        <w:t>1-2</w:t>
      </w:r>
      <w:r w:rsidR="003C24A1" w:rsidRPr="00FA4EF4">
        <w:t>,</w:t>
      </w:r>
      <w:r w:rsidR="00A70375" w:rsidRPr="00FA4EF4">
        <w:t xml:space="preserve"> NCGS-TQ-D7-16-17, and NCGS-TQ-D7-17-18.4</w:t>
      </w:r>
      <w:r w:rsidR="00AC6371" w:rsidRPr="00FA4EF4">
        <w:t xml:space="preserve"> (</w:t>
      </w:r>
      <w:r w:rsidR="00E45BDF" w:rsidRPr="00FA4EF4">
        <w:t>Figure 26</w:t>
      </w:r>
      <w:r w:rsidR="00AC6371" w:rsidRPr="00FA4EF4">
        <w:t>)</w:t>
      </w:r>
      <w:r w:rsidR="00152262" w:rsidRPr="00FA4EF4">
        <w:t>.</w:t>
      </w:r>
      <w:r w:rsidR="00CF4D4B" w:rsidRPr="00FA4EF4">
        <w:t xml:space="preserve"> The mean and median concentration of Ge in cores is 3 ppm. </w:t>
      </w:r>
    </w:p>
    <w:p w14:paraId="67E06CDC" w14:textId="77777777" w:rsidR="00EC5DE0" w:rsidRDefault="003B51BE" w:rsidP="002A7932">
      <w:pPr>
        <w:spacing w:after="0"/>
        <w:ind w:firstLine="0"/>
        <w:rPr>
          <w:rFonts w:cs="Times New Roman"/>
          <w:color w:val="000000"/>
          <w:sz w:val="20"/>
          <w:szCs w:val="20"/>
        </w:rPr>
      </w:pPr>
      <w:r>
        <w:rPr>
          <w:rFonts w:cs="Times New Roman"/>
          <w:noProof/>
          <w:szCs w:val="24"/>
          <w14:ligatures w14:val="standardContextual"/>
        </w:rPr>
        <w:drawing>
          <wp:inline distT="0" distB="0" distL="0" distR="0" wp14:anchorId="675E7E17" wp14:editId="70790656">
            <wp:extent cx="5538328" cy="2560320"/>
            <wp:effectExtent l="0" t="0" r="5715" b="0"/>
            <wp:docPr id="1603195412" name="Picture 26" descr="A picture containing q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195412" name="Picture 26" descr="A picture containing qr code&#10;&#10;AI-generated content may be incorrect."/>
                    <pic:cNvPicPr/>
                  </pic:nvPicPr>
                  <pic:blipFill rotWithShape="1">
                    <a:blip r:embed="rId36" cstate="print">
                      <a:extLst>
                        <a:ext uri="{28A0092B-C50C-407E-A947-70E740481C1C}">
                          <a14:useLocalDpi xmlns:a14="http://schemas.microsoft.com/office/drawing/2010/main" val="0"/>
                        </a:ext>
                      </a:extLst>
                    </a:blip>
                    <a:srcRect t="1659" b="5883"/>
                    <a:stretch/>
                  </pic:blipFill>
                  <pic:spPr bwMode="auto">
                    <a:xfrm>
                      <a:off x="0" y="0"/>
                      <a:ext cx="5538328" cy="2560320"/>
                    </a:xfrm>
                    <a:prstGeom prst="rect">
                      <a:avLst/>
                    </a:prstGeom>
                    <a:ln>
                      <a:noFill/>
                    </a:ln>
                    <a:extLst>
                      <a:ext uri="{53640926-AAD7-44D8-BBD7-CCE9431645EC}">
                        <a14:shadowObscured xmlns:a14="http://schemas.microsoft.com/office/drawing/2010/main"/>
                      </a:ext>
                    </a:extLst>
                  </pic:spPr>
                </pic:pic>
              </a:graphicData>
            </a:graphic>
          </wp:inline>
        </w:drawing>
      </w:r>
    </w:p>
    <w:p w14:paraId="2603AC21" w14:textId="10715BEE" w:rsidR="00F6563B" w:rsidRDefault="00E45BDF" w:rsidP="002C492A">
      <w:pPr>
        <w:pStyle w:val="Caption1"/>
      </w:pPr>
      <w:r w:rsidRPr="00FA4EF4">
        <w:t>Figure 25</w:t>
      </w:r>
      <w:r w:rsidR="00F6563B" w:rsidRPr="00FA4EF4">
        <w:t xml:space="preserve">. a. Ge </w:t>
      </w:r>
      <w:r w:rsidR="00131556" w:rsidRPr="00FA4EF4">
        <w:t xml:space="preserve">concentration </w:t>
      </w:r>
      <w:r w:rsidR="00F6563B" w:rsidRPr="00FA4EF4">
        <w:t>versus depth for composite and grab samples. b. Heat map for Ge concentration</w:t>
      </w:r>
      <w:r w:rsidR="003F525F" w:rsidRPr="00FA4EF4">
        <w:t xml:space="preserve"> (ppm)</w:t>
      </w:r>
      <w:r w:rsidR="00F6563B" w:rsidRPr="00FA4EF4">
        <w:t xml:space="preserve"> in composite samples. Darkest blue represents the highest values with yellow representing the lowest.</w:t>
      </w:r>
      <w:r w:rsidR="00F102B2" w:rsidRPr="00FA4EF4">
        <w:t xml:space="preserve"> See text for more information.</w:t>
      </w:r>
    </w:p>
    <w:p w14:paraId="676D8AA2" w14:textId="77777777" w:rsidR="00E874DE" w:rsidRDefault="00E874DE" w:rsidP="00E874DE">
      <w:pPr>
        <w:spacing w:after="0"/>
        <w:ind w:firstLine="0"/>
        <w:rPr>
          <w:rFonts w:cs="Times New Roman"/>
          <w:color w:val="000000"/>
          <w:sz w:val="20"/>
          <w:szCs w:val="20"/>
        </w:rPr>
      </w:pPr>
      <w:r>
        <w:rPr>
          <w:rFonts w:cs="Times New Roman"/>
          <w:noProof/>
          <w:color w:val="000000"/>
          <w:szCs w:val="24"/>
          <w14:ligatures w14:val="standardContextual"/>
        </w:rPr>
        <w:drawing>
          <wp:inline distT="0" distB="0" distL="0" distR="0" wp14:anchorId="051648AA" wp14:editId="04038172">
            <wp:extent cx="5539690" cy="2560320"/>
            <wp:effectExtent l="0" t="0" r="4445" b="0"/>
            <wp:docPr id="1531045705" name="Picture 27" descr="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045705" name="Picture 27" descr="Chart&#10;&#10;AI-generated content may be incorrect."/>
                    <pic:cNvPicPr/>
                  </pic:nvPicPr>
                  <pic:blipFill rotWithShape="1">
                    <a:blip r:embed="rId37" cstate="print">
                      <a:extLst>
                        <a:ext uri="{28A0092B-C50C-407E-A947-70E740481C1C}">
                          <a14:useLocalDpi xmlns:a14="http://schemas.microsoft.com/office/drawing/2010/main" val="0"/>
                        </a:ext>
                      </a:extLst>
                    </a:blip>
                    <a:srcRect t="977" b="6587"/>
                    <a:stretch/>
                  </pic:blipFill>
                  <pic:spPr bwMode="auto">
                    <a:xfrm>
                      <a:off x="0" y="0"/>
                      <a:ext cx="5539690" cy="2560320"/>
                    </a:xfrm>
                    <a:prstGeom prst="rect">
                      <a:avLst/>
                    </a:prstGeom>
                    <a:ln>
                      <a:noFill/>
                    </a:ln>
                    <a:extLst>
                      <a:ext uri="{53640926-AAD7-44D8-BBD7-CCE9431645EC}">
                        <a14:shadowObscured xmlns:a14="http://schemas.microsoft.com/office/drawing/2010/main"/>
                      </a:ext>
                    </a:extLst>
                  </pic:spPr>
                </pic:pic>
              </a:graphicData>
            </a:graphic>
          </wp:inline>
        </w:drawing>
      </w:r>
    </w:p>
    <w:p w14:paraId="706C4815" w14:textId="77777777" w:rsidR="00E874DE" w:rsidRPr="00FA4EF4" w:rsidRDefault="00E874DE" w:rsidP="00E874DE">
      <w:pPr>
        <w:pStyle w:val="Caption1"/>
        <w:rPr>
          <w:noProof/>
          <w:sz w:val="24"/>
          <w:szCs w:val="24"/>
          <w14:ligatures w14:val="standardContextual"/>
        </w:rPr>
      </w:pPr>
      <w:r w:rsidRPr="00FA4EF4">
        <w:t>Figure 26. Ge concentration versus depth for Tungsten Queen Cores. See text for more information.</w:t>
      </w:r>
    </w:p>
    <w:p w14:paraId="19715842" w14:textId="77777777" w:rsidR="00AA1C9B" w:rsidRPr="00FA4EF4" w:rsidRDefault="00AA1C9B" w:rsidP="00AA1C9B">
      <w:pPr>
        <w:pStyle w:val="Heading2"/>
      </w:pPr>
      <w:bookmarkStart w:id="8" w:name="_Toc222230012"/>
      <w:r w:rsidRPr="00FA4EF4">
        <w:t>4.2 Potential Non-Critical Mineral Commodities</w:t>
      </w:r>
      <w:bookmarkEnd w:id="8"/>
    </w:p>
    <w:p w14:paraId="2C5389AF" w14:textId="77777777" w:rsidR="00AA1C9B" w:rsidRPr="00CB21FD" w:rsidRDefault="00AA1C9B" w:rsidP="00AA1C9B">
      <w:pPr>
        <w:rPr>
          <w:rFonts w:cs="Times New Roman"/>
          <w:i/>
          <w:iCs/>
          <w:szCs w:val="24"/>
        </w:rPr>
      </w:pPr>
      <w:r w:rsidRPr="00CB21FD">
        <w:rPr>
          <w:rFonts w:cs="Times New Roman"/>
          <w:i/>
          <w:iCs/>
          <w:szCs w:val="24"/>
        </w:rPr>
        <w:t>Silver</w:t>
      </w:r>
    </w:p>
    <w:p w14:paraId="1BD5D0C6" w14:textId="77777777" w:rsidR="00AA1C9B" w:rsidRDefault="00AA1C9B" w:rsidP="00AA1C9B">
      <w:r w:rsidRPr="00FA4EF4">
        <w:t>Composite sample Ag concentrations range from 9 to 21 ppm (Figure 27a), with the highest concentration in NCGS-TQ-C5, located in the eastern portion of tailings pond 2 (Figure 27b). The mean and median Ag content of composite samples is 15 ppm.</w:t>
      </w:r>
    </w:p>
    <w:p w14:paraId="7D52F1FF" w14:textId="316C4D51" w:rsidR="00AA1C9B" w:rsidRDefault="00AA1C9B" w:rsidP="00AA1C9B">
      <w:r w:rsidRPr="00FA4EF4">
        <w:t>Grab sample Ag concentrations range from 11 to 32 ppm, with a mean of 17 ppm and a median of 15 ppm. The highest concentration is in NCGS-TQ-G3-28-30 (32 ppm</w:t>
      </w:r>
      <w:r>
        <w:t>; Figure 27a</w:t>
      </w:r>
      <w:r w:rsidRPr="00FA4EF4">
        <w:t>)</w:t>
      </w:r>
      <w:r>
        <w:t xml:space="preserve">, </w:t>
      </w:r>
    </w:p>
    <w:p w14:paraId="66684AD1" w14:textId="77777777" w:rsidR="00566F32" w:rsidRDefault="00731346" w:rsidP="00E874DE">
      <w:pPr>
        <w:spacing w:after="0"/>
        <w:ind w:firstLine="0"/>
        <w:rPr>
          <w:rFonts w:cs="Times New Roman"/>
          <w:color w:val="000000"/>
          <w:sz w:val="20"/>
          <w:szCs w:val="20"/>
        </w:rPr>
      </w:pPr>
      <w:r>
        <w:rPr>
          <w:rFonts w:cs="Times New Roman"/>
          <w:noProof/>
          <w:szCs w:val="24"/>
          <w14:ligatures w14:val="standardContextual"/>
        </w:rPr>
        <w:lastRenderedPageBreak/>
        <w:drawing>
          <wp:inline distT="0" distB="0" distL="0" distR="0" wp14:anchorId="1E7826DD" wp14:editId="05C06F08">
            <wp:extent cx="5555075" cy="2560320"/>
            <wp:effectExtent l="0" t="0" r="7620" b="0"/>
            <wp:docPr id="674446264" name="Picture 28" descr="A picture containing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446264" name="Picture 28" descr="A picture containing diagram&#10;&#10;AI-generated content may be incorrect."/>
                    <pic:cNvPicPr/>
                  </pic:nvPicPr>
                  <pic:blipFill rotWithShape="1">
                    <a:blip r:embed="rId38" cstate="print">
                      <a:extLst>
                        <a:ext uri="{28A0092B-C50C-407E-A947-70E740481C1C}">
                          <a14:useLocalDpi xmlns:a14="http://schemas.microsoft.com/office/drawing/2010/main" val="0"/>
                        </a:ext>
                      </a:extLst>
                    </a:blip>
                    <a:srcRect t="1795" b="6026"/>
                    <a:stretch/>
                  </pic:blipFill>
                  <pic:spPr bwMode="auto">
                    <a:xfrm>
                      <a:off x="0" y="0"/>
                      <a:ext cx="5555075" cy="2560320"/>
                    </a:xfrm>
                    <a:prstGeom prst="rect">
                      <a:avLst/>
                    </a:prstGeom>
                    <a:ln>
                      <a:noFill/>
                    </a:ln>
                    <a:extLst>
                      <a:ext uri="{53640926-AAD7-44D8-BBD7-CCE9431645EC}">
                        <a14:shadowObscured xmlns:a14="http://schemas.microsoft.com/office/drawing/2010/main"/>
                      </a:ext>
                    </a:extLst>
                  </pic:spPr>
                </pic:pic>
              </a:graphicData>
            </a:graphic>
          </wp:inline>
        </w:drawing>
      </w:r>
    </w:p>
    <w:p w14:paraId="594A7E11" w14:textId="7AD8B36D" w:rsidR="0066194C" w:rsidRPr="00520B57" w:rsidRDefault="00E45BDF" w:rsidP="002C492A">
      <w:pPr>
        <w:pStyle w:val="Caption1"/>
        <w:rPr>
          <w:sz w:val="24"/>
          <w:szCs w:val="24"/>
        </w:rPr>
      </w:pPr>
      <w:r w:rsidRPr="00FA4EF4">
        <w:t>Figure 27</w:t>
      </w:r>
      <w:r w:rsidR="0066194C" w:rsidRPr="00FA4EF4">
        <w:t xml:space="preserve">. a. Ag </w:t>
      </w:r>
      <w:r w:rsidR="00131556" w:rsidRPr="00FA4EF4">
        <w:t xml:space="preserve">concentration </w:t>
      </w:r>
      <w:r w:rsidR="0066194C" w:rsidRPr="00FA4EF4">
        <w:t>versus depth for composite and grab samples. b. Heat map for Ag concentration</w:t>
      </w:r>
      <w:r w:rsidR="00A90008" w:rsidRPr="00FA4EF4">
        <w:t xml:space="preserve"> (ppm)</w:t>
      </w:r>
      <w:r w:rsidR="0066194C" w:rsidRPr="00FA4EF4">
        <w:t xml:space="preserve"> in composite samples. Darkest blue represents the highest values with yellow representing the lowest.</w:t>
      </w:r>
      <w:r w:rsidR="00F102B2" w:rsidRPr="00FA4EF4">
        <w:t xml:space="preserve"> See text for more information.</w:t>
      </w:r>
    </w:p>
    <w:p w14:paraId="116FC71E" w14:textId="77777777" w:rsidR="00AA1C9B" w:rsidRDefault="00AA1C9B" w:rsidP="00AA1C9B">
      <w:pPr>
        <w:ind w:firstLine="0"/>
      </w:pPr>
      <w:r>
        <w:t>while s</w:t>
      </w:r>
      <w:r w:rsidRPr="00FA4EF4">
        <w:t>amples NCGS-TQ-G2-0-4 and NCGS-TQ-G3-13-17 also have elevated Ag (24 ppm each).</w:t>
      </w:r>
    </w:p>
    <w:p w14:paraId="5603E87E" w14:textId="6794E67F" w:rsidR="00D74A0B" w:rsidRDefault="00D74A0B" w:rsidP="002C492A">
      <w:r w:rsidRPr="00FA4EF4">
        <w:t>Drill core Ag concentrations range from 6.97 to 42 ppm, with a mean of 14 ppm and a median of 12 ppm. The highest Ag concentrations are in NCGS-TQ-D6-3-4 (42 ppm) and NCGS-TQ-D6-4-4.7 (Figure 2</w:t>
      </w:r>
      <w:r>
        <w:t>8</w:t>
      </w:r>
      <w:r w:rsidRPr="00FA4EF4">
        <w:t>).</w:t>
      </w:r>
    </w:p>
    <w:p w14:paraId="3E2A5E56" w14:textId="77777777" w:rsidR="00E874DE" w:rsidRDefault="00E874DE" w:rsidP="00E874DE">
      <w:pPr>
        <w:spacing w:after="0"/>
        <w:ind w:firstLine="0"/>
        <w:rPr>
          <w:rFonts w:cs="Times New Roman"/>
          <w:color w:val="000000"/>
          <w:sz w:val="20"/>
          <w:szCs w:val="20"/>
        </w:rPr>
      </w:pPr>
      <w:r>
        <w:rPr>
          <w:rFonts w:cs="Times New Roman"/>
          <w:noProof/>
          <w:szCs w:val="24"/>
          <w14:ligatures w14:val="standardContextual"/>
        </w:rPr>
        <w:drawing>
          <wp:inline distT="0" distB="0" distL="0" distR="0" wp14:anchorId="7B3EAF89" wp14:editId="60FDCF38">
            <wp:extent cx="5523161" cy="2560320"/>
            <wp:effectExtent l="0" t="0" r="1905" b="0"/>
            <wp:docPr id="183319663" name="Picture 29"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19663" name="Picture 29" descr="Diagram&#10;&#10;AI-generated content may be incorrect."/>
                    <pic:cNvPicPr/>
                  </pic:nvPicPr>
                  <pic:blipFill rotWithShape="1">
                    <a:blip r:embed="rId39" cstate="print">
                      <a:extLst>
                        <a:ext uri="{28A0092B-C50C-407E-A947-70E740481C1C}">
                          <a14:useLocalDpi xmlns:a14="http://schemas.microsoft.com/office/drawing/2010/main" val="0"/>
                        </a:ext>
                      </a:extLst>
                    </a:blip>
                    <a:srcRect t="1422" b="5867"/>
                    <a:stretch/>
                  </pic:blipFill>
                  <pic:spPr bwMode="auto">
                    <a:xfrm>
                      <a:off x="0" y="0"/>
                      <a:ext cx="5523161" cy="2560320"/>
                    </a:xfrm>
                    <a:prstGeom prst="rect">
                      <a:avLst/>
                    </a:prstGeom>
                    <a:ln>
                      <a:noFill/>
                    </a:ln>
                    <a:extLst>
                      <a:ext uri="{53640926-AAD7-44D8-BBD7-CCE9431645EC}">
                        <a14:shadowObscured xmlns:a14="http://schemas.microsoft.com/office/drawing/2010/main"/>
                      </a:ext>
                    </a:extLst>
                  </pic:spPr>
                </pic:pic>
              </a:graphicData>
            </a:graphic>
          </wp:inline>
        </w:drawing>
      </w:r>
    </w:p>
    <w:p w14:paraId="7A71CFD2" w14:textId="77777777" w:rsidR="00E874DE" w:rsidRPr="002C492A" w:rsidRDefault="00E874DE" w:rsidP="00E874DE">
      <w:pPr>
        <w:pStyle w:val="Caption1"/>
      </w:pPr>
      <w:r w:rsidRPr="002C492A">
        <w:t>Figure 28. Ag concentration versus depth for Tungsten Queen Cores. See text for more information.</w:t>
      </w:r>
    </w:p>
    <w:p w14:paraId="1C143C4E" w14:textId="77777777" w:rsidR="00AA1C9B" w:rsidRPr="00CB21FD" w:rsidRDefault="00AA1C9B" w:rsidP="00AA1C9B">
      <w:pPr>
        <w:rPr>
          <w:rFonts w:cs="Times New Roman"/>
          <w:i/>
          <w:iCs/>
          <w:color w:val="000000"/>
          <w:szCs w:val="24"/>
        </w:rPr>
      </w:pPr>
      <w:r w:rsidRPr="00CB21FD">
        <w:rPr>
          <w:rFonts w:cs="Times New Roman"/>
          <w:i/>
          <w:iCs/>
          <w:color w:val="000000"/>
          <w:szCs w:val="24"/>
        </w:rPr>
        <w:t>Gold</w:t>
      </w:r>
    </w:p>
    <w:p w14:paraId="4F5A362E" w14:textId="77777777" w:rsidR="00AA1C9B" w:rsidRDefault="00AA1C9B" w:rsidP="00AA1C9B">
      <w:r w:rsidRPr="00FA4EF4">
        <w:t>Composite sample Au concentrations range from 7 to 45 parts per billion (ppb; Figure 29a), with the highest concentration in NCGS-TQ-C5, located in the eastern portion of tailings pond 2 (Figure 29b). The mean and median for composite samples are both 22 ppb.</w:t>
      </w:r>
    </w:p>
    <w:p w14:paraId="365D2379" w14:textId="77777777" w:rsidR="003E28D9" w:rsidRPr="00FA4EF4" w:rsidRDefault="003E28D9" w:rsidP="003E28D9">
      <w:r w:rsidRPr="00FA4EF4">
        <w:t>Grab sample Au concentrations range from 8 to 49 ppb (Figure 29a) with a mean of 19 ppb and a median of 14 ppb. The highest Au concentrations are in samples NCGS-TQ-G1 (49 ppb) and NCGS-TQ-G2-50-53 (36 ppb).</w:t>
      </w:r>
    </w:p>
    <w:p w14:paraId="18C765CA" w14:textId="77777777" w:rsidR="003E28D9" w:rsidRDefault="003E28D9" w:rsidP="00AC4000">
      <w:pPr>
        <w:rPr>
          <w:rFonts w:cs="Times New Roman"/>
          <w:szCs w:val="24"/>
        </w:rPr>
      </w:pPr>
    </w:p>
    <w:p w14:paraId="6CA14FC2" w14:textId="77777777" w:rsidR="00D74A0B" w:rsidRDefault="00E301E6" w:rsidP="003E28D9">
      <w:pPr>
        <w:spacing w:after="0"/>
        <w:ind w:firstLine="0"/>
        <w:rPr>
          <w:rFonts w:cs="Times New Roman"/>
          <w:color w:val="000000"/>
          <w:sz w:val="20"/>
          <w:szCs w:val="20"/>
        </w:rPr>
      </w:pPr>
      <w:r>
        <w:rPr>
          <w:rFonts w:cs="Times New Roman"/>
          <w:noProof/>
          <w:szCs w:val="24"/>
          <w14:ligatures w14:val="standardContextual"/>
        </w:rPr>
        <w:lastRenderedPageBreak/>
        <w:drawing>
          <wp:inline distT="0" distB="0" distL="0" distR="0" wp14:anchorId="4F506DBA" wp14:editId="1EEF064E">
            <wp:extent cx="5554362" cy="2560320"/>
            <wp:effectExtent l="0" t="0" r="8255" b="0"/>
            <wp:docPr id="638475831" name="Picture 30" descr="A picture containing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475831" name="Picture 30" descr="A picture containing diagram&#10;&#10;AI-generated content may be incorrect."/>
                    <pic:cNvPicPr/>
                  </pic:nvPicPr>
                  <pic:blipFill rotWithShape="1">
                    <a:blip r:embed="rId40" cstate="print">
                      <a:extLst>
                        <a:ext uri="{28A0092B-C50C-407E-A947-70E740481C1C}">
                          <a14:useLocalDpi xmlns:a14="http://schemas.microsoft.com/office/drawing/2010/main" val="0"/>
                        </a:ext>
                      </a:extLst>
                    </a:blip>
                    <a:srcRect t="1832" b="5977"/>
                    <a:stretch/>
                  </pic:blipFill>
                  <pic:spPr bwMode="auto">
                    <a:xfrm>
                      <a:off x="0" y="0"/>
                      <a:ext cx="5554362" cy="2560320"/>
                    </a:xfrm>
                    <a:prstGeom prst="rect">
                      <a:avLst/>
                    </a:prstGeom>
                    <a:ln>
                      <a:noFill/>
                    </a:ln>
                    <a:extLst>
                      <a:ext uri="{53640926-AAD7-44D8-BBD7-CCE9431645EC}">
                        <a14:shadowObscured xmlns:a14="http://schemas.microsoft.com/office/drawing/2010/main"/>
                      </a:ext>
                    </a:extLst>
                  </pic:spPr>
                </pic:pic>
              </a:graphicData>
            </a:graphic>
          </wp:inline>
        </w:drawing>
      </w:r>
    </w:p>
    <w:p w14:paraId="241B560F" w14:textId="17ECA5CC" w:rsidR="007A5E7C" w:rsidRPr="002C492A" w:rsidRDefault="00E45BDF" w:rsidP="002C492A">
      <w:pPr>
        <w:pStyle w:val="Caption1"/>
      </w:pPr>
      <w:r w:rsidRPr="002C492A">
        <w:t>Figure 29</w:t>
      </w:r>
      <w:r w:rsidR="007A5E7C" w:rsidRPr="002C492A">
        <w:t>. a. Au concentration versus depth for composite and grab samples. b. Heat map for Au concentration</w:t>
      </w:r>
      <w:r w:rsidR="00C52D7A" w:rsidRPr="002C492A">
        <w:t xml:space="preserve"> (pp</w:t>
      </w:r>
      <w:r w:rsidR="001F7E65" w:rsidRPr="002C492A">
        <w:t>b</w:t>
      </w:r>
      <w:r w:rsidR="00C52D7A" w:rsidRPr="002C492A">
        <w:t>)</w:t>
      </w:r>
      <w:r w:rsidR="007A5E7C" w:rsidRPr="002C492A">
        <w:t xml:space="preserve"> in composite samples. Darkest blue represents the highest values with yellow representing the lowest.</w:t>
      </w:r>
    </w:p>
    <w:p w14:paraId="325EDC70" w14:textId="1F1C9923" w:rsidR="009026C2" w:rsidRDefault="003E34EB" w:rsidP="002C492A">
      <w:r w:rsidRPr="00FA4EF4">
        <w:t>Drill core A</w:t>
      </w:r>
      <w:r w:rsidR="00F00A8A" w:rsidRPr="00FA4EF4">
        <w:t>u</w:t>
      </w:r>
      <w:r w:rsidRPr="00FA4EF4">
        <w:t xml:space="preserve"> concentrations range from 6 to </w:t>
      </w:r>
      <w:r w:rsidR="005E26AC" w:rsidRPr="00FA4EF4">
        <w:t>132</w:t>
      </w:r>
      <w:r w:rsidRPr="00FA4EF4">
        <w:t xml:space="preserve"> pp</w:t>
      </w:r>
      <w:r w:rsidR="005E26AC" w:rsidRPr="00FA4EF4">
        <w:t>b</w:t>
      </w:r>
      <w:r w:rsidRPr="00FA4EF4">
        <w:t xml:space="preserve">, </w:t>
      </w:r>
      <w:r w:rsidR="00C10D1F" w:rsidRPr="00FA4EF4">
        <w:t>with a mean concentration of 39 ppb and a median of 36 ppb</w:t>
      </w:r>
      <w:r w:rsidRPr="00FA4EF4">
        <w:t>. The highest A</w:t>
      </w:r>
      <w:r w:rsidR="00452347" w:rsidRPr="00FA4EF4">
        <w:t>u</w:t>
      </w:r>
      <w:r w:rsidRPr="00FA4EF4">
        <w:t xml:space="preserve"> concentrations are</w:t>
      </w:r>
      <w:r w:rsidR="006D3114" w:rsidRPr="00FA4EF4">
        <w:t xml:space="preserve"> in </w:t>
      </w:r>
      <w:r w:rsidR="00991229" w:rsidRPr="00FA4EF4">
        <w:t>NCGS-TQ-D</w:t>
      </w:r>
      <w:r w:rsidR="007A4148" w:rsidRPr="00FA4EF4">
        <w:t>6-4-4.7</w:t>
      </w:r>
      <w:r w:rsidR="00272391" w:rsidRPr="00FA4EF4">
        <w:t xml:space="preserve"> </w:t>
      </w:r>
      <w:r w:rsidR="0008783D" w:rsidRPr="00FA4EF4">
        <w:t>(</w:t>
      </w:r>
      <w:r w:rsidR="00272391" w:rsidRPr="00FA4EF4">
        <w:t>132</w:t>
      </w:r>
      <w:r w:rsidR="0008783D" w:rsidRPr="00FA4EF4">
        <w:t xml:space="preserve"> pp</w:t>
      </w:r>
      <w:r w:rsidR="00272391" w:rsidRPr="00FA4EF4">
        <w:t>b</w:t>
      </w:r>
      <w:r w:rsidR="0008783D" w:rsidRPr="00FA4EF4">
        <w:t xml:space="preserve">) </w:t>
      </w:r>
      <w:r w:rsidR="0018049B" w:rsidRPr="00FA4EF4">
        <w:t xml:space="preserve">and </w:t>
      </w:r>
      <w:r w:rsidR="005113AE" w:rsidRPr="00FA4EF4">
        <w:t>NCGS-TQ-D5-3-4.4</w:t>
      </w:r>
      <w:r w:rsidRPr="00FA4EF4">
        <w:t xml:space="preserve"> (</w:t>
      </w:r>
      <w:r w:rsidR="00272391" w:rsidRPr="00FA4EF4">
        <w:t xml:space="preserve">129 ppb; </w:t>
      </w:r>
      <w:r w:rsidR="00F03CA9" w:rsidRPr="00FA4EF4">
        <w:t>Figure 30</w:t>
      </w:r>
      <w:r w:rsidRPr="00FA4EF4">
        <w:t>).</w:t>
      </w:r>
    </w:p>
    <w:p w14:paraId="21B6F080" w14:textId="77777777" w:rsidR="00454E4C" w:rsidRDefault="003662AF" w:rsidP="003E28D9">
      <w:pPr>
        <w:spacing w:after="0"/>
        <w:ind w:firstLine="0"/>
        <w:rPr>
          <w:rFonts w:cs="Times New Roman"/>
          <w:color w:val="000000"/>
          <w:sz w:val="20"/>
          <w:szCs w:val="20"/>
        </w:rPr>
      </w:pPr>
      <w:r>
        <w:rPr>
          <w:rFonts w:cs="Times New Roman"/>
          <w:noProof/>
          <w:szCs w:val="24"/>
          <w14:ligatures w14:val="standardContextual"/>
        </w:rPr>
        <w:drawing>
          <wp:inline distT="0" distB="0" distL="0" distR="0" wp14:anchorId="2DC73240" wp14:editId="58196328">
            <wp:extent cx="5541335" cy="2560320"/>
            <wp:effectExtent l="0" t="0" r="2540" b="0"/>
            <wp:docPr id="1446468581" name="Picture 31"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468581" name="Picture 31" descr="Diagram&#10;&#10;AI-generated content may be incorrect."/>
                    <pic:cNvPicPr/>
                  </pic:nvPicPr>
                  <pic:blipFill rotWithShape="1">
                    <a:blip r:embed="rId41" cstate="print">
                      <a:extLst>
                        <a:ext uri="{28A0092B-C50C-407E-A947-70E740481C1C}">
                          <a14:useLocalDpi xmlns:a14="http://schemas.microsoft.com/office/drawing/2010/main" val="0"/>
                        </a:ext>
                      </a:extLst>
                    </a:blip>
                    <a:srcRect t="1728" b="5865"/>
                    <a:stretch/>
                  </pic:blipFill>
                  <pic:spPr bwMode="auto">
                    <a:xfrm>
                      <a:off x="0" y="0"/>
                      <a:ext cx="5541335" cy="2560320"/>
                    </a:xfrm>
                    <a:prstGeom prst="rect">
                      <a:avLst/>
                    </a:prstGeom>
                    <a:ln>
                      <a:noFill/>
                    </a:ln>
                    <a:extLst>
                      <a:ext uri="{53640926-AAD7-44D8-BBD7-CCE9431645EC}">
                        <a14:shadowObscured xmlns:a14="http://schemas.microsoft.com/office/drawing/2010/main"/>
                      </a:ext>
                    </a:extLst>
                  </pic:spPr>
                </pic:pic>
              </a:graphicData>
            </a:graphic>
          </wp:inline>
        </w:drawing>
      </w:r>
    </w:p>
    <w:p w14:paraId="12DD8DF8" w14:textId="71F01087" w:rsidR="009026C2" w:rsidRPr="003673BC" w:rsidRDefault="00F03CA9" w:rsidP="002C492A">
      <w:pPr>
        <w:pStyle w:val="Caption1"/>
        <w:rPr>
          <w:sz w:val="24"/>
          <w:szCs w:val="24"/>
        </w:rPr>
      </w:pPr>
      <w:r w:rsidRPr="00FA4EF4">
        <w:t>Figure 30</w:t>
      </w:r>
      <w:r w:rsidR="006B1536" w:rsidRPr="00FA4EF4">
        <w:t>. A</w:t>
      </w:r>
      <w:r w:rsidR="00950582">
        <w:t>u</w:t>
      </w:r>
      <w:r w:rsidR="006B1536" w:rsidRPr="00FA4EF4">
        <w:t xml:space="preserve"> concentration versus depth for Tungsten Queen Cores. See text for more information.</w:t>
      </w:r>
    </w:p>
    <w:p w14:paraId="5DC191BD" w14:textId="3FB03DBD" w:rsidR="003E382B" w:rsidRPr="00FA4EF4" w:rsidRDefault="00A9313E" w:rsidP="00354281">
      <w:pPr>
        <w:pStyle w:val="Heading1"/>
      </w:pPr>
      <w:bookmarkStart w:id="9" w:name="_Toc222230013"/>
      <w:r w:rsidRPr="00FA4EF4">
        <w:t xml:space="preserve">5. </w:t>
      </w:r>
      <w:r w:rsidR="00923EFB" w:rsidRPr="00FA4EF4">
        <w:t>Discussion</w:t>
      </w:r>
      <w:bookmarkEnd w:id="9"/>
    </w:p>
    <w:p w14:paraId="28538842" w14:textId="363E3BCF" w:rsidR="008B507D" w:rsidRPr="00354281" w:rsidRDefault="00A9313E" w:rsidP="00354281">
      <w:pPr>
        <w:pStyle w:val="Heading2"/>
        <w:ind w:left="720" w:firstLine="0"/>
      </w:pPr>
      <w:bookmarkStart w:id="10" w:name="_Toc222230014"/>
      <w:r w:rsidRPr="00354281">
        <w:t xml:space="preserve">5.1 </w:t>
      </w:r>
      <w:r w:rsidR="00E67982" w:rsidRPr="00354281">
        <w:t xml:space="preserve">Potential Factors Controlling Critical Mineral and Non-Critical Commodity </w:t>
      </w:r>
      <w:r w:rsidR="005B5436" w:rsidRPr="00354281">
        <w:t>Distribution within Ponds</w:t>
      </w:r>
      <w:bookmarkEnd w:id="10"/>
      <w:r w:rsidR="00E67982" w:rsidRPr="00354281">
        <w:t xml:space="preserve"> </w:t>
      </w:r>
    </w:p>
    <w:p w14:paraId="3C77DE7C" w14:textId="0DF4401F" w:rsidR="005D52D4" w:rsidRDefault="00524B76" w:rsidP="002C492A">
      <w:r w:rsidRPr="00FA4EF4">
        <w:t xml:space="preserve">Several samples </w:t>
      </w:r>
      <w:r w:rsidR="00BA5E87" w:rsidRPr="00FA4EF4">
        <w:t>ha</w:t>
      </w:r>
      <w:r w:rsidR="00847E1E" w:rsidRPr="00FA4EF4">
        <w:t>ve</w:t>
      </w:r>
      <w:r w:rsidRPr="00FA4EF4">
        <w:t xml:space="preserve"> the highest concentrations </w:t>
      </w:r>
      <w:r w:rsidR="00BA5E87" w:rsidRPr="00FA4EF4">
        <w:t xml:space="preserve">for their sample type </w:t>
      </w:r>
      <w:r w:rsidR="00606B8A" w:rsidRPr="00FA4EF4">
        <w:t xml:space="preserve">in </w:t>
      </w:r>
      <w:r w:rsidRPr="00FA4EF4">
        <w:t>one or two elements, however, a handful</w:t>
      </w:r>
      <w:r w:rsidR="00043773" w:rsidRPr="00FA4EF4">
        <w:t xml:space="preserve"> </w:t>
      </w:r>
      <w:r w:rsidR="00234C3A">
        <w:t xml:space="preserve">of samples </w:t>
      </w:r>
      <w:r w:rsidR="00043773" w:rsidRPr="00FA4EF4">
        <w:t xml:space="preserve">emerged as </w:t>
      </w:r>
      <w:r w:rsidR="007B5529" w:rsidRPr="00FA4EF4">
        <w:t>being especially concentrated in</w:t>
      </w:r>
      <w:r w:rsidR="00043773" w:rsidRPr="00FA4EF4">
        <w:t xml:space="preserve"> multiple elements</w:t>
      </w:r>
      <w:r w:rsidR="002770EA" w:rsidRPr="00FA4EF4">
        <w:t xml:space="preserve"> (Table 3)</w:t>
      </w:r>
      <w:r w:rsidR="00043773" w:rsidRPr="00FA4EF4">
        <w:t>.</w:t>
      </w:r>
      <w:r w:rsidR="009533B0" w:rsidRPr="00FA4EF4">
        <w:t xml:space="preserve"> </w:t>
      </w:r>
      <w:r w:rsidR="002E7ECA" w:rsidRPr="00FA4EF4">
        <w:t xml:space="preserve">Sample </w:t>
      </w:r>
      <w:r w:rsidR="005D52D4" w:rsidRPr="00FA4EF4">
        <w:t>NCGS-TQ-G3-28-30 contain</w:t>
      </w:r>
      <w:r w:rsidR="00847E1E" w:rsidRPr="00FA4EF4">
        <w:t>s</w:t>
      </w:r>
      <w:r w:rsidR="005D52D4" w:rsidRPr="00FA4EF4">
        <w:t xml:space="preserve"> concentrations of W, F, Bi, Zn, Be, As, Sb, Te, V, Ga, and Ag</w:t>
      </w:r>
      <w:r w:rsidR="00295249">
        <w:t xml:space="preserve"> elevated above </w:t>
      </w:r>
      <w:r w:rsidR="00B42D0F">
        <w:t>other samples</w:t>
      </w:r>
      <w:r w:rsidR="00B45A5D">
        <w:t xml:space="preserve"> in this study</w:t>
      </w:r>
      <w:r w:rsidR="005D52D4" w:rsidRPr="00FA4EF4">
        <w:t>,</w:t>
      </w:r>
      <w:r w:rsidR="002E7ECA" w:rsidRPr="00FA4EF4">
        <w:t xml:space="preserve"> while </w:t>
      </w:r>
      <w:r w:rsidR="00295249">
        <w:t xml:space="preserve">sample </w:t>
      </w:r>
      <w:r w:rsidR="002E7ECA" w:rsidRPr="00FA4EF4">
        <w:t xml:space="preserve">NCGS-TQ-G2-0-4 </w:t>
      </w:r>
      <w:r w:rsidR="00847E1E" w:rsidRPr="00FA4EF4">
        <w:t>has</w:t>
      </w:r>
      <w:r w:rsidR="002E7ECA" w:rsidRPr="00FA4EF4">
        <w:t xml:space="preserve"> </w:t>
      </w:r>
      <w:r w:rsidR="00295249">
        <w:t xml:space="preserve">elevated </w:t>
      </w:r>
      <w:r w:rsidR="002E7ECA" w:rsidRPr="00FA4EF4">
        <w:t>W, F, Bi, As, Te, V, and Ga</w:t>
      </w:r>
      <w:r w:rsidR="005A4619" w:rsidRPr="00FA4EF4">
        <w:t>.</w:t>
      </w:r>
      <w:r w:rsidR="005D52D4" w:rsidRPr="00FA4EF4">
        <w:t xml:space="preserve"> </w:t>
      </w:r>
      <w:r w:rsidR="002E7ECA" w:rsidRPr="00FA4EF4">
        <w:t xml:space="preserve">Both samples were collected from profile </w:t>
      </w:r>
      <w:r w:rsidR="00F65578" w:rsidRPr="00FA4EF4">
        <w:t>intervals dominantly</w:t>
      </w:r>
      <w:r w:rsidR="00373B07" w:rsidRPr="00FA4EF4">
        <w:t xml:space="preserve"> </w:t>
      </w:r>
      <w:r w:rsidR="005D52D4" w:rsidRPr="00FA4EF4">
        <w:t>composed of clay</w:t>
      </w:r>
      <w:r w:rsidR="007D0EC8" w:rsidRPr="00FA4EF4">
        <w:t xml:space="preserve"> to silt</w:t>
      </w:r>
      <w:r w:rsidR="005D52D4" w:rsidRPr="00FA4EF4">
        <w:t xml:space="preserve"> </w:t>
      </w:r>
      <w:r w:rsidR="00723207" w:rsidRPr="00FA4EF4">
        <w:t xml:space="preserve">with </w:t>
      </w:r>
      <w:r w:rsidR="005D52D4" w:rsidRPr="00FA4EF4">
        <w:t>very fine sand</w:t>
      </w:r>
      <w:r w:rsidR="008C44C7" w:rsidRPr="00FA4EF4">
        <w:t xml:space="preserve"> (Appendix 3)</w:t>
      </w:r>
      <w:r w:rsidR="005D52D4" w:rsidRPr="00FA4EF4">
        <w:t xml:space="preserve">. The elevated W content of </w:t>
      </w:r>
      <w:r w:rsidR="00847E1E" w:rsidRPr="00FA4EF4">
        <w:t>the two</w:t>
      </w:r>
      <w:r w:rsidR="005D52D4" w:rsidRPr="00FA4EF4">
        <w:t xml:space="preserve"> samples aligns with the findings of </w:t>
      </w:r>
      <w:r w:rsidR="005D52D4" w:rsidRPr="00FA4EF4">
        <w:fldChar w:fldCharType="begin"/>
      </w:r>
      <w:r w:rsidR="005D52D4" w:rsidRPr="00FA4EF4">
        <w:instrText xml:space="preserve"> ADDIN ZOTERO_ITEM CSL_CITATION {"citationID":"mFkvRtR8","properties":{"formattedCitation":"(Meyertons, 1975)","plainCitation":"(Meyertons, 1975)","dontUpdate":true,"noteIndex":0},"citationItems":[{"id":77,"uris":["http://zotero.org/users/17206691/items/B3WBRLXM"],"itemData":{"id":77,"type":"report","page":"1-11","title":"A Preliminary Estimate of Tungsten Content of Tungsten Queen Tailing for Ranchers Exploration &amp; Development Corporation","author":[{"family":"Meyertons","given":"Ralph"}],"issued":{"date-parts":[["1975"]]}}}],"schema":"https://github.com/citation-style-language/schema/raw/master/csl-citation.json"} </w:instrText>
      </w:r>
      <w:r w:rsidR="005D52D4" w:rsidRPr="00FA4EF4">
        <w:fldChar w:fldCharType="separate"/>
      </w:r>
      <w:r w:rsidR="005D52D4" w:rsidRPr="00FA4EF4">
        <w:t>Meyertons (1975)</w:t>
      </w:r>
      <w:r w:rsidR="005D52D4" w:rsidRPr="00FA4EF4">
        <w:fldChar w:fldCharType="end"/>
      </w:r>
      <w:r w:rsidR="00273F3D" w:rsidRPr="00FA4EF4">
        <w:t>,</w:t>
      </w:r>
      <w:r w:rsidR="005D52D4" w:rsidRPr="00FA4EF4">
        <w:t xml:space="preserve"> </w:t>
      </w:r>
      <w:r w:rsidR="00273F3D" w:rsidRPr="00FA4EF4">
        <w:t>who report</w:t>
      </w:r>
      <w:r w:rsidR="00AE14C8" w:rsidRPr="00FA4EF4">
        <w:t xml:space="preserve"> a positive relationship between </w:t>
      </w:r>
      <w:r w:rsidR="00273F3D" w:rsidRPr="00FA4EF4">
        <w:t xml:space="preserve">sample W concentration and slime content as determined using a 400 mesh </w:t>
      </w:r>
      <w:r w:rsidR="00273F3D" w:rsidRPr="00FA4EF4">
        <w:lastRenderedPageBreak/>
        <w:t>sieve</w:t>
      </w:r>
      <w:r w:rsidR="005D52D4" w:rsidRPr="00FA4EF4">
        <w:t xml:space="preserve">. </w:t>
      </w:r>
      <w:r w:rsidR="00FA02B3" w:rsidRPr="00FA4EF4">
        <w:t xml:space="preserve">Although </w:t>
      </w:r>
      <w:r w:rsidR="00812917" w:rsidRPr="00FA4EF4">
        <w:t>clay</w:t>
      </w:r>
      <w:r w:rsidR="00207CB4" w:rsidRPr="00FA4EF4">
        <w:t xml:space="preserve"> and </w:t>
      </w:r>
      <w:r w:rsidR="00812917" w:rsidRPr="00FA4EF4">
        <w:t xml:space="preserve">silt-dominated </w:t>
      </w:r>
      <w:r w:rsidR="000B52D0" w:rsidRPr="00FA4EF4">
        <w:t xml:space="preserve">tailings samples </w:t>
      </w:r>
      <w:r w:rsidR="00A8704D" w:rsidRPr="00FA4EF4">
        <w:t>are</w:t>
      </w:r>
      <w:r w:rsidR="000B52D0" w:rsidRPr="00FA4EF4">
        <w:t xml:space="preserve"> rare in this</w:t>
      </w:r>
      <w:r w:rsidR="00BE354D" w:rsidRPr="00FA4EF4">
        <w:t xml:space="preserve"> study’s</w:t>
      </w:r>
      <w:r w:rsidR="000B52D0" w:rsidRPr="00FA4EF4">
        <w:t xml:space="preserve"> data set,</w:t>
      </w:r>
      <w:r w:rsidR="00393BA1" w:rsidRPr="00FA4EF4">
        <w:t xml:space="preserve"> </w:t>
      </w:r>
      <w:r w:rsidR="000B52D0" w:rsidRPr="00FA4EF4">
        <w:t>t</w:t>
      </w:r>
      <w:r w:rsidR="005D52D4" w:rsidRPr="00FA4EF4">
        <w:t>hese results</w:t>
      </w:r>
      <w:r w:rsidR="000B52D0" w:rsidRPr="00FA4EF4">
        <w:t xml:space="preserve"> </w:t>
      </w:r>
      <w:r w:rsidR="00D57277" w:rsidRPr="00FA4EF4">
        <w:t>could</w:t>
      </w:r>
      <w:r w:rsidR="005D52D4" w:rsidRPr="00FA4EF4">
        <w:t xml:space="preserve"> suggest </w:t>
      </w:r>
      <w:r w:rsidR="008626EB" w:rsidRPr="00FA4EF4">
        <w:t xml:space="preserve">that </w:t>
      </w:r>
      <w:r w:rsidR="005D52D4" w:rsidRPr="00FA4EF4">
        <w:t xml:space="preserve">other critical minerals may be concentrated in </w:t>
      </w:r>
      <w:r w:rsidR="00D57277" w:rsidRPr="00FA4EF4">
        <w:t>fine</w:t>
      </w:r>
      <w:r w:rsidR="005D52D4" w:rsidRPr="00FA4EF4">
        <w:t xml:space="preserve"> size fractions as well.</w:t>
      </w:r>
      <w:r w:rsidR="00BC080A" w:rsidRPr="00FA4EF4">
        <w:t xml:space="preserve"> </w:t>
      </w:r>
    </w:p>
    <w:p w14:paraId="54DC9C2E" w14:textId="77777777" w:rsidR="003E28D9" w:rsidRDefault="003E28D9" w:rsidP="002C492A"/>
    <w:tbl>
      <w:tblPr>
        <w:tblW w:w="5760" w:type="dxa"/>
        <w:tblLook w:val="04A0" w:firstRow="1" w:lastRow="0" w:firstColumn="1" w:lastColumn="0" w:noHBand="0" w:noVBand="1"/>
      </w:tblPr>
      <w:tblGrid>
        <w:gridCol w:w="1980"/>
        <w:gridCol w:w="3780"/>
      </w:tblGrid>
      <w:tr w:rsidR="00BC541F" w:rsidRPr="00BC541F" w14:paraId="69CAF49F" w14:textId="77777777" w:rsidTr="00216427">
        <w:trPr>
          <w:trHeight w:val="252"/>
        </w:trPr>
        <w:tc>
          <w:tcPr>
            <w:tcW w:w="5760" w:type="dxa"/>
            <w:gridSpan w:val="2"/>
            <w:tcBorders>
              <w:top w:val="nil"/>
              <w:left w:val="nil"/>
              <w:bottom w:val="nil"/>
              <w:right w:val="nil"/>
            </w:tcBorders>
            <w:vAlign w:val="bottom"/>
            <w:hideMark/>
          </w:tcPr>
          <w:p w14:paraId="657F902D" w14:textId="77777777" w:rsidR="00BC541F" w:rsidRPr="00216427" w:rsidRDefault="00BC541F" w:rsidP="00BC541F">
            <w:pPr>
              <w:spacing w:after="0"/>
              <w:rPr>
                <w:rFonts w:eastAsia="Times New Roman" w:cs="Times New Roman"/>
                <w:color w:val="000000"/>
                <w:sz w:val="20"/>
                <w:szCs w:val="20"/>
              </w:rPr>
            </w:pPr>
            <w:r w:rsidRPr="00216427">
              <w:rPr>
                <w:rFonts w:eastAsia="Times New Roman" w:cs="Times New Roman"/>
                <w:color w:val="000000"/>
                <w:sz w:val="20"/>
                <w:szCs w:val="20"/>
              </w:rPr>
              <w:t>Table 3. Samples Notably Enriched in the Most Elements</w:t>
            </w:r>
          </w:p>
        </w:tc>
      </w:tr>
      <w:tr w:rsidR="00BC541F" w:rsidRPr="00BC541F" w14:paraId="2F954633" w14:textId="77777777" w:rsidTr="00BC541F">
        <w:trPr>
          <w:trHeight w:val="324"/>
        </w:trPr>
        <w:tc>
          <w:tcPr>
            <w:tcW w:w="1980" w:type="dxa"/>
            <w:tcBorders>
              <w:top w:val="single" w:sz="4" w:space="0" w:color="auto"/>
              <w:left w:val="nil"/>
              <w:bottom w:val="double" w:sz="6" w:space="0" w:color="auto"/>
              <w:right w:val="nil"/>
            </w:tcBorders>
            <w:vAlign w:val="bottom"/>
            <w:hideMark/>
          </w:tcPr>
          <w:p w14:paraId="2A1775A5" w14:textId="77777777" w:rsidR="00BC541F" w:rsidRPr="00BC541F" w:rsidRDefault="00BC541F" w:rsidP="00AA1C9B">
            <w:pPr>
              <w:spacing w:after="0"/>
              <w:ind w:firstLine="0"/>
              <w:rPr>
                <w:rFonts w:eastAsia="Times New Roman" w:cs="Times New Roman"/>
                <w:b/>
                <w:bCs/>
                <w:color w:val="000000"/>
                <w:sz w:val="20"/>
                <w:szCs w:val="20"/>
              </w:rPr>
            </w:pPr>
            <w:r w:rsidRPr="00BC541F">
              <w:rPr>
                <w:rFonts w:eastAsia="Times New Roman" w:cs="Times New Roman"/>
                <w:b/>
                <w:bCs/>
                <w:color w:val="000000"/>
                <w:sz w:val="20"/>
                <w:szCs w:val="20"/>
              </w:rPr>
              <w:t>Sample Number</w:t>
            </w:r>
          </w:p>
        </w:tc>
        <w:tc>
          <w:tcPr>
            <w:tcW w:w="3780" w:type="dxa"/>
            <w:tcBorders>
              <w:top w:val="single" w:sz="4" w:space="0" w:color="auto"/>
              <w:left w:val="nil"/>
              <w:bottom w:val="double" w:sz="6" w:space="0" w:color="auto"/>
              <w:right w:val="nil"/>
            </w:tcBorders>
            <w:vAlign w:val="bottom"/>
            <w:hideMark/>
          </w:tcPr>
          <w:p w14:paraId="6108F469" w14:textId="7058F064" w:rsidR="00BC541F" w:rsidRPr="00BC541F" w:rsidRDefault="00BC541F" w:rsidP="00BC541F">
            <w:pPr>
              <w:spacing w:after="0"/>
              <w:jc w:val="center"/>
              <w:rPr>
                <w:rFonts w:eastAsia="Times New Roman" w:cs="Times New Roman"/>
                <w:b/>
                <w:bCs/>
                <w:color w:val="000000"/>
                <w:sz w:val="20"/>
                <w:szCs w:val="20"/>
              </w:rPr>
            </w:pPr>
            <w:r w:rsidRPr="00BC541F">
              <w:rPr>
                <w:rFonts w:eastAsia="Times New Roman" w:cs="Times New Roman"/>
                <w:b/>
                <w:bCs/>
                <w:color w:val="000000"/>
                <w:sz w:val="20"/>
                <w:szCs w:val="20"/>
              </w:rPr>
              <w:t>Enriched Elements</w:t>
            </w:r>
          </w:p>
        </w:tc>
      </w:tr>
      <w:tr w:rsidR="00BC541F" w:rsidRPr="00BC541F" w14:paraId="0DAF4E94" w14:textId="77777777" w:rsidTr="00BC541F">
        <w:trPr>
          <w:trHeight w:val="324"/>
        </w:trPr>
        <w:tc>
          <w:tcPr>
            <w:tcW w:w="1980" w:type="dxa"/>
            <w:tcBorders>
              <w:top w:val="nil"/>
              <w:left w:val="nil"/>
              <w:bottom w:val="nil"/>
              <w:right w:val="nil"/>
            </w:tcBorders>
            <w:noWrap/>
            <w:vAlign w:val="center"/>
            <w:hideMark/>
          </w:tcPr>
          <w:p w14:paraId="0CB2D524" w14:textId="77777777" w:rsidR="00BC541F" w:rsidRPr="00BC541F" w:rsidRDefault="00BC541F" w:rsidP="00AA1C9B">
            <w:pPr>
              <w:spacing w:after="0"/>
              <w:ind w:firstLine="0"/>
              <w:rPr>
                <w:rFonts w:eastAsia="Times New Roman" w:cs="Times New Roman"/>
                <w:color w:val="000000"/>
                <w:sz w:val="20"/>
                <w:szCs w:val="20"/>
              </w:rPr>
            </w:pPr>
            <w:r w:rsidRPr="00BC541F">
              <w:rPr>
                <w:rFonts w:eastAsia="Times New Roman" w:cs="Times New Roman"/>
                <w:color w:val="000000"/>
                <w:sz w:val="20"/>
                <w:szCs w:val="20"/>
              </w:rPr>
              <w:t>NCGS-TQ-C5</w:t>
            </w:r>
          </w:p>
        </w:tc>
        <w:tc>
          <w:tcPr>
            <w:tcW w:w="3780" w:type="dxa"/>
            <w:tcBorders>
              <w:top w:val="nil"/>
              <w:left w:val="nil"/>
              <w:bottom w:val="nil"/>
              <w:right w:val="nil"/>
            </w:tcBorders>
            <w:noWrap/>
            <w:vAlign w:val="bottom"/>
            <w:hideMark/>
          </w:tcPr>
          <w:p w14:paraId="43A78BE9" w14:textId="77777777" w:rsidR="00BC541F" w:rsidRPr="00BC541F" w:rsidRDefault="00BC541F" w:rsidP="00AA1C9B">
            <w:pPr>
              <w:spacing w:after="0"/>
              <w:ind w:firstLine="615"/>
              <w:jc w:val="center"/>
              <w:rPr>
                <w:rFonts w:eastAsia="Times New Roman" w:cs="Times New Roman"/>
                <w:color w:val="000000"/>
                <w:sz w:val="20"/>
                <w:szCs w:val="20"/>
              </w:rPr>
            </w:pPr>
            <w:r w:rsidRPr="00BC541F">
              <w:rPr>
                <w:rFonts w:eastAsia="Times New Roman" w:cs="Times New Roman"/>
                <w:color w:val="000000"/>
                <w:sz w:val="20"/>
                <w:szCs w:val="20"/>
              </w:rPr>
              <w:t>Mn, Bi, As, Sb, Te, V, Ga, Ag, Au</w:t>
            </w:r>
          </w:p>
        </w:tc>
      </w:tr>
      <w:tr w:rsidR="00BC541F" w:rsidRPr="00BC541F" w14:paraId="5EA4CB08" w14:textId="77777777" w:rsidTr="00BC541F">
        <w:trPr>
          <w:trHeight w:val="312"/>
        </w:trPr>
        <w:tc>
          <w:tcPr>
            <w:tcW w:w="1980" w:type="dxa"/>
            <w:tcBorders>
              <w:top w:val="nil"/>
              <w:left w:val="nil"/>
              <w:bottom w:val="nil"/>
              <w:right w:val="nil"/>
            </w:tcBorders>
            <w:noWrap/>
            <w:vAlign w:val="center"/>
            <w:hideMark/>
          </w:tcPr>
          <w:p w14:paraId="19662A95" w14:textId="77777777" w:rsidR="00BC541F" w:rsidRPr="00BC541F" w:rsidRDefault="00BC541F" w:rsidP="00AA1C9B">
            <w:pPr>
              <w:spacing w:after="0"/>
              <w:ind w:firstLine="0"/>
              <w:rPr>
                <w:rFonts w:eastAsia="Times New Roman" w:cs="Times New Roman"/>
                <w:color w:val="000000"/>
                <w:sz w:val="20"/>
                <w:szCs w:val="20"/>
              </w:rPr>
            </w:pPr>
            <w:r w:rsidRPr="00BC541F">
              <w:rPr>
                <w:rFonts w:eastAsia="Times New Roman" w:cs="Times New Roman"/>
                <w:color w:val="000000"/>
                <w:sz w:val="20"/>
                <w:szCs w:val="20"/>
              </w:rPr>
              <w:t>NCGS-TQ-G2-0-4</w:t>
            </w:r>
          </w:p>
        </w:tc>
        <w:tc>
          <w:tcPr>
            <w:tcW w:w="3780" w:type="dxa"/>
            <w:tcBorders>
              <w:top w:val="nil"/>
              <w:left w:val="nil"/>
              <w:bottom w:val="nil"/>
              <w:right w:val="nil"/>
            </w:tcBorders>
            <w:noWrap/>
            <w:vAlign w:val="bottom"/>
            <w:hideMark/>
          </w:tcPr>
          <w:p w14:paraId="7F7C4D0C" w14:textId="77777777" w:rsidR="00BC541F" w:rsidRPr="00BC541F" w:rsidRDefault="00BC541F" w:rsidP="00AA1C9B">
            <w:pPr>
              <w:spacing w:after="0"/>
              <w:ind w:firstLine="615"/>
              <w:jc w:val="center"/>
              <w:rPr>
                <w:rFonts w:eastAsia="Times New Roman" w:cs="Times New Roman"/>
                <w:color w:val="000000"/>
                <w:sz w:val="20"/>
                <w:szCs w:val="20"/>
              </w:rPr>
            </w:pPr>
            <w:r w:rsidRPr="00BC541F">
              <w:rPr>
                <w:rFonts w:eastAsia="Times New Roman" w:cs="Times New Roman"/>
                <w:color w:val="000000"/>
                <w:sz w:val="20"/>
                <w:szCs w:val="20"/>
              </w:rPr>
              <w:t>W, F, Bi, As, Te, V, Ga</w:t>
            </w:r>
          </w:p>
        </w:tc>
      </w:tr>
      <w:tr w:rsidR="00BC541F" w:rsidRPr="00BC541F" w14:paraId="7030765D" w14:textId="77777777" w:rsidTr="00BC541F">
        <w:trPr>
          <w:trHeight w:val="312"/>
        </w:trPr>
        <w:tc>
          <w:tcPr>
            <w:tcW w:w="1980" w:type="dxa"/>
            <w:tcBorders>
              <w:top w:val="nil"/>
              <w:left w:val="nil"/>
              <w:bottom w:val="nil"/>
              <w:right w:val="nil"/>
            </w:tcBorders>
            <w:noWrap/>
            <w:vAlign w:val="center"/>
            <w:hideMark/>
          </w:tcPr>
          <w:p w14:paraId="730DCD8A" w14:textId="77777777" w:rsidR="00BC541F" w:rsidRPr="00BC541F" w:rsidRDefault="00BC541F" w:rsidP="00AA1C9B">
            <w:pPr>
              <w:spacing w:after="0"/>
              <w:ind w:firstLine="0"/>
              <w:rPr>
                <w:rFonts w:eastAsia="Times New Roman" w:cs="Times New Roman"/>
                <w:color w:val="000000"/>
                <w:sz w:val="20"/>
                <w:szCs w:val="20"/>
              </w:rPr>
            </w:pPr>
            <w:r w:rsidRPr="00BC541F">
              <w:rPr>
                <w:rFonts w:eastAsia="Times New Roman" w:cs="Times New Roman"/>
                <w:color w:val="000000"/>
                <w:sz w:val="20"/>
                <w:szCs w:val="20"/>
              </w:rPr>
              <w:t>NCGS-TQ-G3-28-30</w:t>
            </w:r>
          </w:p>
        </w:tc>
        <w:tc>
          <w:tcPr>
            <w:tcW w:w="3780" w:type="dxa"/>
            <w:tcBorders>
              <w:top w:val="nil"/>
              <w:left w:val="nil"/>
              <w:bottom w:val="nil"/>
              <w:right w:val="nil"/>
            </w:tcBorders>
            <w:noWrap/>
            <w:vAlign w:val="bottom"/>
            <w:hideMark/>
          </w:tcPr>
          <w:p w14:paraId="73932CF4" w14:textId="77777777" w:rsidR="00BC541F" w:rsidRPr="00BC541F" w:rsidRDefault="00BC541F" w:rsidP="00AA1C9B">
            <w:pPr>
              <w:spacing w:after="0"/>
              <w:ind w:firstLine="615"/>
              <w:jc w:val="center"/>
              <w:rPr>
                <w:rFonts w:eastAsia="Times New Roman" w:cs="Times New Roman"/>
                <w:color w:val="000000"/>
                <w:sz w:val="20"/>
                <w:szCs w:val="20"/>
              </w:rPr>
            </w:pPr>
            <w:r w:rsidRPr="00BC541F">
              <w:rPr>
                <w:rFonts w:eastAsia="Times New Roman" w:cs="Times New Roman"/>
                <w:color w:val="000000"/>
                <w:sz w:val="20"/>
                <w:szCs w:val="20"/>
              </w:rPr>
              <w:t>W, F, Bi, Zn, Be, As, Sb, Te, V, Ga, Ag</w:t>
            </w:r>
          </w:p>
        </w:tc>
      </w:tr>
      <w:tr w:rsidR="00BC541F" w:rsidRPr="00BC541F" w14:paraId="3C0C08C0" w14:textId="77777777" w:rsidTr="00BC541F">
        <w:trPr>
          <w:trHeight w:val="312"/>
        </w:trPr>
        <w:tc>
          <w:tcPr>
            <w:tcW w:w="1980" w:type="dxa"/>
            <w:tcBorders>
              <w:top w:val="nil"/>
              <w:left w:val="nil"/>
              <w:bottom w:val="nil"/>
              <w:right w:val="nil"/>
            </w:tcBorders>
            <w:noWrap/>
            <w:vAlign w:val="center"/>
            <w:hideMark/>
          </w:tcPr>
          <w:p w14:paraId="0E39B304" w14:textId="77777777" w:rsidR="00BC541F" w:rsidRPr="00BC541F" w:rsidRDefault="00BC541F" w:rsidP="00AA1C9B">
            <w:pPr>
              <w:spacing w:after="0"/>
              <w:ind w:firstLine="0"/>
              <w:rPr>
                <w:rFonts w:eastAsia="Times New Roman" w:cs="Times New Roman"/>
                <w:color w:val="000000"/>
                <w:sz w:val="20"/>
                <w:szCs w:val="20"/>
              </w:rPr>
            </w:pPr>
            <w:r w:rsidRPr="00BC541F">
              <w:rPr>
                <w:rFonts w:eastAsia="Times New Roman" w:cs="Times New Roman"/>
                <w:color w:val="000000"/>
                <w:sz w:val="20"/>
                <w:szCs w:val="20"/>
              </w:rPr>
              <w:t>NCGS-TQ-D5-3-4.4</w:t>
            </w:r>
          </w:p>
        </w:tc>
        <w:tc>
          <w:tcPr>
            <w:tcW w:w="3780" w:type="dxa"/>
            <w:tcBorders>
              <w:top w:val="nil"/>
              <w:left w:val="nil"/>
              <w:bottom w:val="nil"/>
              <w:right w:val="nil"/>
            </w:tcBorders>
            <w:noWrap/>
            <w:vAlign w:val="bottom"/>
            <w:hideMark/>
          </w:tcPr>
          <w:p w14:paraId="56956337" w14:textId="77777777" w:rsidR="00BC541F" w:rsidRPr="00BC541F" w:rsidRDefault="00BC541F" w:rsidP="00AA1C9B">
            <w:pPr>
              <w:spacing w:after="0"/>
              <w:ind w:firstLine="615"/>
              <w:jc w:val="center"/>
              <w:rPr>
                <w:rFonts w:eastAsia="Times New Roman" w:cs="Times New Roman"/>
                <w:color w:val="000000"/>
                <w:sz w:val="20"/>
                <w:szCs w:val="20"/>
              </w:rPr>
            </w:pPr>
            <w:r w:rsidRPr="00BC541F">
              <w:rPr>
                <w:rFonts w:eastAsia="Times New Roman" w:cs="Times New Roman"/>
                <w:color w:val="000000"/>
                <w:sz w:val="20"/>
                <w:szCs w:val="20"/>
              </w:rPr>
              <w:t>W, Mn, As, Sb, Te, Au</w:t>
            </w:r>
          </w:p>
        </w:tc>
      </w:tr>
      <w:tr w:rsidR="00BC541F" w:rsidRPr="00BC541F" w14:paraId="71EE3546" w14:textId="77777777" w:rsidTr="00BC541F">
        <w:trPr>
          <w:trHeight w:val="312"/>
        </w:trPr>
        <w:tc>
          <w:tcPr>
            <w:tcW w:w="1980" w:type="dxa"/>
            <w:tcBorders>
              <w:top w:val="nil"/>
              <w:left w:val="nil"/>
              <w:bottom w:val="single" w:sz="4" w:space="0" w:color="auto"/>
              <w:right w:val="nil"/>
            </w:tcBorders>
            <w:noWrap/>
            <w:vAlign w:val="center"/>
            <w:hideMark/>
          </w:tcPr>
          <w:p w14:paraId="34B88A70" w14:textId="77777777" w:rsidR="00BC541F" w:rsidRPr="00BC541F" w:rsidRDefault="00BC541F" w:rsidP="00AA1C9B">
            <w:pPr>
              <w:spacing w:after="0"/>
              <w:ind w:firstLine="0"/>
              <w:rPr>
                <w:rFonts w:eastAsia="Times New Roman" w:cs="Times New Roman"/>
                <w:color w:val="000000"/>
                <w:sz w:val="20"/>
                <w:szCs w:val="20"/>
              </w:rPr>
            </w:pPr>
            <w:r w:rsidRPr="00BC541F">
              <w:rPr>
                <w:rFonts w:eastAsia="Times New Roman" w:cs="Times New Roman"/>
                <w:color w:val="000000"/>
                <w:sz w:val="20"/>
                <w:szCs w:val="20"/>
              </w:rPr>
              <w:t>NCGS-TQ-D6-3-4</w:t>
            </w:r>
          </w:p>
        </w:tc>
        <w:tc>
          <w:tcPr>
            <w:tcW w:w="3780" w:type="dxa"/>
            <w:tcBorders>
              <w:top w:val="nil"/>
              <w:left w:val="nil"/>
              <w:bottom w:val="single" w:sz="4" w:space="0" w:color="auto"/>
              <w:right w:val="nil"/>
            </w:tcBorders>
            <w:noWrap/>
            <w:vAlign w:val="bottom"/>
            <w:hideMark/>
          </w:tcPr>
          <w:p w14:paraId="26A3B89D" w14:textId="77777777" w:rsidR="00BC541F" w:rsidRPr="00BC541F" w:rsidRDefault="00BC541F" w:rsidP="00AA1C9B">
            <w:pPr>
              <w:spacing w:after="0"/>
              <w:ind w:firstLine="615"/>
              <w:jc w:val="center"/>
              <w:rPr>
                <w:rFonts w:eastAsia="Times New Roman" w:cs="Times New Roman"/>
                <w:color w:val="000000"/>
                <w:sz w:val="20"/>
                <w:szCs w:val="20"/>
              </w:rPr>
            </w:pPr>
            <w:r w:rsidRPr="00BC541F">
              <w:rPr>
                <w:rFonts w:eastAsia="Times New Roman" w:cs="Times New Roman"/>
                <w:color w:val="000000"/>
                <w:sz w:val="20"/>
                <w:szCs w:val="20"/>
              </w:rPr>
              <w:t>W, Bi, As, Sb, Te, Ag</w:t>
            </w:r>
          </w:p>
        </w:tc>
      </w:tr>
    </w:tbl>
    <w:p w14:paraId="57B91D93" w14:textId="77777777" w:rsidR="003E28D9" w:rsidRDefault="003E28D9" w:rsidP="002C492A"/>
    <w:p w14:paraId="4B52DBF9" w14:textId="5C843A30" w:rsidR="00A970D2" w:rsidRPr="00FA4EF4" w:rsidRDefault="00713778" w:rsidP="002C492A">
      <w:pPr>
        <w:rPr>
          <w:color w:val="000000"/>
        </w:rPr>
      </w:pPr>
      <w:r w:rsidRPr="00FA4EF4">
        <w:t>Sample NCGS-TQ-C5</w:t>
      </w:r>
      <w:r w:rsidR="0088290A" w:rsidRPr="00FA4EF4">
        <w:t xml:space="preserve"> </w:t>
      </w:r>
      <w:r w:rsidR="00847E1E" w:rsidRPr="00FA4EF4">
        <w:t xml:space="preserve">is </w:t>
      </w:r>
      <w:r w:rsidR="00757F81" w:rsidRPr="00FA4EF4">
        <w:t>elevated</w:t>
      </w:r>
      <w:r w:rsidRPr="00FA4EF4">
        <w:t xml:space="preserve"> </w:t>
      </w:r>
      <w:r w:rsidR="005D52D4" w:rsidRPr="00FA4EF4">
        <w:t>in</w:t>
      </w:r>
      <w:r w:rsidRPr="00FA4EF4">
        <w:t xml:space="preserve"> Mn, Bi, As, Sb, Te, V, Ga, Ag, and Au</w:t>
      </w:r>
      <w:r w:rsidR="005D52D4" w:rsidRPr="00FA4EF4">
        <w:t xml:space="preserve"> content</w:t>
      </w:r>
      <w:r w:rsidR="00336CB9" w:rsidRPr="00FA4EF4">
        <w:t xml:space="preserve"> when compared to other composite sample</w:t>
      </w:r>
      <w:r w:rsidR="00665740" w:rsidRPr="00FA4EF4">
        <w:t>s, while</w:t>
      </w:r>
      <w:r w:rsidR="00336CB9" w:rsidRPr="00FA4EF4">
        <w:t xml:space="preserve"> </w:t>
      </w:r>
      <w:r w:rsidR="00757F81" w:rsidRPr="00FA4EF4">
        <w:t xml:space="preserve">NCGS-TQ-D5-3-4.4 (W, Mn, As, Sb, Te, and Au) and NCGS-TQ-D6-3-4 (W, Bi, As, Sb, Te, and Ag) are enriched in more critical minerals and non-critical commodities than other core samples. Most of the critical minerals </w:t>
      </w:r>
      <w:r w:rsidR="006D63C6" w:rsidRPr="00FA4EF4">
        <w:t xml:space="preserve">enriched </w:t>
      </w:r>
      <w:r w:rsidR="00757F81" w:rsidRPr="00FA4EF4">
        <w:t xml:space="preserve">in these </w:t>
      </w:r>
      <w:r w:rsidR="007F5F27" w:rsidRPr="00FA4EF4">
        <w:t xml:space="preserve">three </w:t>
      </w:r>
      <w:r w:rsidR="00757F81" w:rsidRPr="00FA4EF4">
        <w:t xml:space="preserve">samples were also </w:t>
      </w:r>
      <w:r w:rsidR="00F238FA" w:rsidRPr="00FA4EF4">
        <w:t>elevated</w:t>
      </w:r>
      <w:r w:rsidR="00BB7138" w:rsidRPr="00FA4EF4">
        <w:t xml:space="preserve"> </w:t>
      </w:r>
      <w:r w:rsidR="00757F81" w:rsidRPr="00FA4EF4">
        <w:t xml:space="preserve">in </w:t>
      </w:r>
      <w:r w:rsidR="008935A2" w:rsidRPr="00FA4EF4">
        <w:t xml:space="preserve">the </w:t>
      </w:r>
      <w:r w:rsidR="00A8704D" w:rsidRPr="00FA4EF4">
        <w:t xml:space="preserve">clay-to-silt-dominated </w:t>
      </w:r>
      <w:r w:rsidR="00665740" w:rsidRPr="00FA4EF4">
        <w:t>NCGS-TQ-G3-28-30 and/or NCGS-TQ-G2-0-4</w:t>
      </w:r>
      <w:r w:rsidR="00757F81" w:rsidRPr="00FA4EF4">
        <w:t xml:space="preserve">. However, </w:t>
      </w:r>
      <w:r w:rsidR="00306FB5" w:rsidRPr="00FA4EF4">
        <w:t>NCGS-TQ-C5</w:t>
      </w:r>
      <w:r w:rsidR="009B68C2" w:rsidRPr="00FA4EF4">
        <w:t xml:space="preserve"> </w:t>
      </w:r>
      <w:r w:rsidR="00C91836" w:rsidRPr="00FA4EF4">
        <w:t xml:space="preserve">is composed </w:t>
      </w:r>
      <w:r w:rsidR="005D52D4" w:rsidRPr="00FA4EF4">
        <w:t xml:space="preserve">primarily </w:t>
      </w:r>
      <w:r w:rsidR="00C91836" w:rsidRPr="00FA4EF4">
        <w:t xml:space="preserve">of very fine to very coarse sand </w:t>
      </w:r>
      <w:r w:rsidR="00306FB5" w:rsidRPr="00FA4EF4">
        <w:t xml:space="preserve">with </w:t>
      </w:r>
      <w:r w:rsidR="00132025" w:rsidRPr="00FA4EF4">
        <w:t xml:space="preserve">&lt;5% </w:t>
      </w:r>
      <w:r w:rsidR="0072094D" w:rsidRPr="00FA4EF4">
        <w:t xml:space="preserve">mud </w:t>
      </w:r>
      <w:r w:rsidR="00B71428" w:rsidRPr="00FA4EF4">
        <w:t>(Appendix 3)</w:t>
      </w:r>
      <w:r w:rsidR="005D52D4" w:rsidRPr="00FA4EF4">
        <w:t>, making the sample’s grainsize unremarkable</w:t>
      </w:r>
      <w:r w:rsidR="00E0712E" w:rsidRPr="00FA4EF4">
        <w:t xml:space="preserve"> in this dataset</w:t>
      </w:r>
      <w:r w:rsidR="00855EE1" w:rsidRPr="00FA4EF4">
        <w:t>.</w:t>
      </w:r>
      <w:r w:rsidR="006D3DA0" w:rsidRPr="00FA4EF4">
        <w:t xml:space="preserve"> Visual analysis </w:t>
      </w:r>
      <w:r w:rsidR="0010548D" w:rsidRPr="00FA4EF4">
        <w:t>indicates</w:t>
      </w:r>
      <w:r w:rsidR="006D3DA0" w:rsidRPr="00FA4EF4">
        <w:t xml:space="preserve"> NCGS-TQ-D5-3-4.4 and NCGS-TQ-D6-3-4 </w:t>
      </w:r>
      <w:r w:rsidR="0010548D" w:rsidRPr="00FA4EF4">
        <w:t xml:space="preserve">are also sand-dominated, </w:t>
      </w:r>
      <w:r w:rsidR="006D3DA0" w:rsidRPr="00FA4EF4">
        <w:t>skew</w:t>
      </w:r>
      <w:r w:rsidR="0010548D" w:rsidRPr="00FA4EF4">
        <w:t>ing</w:t>
      </w:r>
      <w:r w:rsidR="006D3DA0" w:rsidRPr="00FA4EF4">
        <w:t xml:space="preserve"> toward very fine to fine sand grainsizes with an estimated 10 to 15% </w:t>
      </w:r>
      <w:r w:rsidR="00AC3F9B" w:rsidRPr="00FA4EF4">
        <w:t>mud</w:t>
      </w:r>
      <w:r w:rsidR="00A83C68" w:rsidRPr="00FA4EF4">
        <w:t xml:space="preserve"> (Appendix 3)</w:t>
      </w:r>
      <w:r w:rsidR="006D3DA0" w:rsidRPr="00FA4EF4">
        <w:t xml:space="preserve">. </w:t>
      </w:r>
      <w:r w:rsidR="003F71FD" w:rsidRPr="00FA4EF4">
        <w:t>Th</w:t>
      </w:r>
      <w:r w:rsidR="008D2FB5" w:rsidRPr="00FA4EF4">
        <w:t xml:space="preserve">e </w:t>
      </w:r>
      <w:r w:rsidR="00410326" w:rsidRPr="00FA4EF4">
        <w:t>mud</w:t>
      </w:r>
      <w:r w:rsidR="00285FDD" w:rsidRPr="00FA4EF4">
        <w:t xml:space="preserve"> content</w:t>
      </w:r>
      <w:r w:rsidR="006460ED" w:rsidRPr="00FA4EF4">
        <w:t xml:space="preserve"> of</w:t>
      </w:r>
      <w:r w:rsidR="00285FDD" w:rsidRPr="00FA4EF4">
        <w:t xml:space="preserve"> </w:t>
      </w:r>
      <w:r w:rsidR="00142533" w:rsidRPr="00FA4EF4">
        <w:t>NCGS-TQ-C5, NCGS-TQ-D5-3-4.4,</w:t>
      </w:r>
      <w:r w:rsidR="007F5F27" w:rsidRPr="00FA4EF4">
        <w:t xml:space="preserve"> and</w:t>
      </w:r>
      <w:r w:rsidR="00142533" w:rsidRPr="00FA4EF4">
        <w:t xml:space="preserve"> NCGS-TQ-D6-3-4 fall within the range of sa</w:t>
      </w:r>
      <w:r w:rsidR="006B6E9F" w:rsidRPr="00FA4EF4">
        <w:t xml:space="preserve">mples that are not notably </w:t>
      </w:r>
      <w:r w:rsidR="00105C82" w:rsidRPr="00FA4EF4">
        <w:t>critical minerals-</w:t>
      </w:r>
      <w:r w:rsidR="006B6E9F" w:rsidRPr="00FA4EF4">
        <w:t xml:space="preserve">enriched, suggesting </w:t>
      </w:r>
      <w:r w:rsidR="00C85921" w:rsidRPr="00FA4EF4">
        <w:t>clay and silt</w:t>
      </w:r>
      <w:r w:rsidR="006B6E9F" w:rsidRPr="00FA4EF4">
        <w:t xml:space="preserve"> content </w:t>
      </w:r>
      <w:r w:rsidR="00285FDD" w:rsidRPr="00FA4EF4">
        <w:rPr>
          <w:color w:val="000000"/>
        </w:rPr>
        <w:t>may not</w:t>
      </w:r>
      <w:r w:rsidR="003F7152" w:rsidRPr="00FA4EF4">
        <w:rPr>
          <w:color w:val="000000"/>
        </w:rPr>
        <w:t xml:space="preserve"> </w:t>
      </w:r>
      <w:r w:rsidR="003D7262" w:rsidRPr="00FA4EF4">
        <w:rPr>
          <w:color w:val="000000"/>
        </w:rPr>
        <w:t xml:space="preserve">cause </w:t>
      </w:r>
      <w:r w:rsidR="0039262D" w:rsidRPr="00FA4EF4">
        <w:rPr>
          <w:color w:val="000000"/>
        </w:rPr>
        <w:t>the</w:t>
      </w:r>
      <w:r w:rsidR="001E5DF6" w:rsidRPr="00FA4EF4">
        <w:rPr>
          <w:color w:val="000000"/>
        </w:rPr>
        <w:t xml:space="preserve"> elevated </w:t>
      </w:r>
      <w:r w:rsidR="00917666" w:rsidRPr="00FA4EF4">
        <w:rPr>
          <w:color w:val="000000"/>
        </w:rPr>
        <w:t>concentrations</w:t>
      </w:r>
      <w:r w:rsidR="001E5DF6" w:rsidRPr="00FA4EF4">
        <w:rPr>
          <w:color w:val="000000"/>
        </w:rPr>
        <w:t xml:space="preserve"> of </w:t>
      </w:r>
      <w:r w:rsidR="0039262D" w:rsidRPr="00FA4EF4">
        <w:rPr>
          <w:color w:val="000000"/>
        </w:rPr>
        <w:t>multiple</w:t>
      </w:r>
      <w:r w:rsidR="001E5DF6" w:rsidRPr="00FA4EF4">
        <w:rPr>
          <w:color w:val="000000"/>
        </w:rPr>
        <w:t xml:space="preserve"> critical minerals</w:t>
      </w:r>
      <w:r w:rsidR="0039262D" w:rsidRPr="00FA4EF4">
        <w:rPr>
          <w:color w:val="000000"/>
        </w:rPr>
        <w:t xml:space="preserve"> in</w:t>
      </w:r>
      <w:r w:rsidR="00F11DBE" w:rsidRPr="00FA4EF4">
        <w:rPr>
          <w:color w:val="000000"/>
        </w:rPr>
        <w:t xml:space="preserve"> </w:t>
      </w:r>
      <w:r w:rsidR="007C0AC9" w:rsidRPr="00FA4EF4">
        <w:rPr>
          <w:color w:val="000000"/>
        </w:rPr>
        <w:t xml:space="preserve">these </w:t>
      </w:r>
      <w:r w:rsidR="007F5F27" w:rsidRPr="00FA4EF4">
        <w:rPr>
          <w:color w:val="000000"/>
        </w:rPr>
        <w:t>three</w:t>
      </w:r>
      <w:r w:rsidR="007C0AC9" w:rsidRPr="00FA4EF4">
        <w:rPr>
          <w:color w:val="000000"/>
        </w:rPr>
        <w:t xml:space="preserve"> samples</w:t>
      </w:r>
      <w:r w:rsidR="003F7152" w:rsidRPr="00FA4EF4">
        <w:rPr>
          <w:color w:val="000000"/>
        </w:rPr>
        <w:t>.</w:t>
      </w:r>
      <w:r w:rsidR="002D1F8B" w:rsidRPr="00FA4EF4">
        <w:rPr>
          <w:color w:val="000000"/>
        </w:rPr>
        <w:t xml:space="preserve"> </w:t>
      </w:r>
      <w:r w:rsidR="003E49A1" w:rsidRPr="00FA4EF4">
        <w:rPr>
          <w:color w:val="000000"/>
        </w:rPr>
        <w:t xml:space="preserve">However, </w:t>
      </w:r>
      <w:r w:rsidR="00855EE1" w:rsidRPr="00FA4EF4">
        <w:rPr>
          <w:color w:val="000000"/>
        </w:rPr>
        <w:t>NCGS-TQ-C5</w:t>
      </w:r>
      <w:r w:rsidR="00336CB9" w:rsidRPr="00FA4EF4">
        <w:rPr>
          <w:color w:val="000000"/>
        </w:rPr>
        <w:t xml:space="preserve"> </w:t>
      </w:r>
      <w:r w:rsidR="009F2C2D" w:rsidRPr="00FA4EF4">
        <w:rPr>
          <w:color w:val="000000"/>
        </w:rPr>
        <w:t>represents</w:t>
      </w:r>
      <w:r w:rsidR="00D21E93" w:rsidRPr="00FA4EF4">
        <w:rPr>
          <w:color w:val="000000"/>
        </w:rPr>
        <w:t xml:space="preserve"> the portion of tailings </w:t>
      </w:r>
      <w:r w:rsidR="0090064C" w:rsidRPr="00FA4EF4">
        <w:rPr>
          <w:color w:val="000000"/>
        </w:rPr>
        <w:t>pond</w:t>
      </w:r>
      <w:r w:rsidR="001845C9" w:rsidRPr="00FA4EF4">
        <w:rPr>
          <w:color w:val="000000"/>
        </w:rPr>
        <w:t xml:space="preserve"> 2</w:t>
      </w:r>
      <w:r w:rsidR="00D21E93" w:rsidRPr="00FA4EF4">
        <w:rPr>
          <w:color w:val="000000"/>
        </w:rPr>
        <w:t xml:space="preserve"> directly below the </w:t>
      </w:r>
      <w:r w:rsidR="001D13D5" w:rsidRPr="00FA4EF4">
        <w:rPr>
          <w:color w:val="000000"/>
        </w:rPr>
        <w:t>gravity separator</w:t>
      </w:r>
      <w:r w:rsidR="00D21E93" w:rsidRPr="00FA4EF4">
        <w:rPr>
          <w:color w:val="000000"/>
        </w:rPr>
        <w:t xml:space="preserve"> location</w:t>
      </w:r>
      <w:r w:rsidR="006D3DA0" w:rsidRPr="00FA4EF4">
        <w:rPr>
          <w:color w:val="000000"/>
        </w:rPr>
        <w:t xml:space="preserve">, while cores 5 and 6 are the closest cores to the </w:t>
      </w:r>
      <w:r w:rsidR="001D13D5" w:rsidRPr="00FA4EF4">
        <w:rPr>
          <w:color w:val="000000"/>
        </w:rPr>
        <w:t>gravity separator</w:t>
      </w:r>
      <w:r w:rsidR="00EC72DF" w:rsidRPr="00FA4EF4">
        <w:rPr>
          <w:color w:val="000000"/>
        </w:rPr>
        <w:t xml:space="preserve"> (Figure 2)</w:t>
      </w:r>
      <w:r w:rsidR="00D21E93" w:rsidRPr="00FA4EF4">
        <w:rPr>
          <w:color w:val="000000"/>
        </w:rPr>
        <w:t>.</w:t>
      </w:r>
      <w:r w:rsidR="00A53890" w:rsidRPr="00FA4EF4">
        <w:rPr>
          <w:color w:val="000000"/>
        </w:rPr>
        <w:t xml:space="preserve"> </w:t>
      </w:r>
      <w:r w:rsidR="00FC1453" w:rsidRPr="00FA4EF4">
        <w:rPr>
          <w:color w:val="000000"/>
        </w:rPr>
        <w:t xml:space="preserve">These data could suggest proximity to the </w:t>
      </w:r>
      <w:r w:rsidR="001D13D5" w:rsidRPr="00FA4EF4">
        <w:rPr>
          <w:color w:val="000000"/>
        </w:rPr>
        <w:t>gravity separator</w:t>
      </w:r>
      <w:r w:rsidR="00FC1453" w:rsidRPr="00FA4EF4">
        <w:rPr>
          <w:color w:val="000000"/>
        </w:rPr>
        <w:t xml:space="preserve"> </w:t>
      </w:r>
      <w:r w:rsidR="00287108" w:rsidRPr="00FA4EF4">
        <w:rPr>
          <w:color w:val="000000"/>
        </w:rPr>
        <w:t>is an important control on critical mineral content in some samples.</w:t>
      </w:r>
      <w:r w:rsidR="009F1901" w:rsidRPr="00FA4EF4">
        <w:rPr>
          <w:color w:val="000000"/>
        </w:rPr>
        <w:t xml:space="preserve"> </w:t>
      </w:r>
    </w:p>
    <w:p w14:paraId="5F4DCD08" w14:textId="46961DCA" w:rsidR="00C830B3" w:rsidRPr="00FA4EF4" w:rsidRDefault="001E244E" w:rsidP="002C492A">
      <w:pPr>
        <w:rPr>
          <w:color w:val="000000"/>
        </w:rPr>
      </w:pPr>
      <w:r w:rsidRPr="00FA4EF4">
        <w:rPr>
          <w:color w:val="000000"/>
        </w:rPr>
        <w:t xml:space="preserve">Many of the critical and non-critical commodities concentrated </w:t>
      </w:r>
      <w:r w:rsidR="001A6D94" w:rsidRPr="00FA4EF4">
        <w:rPr>
          <w:color w:val="000000"/>
        </w:rPr>
        <w:t xml:space="preserve">in </w:t>
      </w:r>
      <w:r w:rsidR="00862E98" w:rsidRPr="00FA4EF4">
        <w:rPr>
          <w:color w:val="000000"/>
        </w:rPr>
        <w:t xml:space="preserve">certain </w:t>
      </w:r>
      <w:r w:rsidR="001A6D94" w:rsidRPr="00FA4EF4">
        <w:rPr>
          <w:color w:val="000000"/>
        </w:rPr>
        <w:t xml:space="preserve">samples </w:t>
      </w:r>
      <w:r w:rsidRPr="00FA4EF4">
        <w:rPr>
          <w:color w:val="000000"/>
        </w:rPr>
        <w:t>near</w:t>
      </w:r>
      <w:r w:rsidR="00A87B65" w:rsidRPr="00FA4EF4">
        <w:rPr>
          <w:color w:val="000000"/>
        </w:rPr>
        <w:t xml:space="preserve"> </w:t>
      </w:r>
      <w:r w:rsidRPr="00FA4EF4">
        <w:rPr>
          <w:color w:val="000000"/>
        </w:rPr>
        <w:t xml:space="preserve">the </w:t>
      </w:r>
      <w:r w:rsidR="001D13D5" w:rsidRPr="00FA4EF4">
        <w:rPr>
          <w:color w:val="000000"/>
        </w:rPr>
        <w:t>gravity separator</w:t>
      </w:r>
      <w:r w:rsidRPr="00FA4EF4">
        <w:rPr>
          <w:color w:val="000000"/>
        </w:rPr>
        <w:t xml:space="preserve"> are found in minerals with a density ≥5g</w:t>
      </w:r>
      <w:r w:rsidR="001A6D94" w:rsidRPr="00FA4EF4">
        <w:rPr>
          <w:color w:val="000000"/>
        </w:rPr>
        <w:t>/cm</w:t>
      </w:r>
      <w:r w:rsidR="001A6D94" w:rsidRPr="00FA4EF4">
        <w:rPr>
          <w:color w:val="000000"/>
          <w:vertAlign w:val="superscript"/>
        </w:rPr>
        <w:t>3</w:t>
      </w:r>
      <w:r w:rsidR="008D15C9">
        <w:rPr>
          <w:color w:val="000000"/>
        </w:rPr>
        <w:t xml:space="preserve">, such as hubnerite (W), </w:t>
      </w:r>
      <w:r w:rsidR="00BA742E">
        <w:rPr>
          <w:color w:val="000000"/>
        </w:rPr>
        <w:t xml:space="preserve">pyrite (As), </w:t>
      </w:r>
      <w:r w:rsidR="001F2A82">
        <w:rPr>
          <w:color w:val="000000"/>
        </w:rPr>
        <w:t xml:space="preserve">tetrahedrite (Sb), </w:t>
      </w:r>
      <w:r w:rsidR="00FF15DA">
        <w:rPr>
          <w:color w:val="000000"/>
        </w:rPr>
        <w:t xml:space="preserve">altaite (Te), </w:t>
      </w:r>
      <w:r w:rsidR="00416C29">
        <w:rPr>
          <w:color w:val="000000"/>
        </w:rPr>
        <w:t>w</w:t>
      </w:r>
      <w:r w:rsidR="00AD1757" w:rsidRPr="00AD1757">
        <w:rPr>
          <w:color w:val="000000"/>
        </w:rPr>
        <w:t>ittichenite</w:t>
      </w:r>
      <w:r w:rsidR="00AD1757">
        <w:rPr>
          <w:color w:val="000000"/>
        </w:rPr>
        <w:t xml:space="preserve"> (</w:t>
      </w:r>
      <w:r w:rsidR="00893BFD" w:rsidRPr="00FA4EF4">
        <w:rPr>
          <w:color w:val="000000"/>
        </w:rPr>
        <w:t>Bi</w:t>
      </w:r>
      <w:r w:rsidR="00AD1757">
        <w:rPr>
          <w:color w:val="000000"/>
        </w:rPr>
        <w:t>)</w:t>
      </w:r>
      <w:r w:rsidR="00893BFD" w:rsidRPr="00FA4EF4">
        <w:rPr>
          <w:color w:val="000000"/>
        </w:rPr>
        <w:t>,</w:t>
      </w:r>
      <w:r w:rsidR="000B6F4D">
        <w:rPr>
          <w:color w:val="000000"/>
        </w:rPr>
        <w:t xml:space="preserve"> </w:t>
      </w:r>
      <w:r w:rsidR="00416C29">
        <w:rPr>
          <w:color w:val="000000"/>
        </w:rPr>
        <w:t>v</w:t>
      </w:r>
      <w:r w:rsidR="00416C29" w:rsidRPr="00416C29">
        <w:rPr>
          <w:color w:val="000000"/>
        </w:rPr>
        <w:t>olynskite</w:t>
      </w:r>
      <w:r w:rsidR="00416C29">
        <w:rPr>
          <w:color w:val="000000"/>
        </w:rPr>
        <w:t xml:space="preserve"> (Ag), and </w:t>
      </w:r>
      <w:r w:rsidR="00893BFD" w:rsidRPr="00FA4EF4">
        <w:rPr>
          <w:color w:val="000000"/>
        </w:rPr>
        <w:t>Au</w:t>
      </w:r>
      <w:r w:rsidR="001A6D94" w:rsidRPr="00FA4EF4">
        <w:rPr>
          <w:color w:val="000000"/>
        </w:rPr>
        <w:t xml:space="preserve">. The higher density could </w:t>
      </w:r>
      <w:r w:rsidR="00912E3F">
        <w:rPr>
          <w:color w:val="000000"/>
        </w:rPr>
        <w:t>concentrate</w:t>
      </w:r>
      <w:r w:rsidR="008B2BC8" w:rsidRPr="00FA4EF4">
        <w:rPr>
          <w:color w:val="000000"/>
        </w:rPr>
        <w:t xml:space="preserve"> </w:t>
      </w:r>
      <w:r w:rsidR="00C830B3" w:rsidRPr="00FA4EF4">
        <w:rPr>
          <w:color w:val="000000"/>
        </w:rPr>
        <w:t>these minerals closer to their point of entry</w:t>
      </w:r>
      <w:r w:rsidR="001B3CF4" w:rsidRPr="00FA4EF4">
        <w:rPr>
          <w:color w:val="000000"/>
        </w:rPr>
        <w:t xml:space="preserve">, </w:t>
      </w:r>
      <w:r w:rsidR="00E531E0" w:rsidRPr="00FA4EF4">
        <w:rPr>
          <w:color w:val="000000"/>
        </w:rPr>
        <w:t xml:space="preserve">contributing to lateral variations in </w:t>
      </w:r>
      <w:r w:rsidR="00B27435" w:rsidRPr="00FA4EF4">
        <w:rPr>
          <w:color w:val="000000"/>
        </w:rPr>
        <w:t>tailings impoundment critical mineral distribution. H</w:t>
      </w:r>
      <w:r w:rsidR="009025EC" w:rsidRPr="00FA4EF4">
        <w:rPr>
          <w:color w:val="000000"/>
        </w:rPr>
        <w:t xml:space="preserve">owever, any </w:t>
      </w:r>
      <w:r w:rsidR="00C830B3" w:rsidRPr="00FA4EF4">
        <w:rPr>
          <w:color w:val="000000"/>
        </w:rPr>
        <w:t xml:space="preserve">generalized relationship between mineral density and </w:t>
      </w:r>
      <w:r w:rsidR="001D13D5" w:rsidRPr="00FA4EF4">
        <w:rPr>
          <w:color w:val="000000"/>
        </w:rPr>
        <w:t>gravity separator</w:t>
      </w:r>
      <w:r w:rsidR="00C830B3" w:rsidRPr="00FA4EF4">
        <w:rPr>
          <w:color w:val="000000"/>
        </w:rPr>
        <w:t xml:space="preserve"> proximity may primarily apply to sand-rich samples</w:t>
      </w:r>
      <w:r w:rsidR="002147C5" w:rsidRPr="00FA4EF4">
        <w:rPr>
          <w:color w:val="000000"/>
        </w:rPr>
        <w:t>.</w:t>
      </w:r>
      <w:r w:rsidR="00C830B3" w:rsidRPr="00FA4EF4">
        <w:rPr>
          <w:color w:val="000000"/>
        </w:rPr>
        <w:t xml:space="preserve"> </w:t>
      </w:r>
      <w:r w:rsidR="00C830B3" w:rsidRPr="00FA4EF4">
        <w:rPr>
          <w:color w:val="000000"/>
        </w:rPr>
        <w:fldChar w:fldCharType="begin"/>
      </w:r>
      <w:r w:rsidR="00C830B3" w:rsidRPr="00FA4EF4">
        <w:rPr>
          <w:color w:val="000000"/>
        </w:rPr>
        <w:instrText xml:space="preserve"> ADDIN ZOTERO_ITEM CSL_CITATION {"citationID":"Kvkz1peW","properties":{"formattedCitation":"(Meyertons, 1975)","plainCitation":"(Meyertons, 1975)","dontUpdate":true,"noteIndex":0},"citationItems":[{"id":77,"uris":["http://zotero.org/users/17206691/items/B3WBRLXM"],"itemData":{"id":77,"type":"report","page":"1-11","title":"A Preliminary Estimate of Tungsten Content of Tungsten Queen Tailing for Ranchers Exploration &amp; Development Corporation","author":[{"family":"Meyertons","given":"Ralph"}],"issued":{"date-parts":[["1975"]]}}}],"schema":"https://github.com/citation-style-language/schema/raw/master/csl-citation.json"} </w:instrText>
      </w:r>
      <w:r w:rsidR="00C830B3" w:rsidRPr="00FA4EF4">
        <w:rPr>
          <w:color w:val="000000"/>
        </w:rPr>
        <w:fldChar w:fldCharType="separate"/>
      </w:r>
      <w:r w:rsidR="00C830B3" w:rsidRPr="00FA4EF4">
        <w:t>Meyertons (1975)</w:t>
      </w:r>
      <w:r w:rsidR="00C830B3" w:rsidRPr="00FA4EF4">
        <w:rPr>
          <w:color w:val="000000"/>
        </w:rPr>
        <w:fldChar w:fldCharType="end"/>
      </w:r>
      <w:r w:rsidR="00C830B3" w:rsidRPr="00FA4EF4">
        <w:rPr>
          <w:color w:val="000000"/>
        </w:rPr>
        <w:t xml:space="preserve"> noted high W in the slime-rich zone 4 of his report, which </w:t>
      </w:r>
      <w:r w:rsidR="007131D8" w:rsidRPr="00FA4EF4">
        <w:rPr>
          <w:color w:val="000000"/>
        </w:rPr>
        <w:t>i</w:t>
      </w:r>
      <w:r w:rsidR="00C830B3" w:rsidRPr="00FA4EF4">
        <w:rPr>
          <w:color w:val="000000"/>
        </w:rPr>
        <w:t xml:space="preserve">s located in the </w:t>
      </w:r>
      <w:r w:rsidR="00AE4489" w:rsidRPr="00FA4EF4">
        <w:rPr>
          <w:color w:val="000000"/>
        </w:rPr>
        <w:t>north</w:t>
      </w:r>
      <w:r w:rsidR="0050557C" w:rsidRPr="00FA4EF4">
        <w:rPr>
          <w:color w:val="000000"/>
        </w:rPr>
        <w:t>ea</w:t>
      </w:r>
      <w:r w:rsidR="00AE4489" w:rsidRPr="00FA4EF4">
        <w:rPr>
          <w:color w:val="000000"/>
        </w:rPr>
        <w:t>stern</w:t>
      </w:r>
      <w:r w:rsidR="002D1F69" w:rsidRPr="00FA4EF4">
        <w:rPr>
          <w:color w:val="000000"/>
        </w:rPr>
        <w:t xml:space="preserve"> portion of</w:t>
      </w:r>
      <w:r w:rsidR="00C830B3" w:rsidRPr="00FA4EF4">
        <w:rPr>
          <w:color w:val="000000"/>
        </w:rPr>
        <w:t xml:space="preserve"> tailings pond</w:t>
      </w:r>
      <w:r w:rsidR="002D1F69" w:rsidRPr="00FA4EF4">
        <w:rPr>
          <w:color w:val="000000"/>
        </w:rPr>
        <w:t xml:space="preserve"> 3</w:t>
      </w:r>
      <w:r w:rsidR="00C830B3" w:rsidRPr="00FA4EF4">
        <w:rPr>
          <w:color w:val="000000"/>
        </w:rPr>
        <w:t xml:space="preserve"> far from the </w:t>
      </w:r>
      <w:r w:rsidR="001D13D5" w:rsidRPr="00FA4EF4">
        <w:rPr>
          <w:color w:val="000000"/>
        </w:rPr>
        <w:t>gravity separator</w:t>
      </w:r>
      <w:r w:rsidR="00C830B3" w:rsidRPr="00FA4EF4">
        <w:rPr>
          <w:color w:val="000000"/>
        </w:rPr>
        <w:t>. It is possible the finer grainsize may partially compensate for the higher density allowing the particles to move further from their point of origin</w:t>
      </w:r>
      <w:r w:rsidR="00995262" w:rsidRPr="00FA4EF4">
        <w:rPr>
          <w:color w:val="000000"/>
        </w:rPr>
        <w:t>.</w:t>
      </w:r>
      <w:r w:rsidR="008A2F54" w:rsidRPr="00FA4EF4">
        <w:rPr>
          <w:color w:val="000000"/>
        </w:rPr>
        <w:t xml:space="preserve"> </w:t>
      </w:r>
      <w:r w:rsidR="00995262" w:rsidRPr="00FA4EF4">
        <w:rPr>
          <w:color w:val="000000"/>
        </w:rPr>
        <w:t xml:space="preserve"> </w:t>
      </w:r>
    </w:p>
    <w:p w14:paraId="6FEAB585" w14:textId="7C554CEF" w:rsidR="00DC5465" w:rsidRPr="00FA4EF4" w:rsidRDefault="00B27435" w:rsidP="002C492A">
      <w:pPr>
        <w:rPr>
          <w:color w:val="000000"/>
        </w:rPr>
      </w:pPr>
      <w:r w:rsidRPr="00FA4EF4">
        <w:rPr>
          <w:color w:val="000000"/>
        </w:rPr>
        <w:t xml:space="preserve">Vertical variability also exists in the </w:t>
      </w:r>
      <w:r w:rsidR="00B61D58">
        <w:rPr>
          <w:color w:val="000000"/>
        </w:rPr>
        <w:t>Tailings Pond 2</w:t>
      </w:r>
      <w:r w:rsidRPr="00FA4EF4">
        <w:rPr>
          <w:color w:val="000000"/>
        </w:rPr>
        <w:t>, as exhibited by the</w:t>
      </w:r>
      <w:r w:rsidR="00B652D9" w:rsidRPr="00FA4EF4">
        <w:rPr>
          <w:color w:val="000000"/>
        </w:rPr>
        <w:t xml:space="preserve"> differences in</w:t>
      </w:r>
      <w:r w:rsidRPr="00FA4EF4">
        <w:rPr>
          <w:color w:val="000000"/>
        </w:rPr>
        <w:t xml:space="preserve"> </w:t>
      </w:r>
      <w:r w:rsidR="00B652D9" w:rsidRPr="00FA4EF4">
        <w:rPr>
          <w:color w:val="000000"/>
        </w:rPr>
        <w:t xml:space="preserve">critical mineral and non-critical commodity content of </w:t>
      </w:r>
      <w:r w:rsidR="001538D9" w:rsidRPr="00FA4EF4">
        <w:rPr>
          <w:color w:val="000000"/>
        </w:rPr>
        <w:t xml:space="preserve">samples from </w:t>
      </w:r>
      <w:r w:rsidR="007426CC" w:rsidRPr="00FA4EF4">
        <w:rPr>
          <w:color w:val="000000"/>
        </w:rPr>
        <w:t>cores 5 and 6</w:t>
      </w:r>
      <w:r w:rsidR="00D04166" w:rsidRPr="00FA4EF4">
        <w:rPr>
          <w:color w:val="000000"/>
        </w:rPr>
        <w:t>.</w:t>
      </w:r>
      <w:r w:rsidR="005F7F98" w:rsidRPr="00FA4EF4">
        <w:rPr>
          <w:color w:val="000000"/>
        </w:rPr>
        <w:t xml:space="preserve"> D</w:t>
      </w:r>
      <w:r w:rsidR="001538D9" w:rsidRPr="00FA4EF4">
        <w:rPr>
          <w:color w:val="000000"/>
        </w:rPr>
        <w:t xml:space="preserve">ensity differences could </w:t>
      </w:r>
      <w:r w:rsidR="002C0615" w:rsidRPr="00FA4EF4">
        <w:rPr>
          <w:color w:val="000000"/>
        </w:rPr>
        <w:t xml:space="preserve">contribute </w:t>
      </w:r>
      <w:r w:rsidR="007065C8" w:rsidRPr="00FA4EF4">
        <w:rPr>
          <w:color w:val="000000"/>
        </w:rPr>
        <w:t>through a downward migration of denser miner</w:t>
      </w:r>
      <w:r w:rsidR="008B41E9" w:rsidRPr="00FA4EF4">
        <w:rPr>
          <w:color w:val="000000"/>
        </w:rPr>
        <w:t>als</w:t>
      </w:r>
      <w:r w:rsidR="007065C8" w:rsidRPr="00FA4EF4">
        <w:rPr>
          <w:color w:val="000000"/>
        </w:rPr>
        <w:t>,</w:t>
      </w:r>
      <w:r w:rsidR="005F7F98" w:rsidRPr="00FA4EF4">
        <w:rPr>
          <w:color w:val="000000"/>
        </w:rPr>
        <w:t xml:space="preserve"> especially in finer size fractions. However,</w:t>
      </w:r>
      <w:r w:rsidR="007065C8" w:rsidRPr="00FA4EF4">
        <w:rPr>
          <w:color w:val="000000"/>
        </w:rPr>
        <w:t xml:space="preserve"> t</w:t>
      </w:r>
      <w:r w:rsidR="00D04166" w:rsidRPr="00FA4EF4">
        <w:rPr>
          <w:color w:val="000000"/>
        </w:rPr>
        <w:t>he</w:t>
      </w:r>
      <w:r w:rsidR="008B41E9" w:rsidRPr="00FA4EF4">
        <w:rPr>
          <w:color w:val="000000"/>
        </w:rPr>
        <w:t xml:space="preserve"> observed</w:t>
      </w:r>
      <w:r w:rsidR="00D04166" w:rsidRPr="00FA4EF4">
        <w:rPr>
          <w:color w:val="000000"/>
        </w:rPr>
        <w:t xml:space="preserve"> depth-related variations may </w:t>
      </w:r>
      <w:r w:rsidR="007065C8" w:rsidRPr="00FA4EF4">
        <w:rPr>
          <w:color w:val="000000"/>
        </w:rPr>
        <w:t xml:space="preserve">primarily result from </w:t>
      </w:r>
      <w:r w:rsidR="00E4269B" w:rsidRPr="00FA4EF4">
        <w:rPr>
          <w:color w:val="000000"/>
        </w:rPr>
        <w:t>heterogeneit</w:t>
      </w:r>
      <w:r w:rsidR="003B3260" w:rsidRPr="00FA4EF4">
        <w:rPr>
          <w:color w:val="000000"/>
        </w:rPr>
        <w:t>ies in</w:t>
      </w:r>
      <w:r w:rsidR="00D04166" w:rsidRPr="00FA4EF4">
        <w:rPr>
          <w:color w:val="000000"/>
        </w:rPr>
        <w:t xml:space="preserve"> the </w:t>
      </w:r>
      <w:r w:rsidR="008E32A8" w:rsidRPr="00FA4EF4">
        <w:rPr>
          <w:color w:val="000000"/>
        </w:rPr>
        <w:t>ore</w:t>
      </w:r>
      <w:r w:rsidR="00D04166" w:rsidRPr="00FA4EF4">
        <w:rPr>
          <w:color w:val="000000"/>
        </w:rPr>
        <w:t xml:space="preserve"> being processed at a given time.</w:t>
      </w:r>
      <w:r w:rsidR="00C41160" w:rsidRPr="00FA4EF4">
        <w:rPr>
          <w:color w:val="000000"/>
        </w:rPr>
        <w:t xml:space="preserve"> </w:t>
      </w:r>
      <w:r w:rsidR="00D5345D" w:rsidRPr="00FA4EF4">
        <w:rPr>
          <w:color w:val="000000"/>
        </w:rPr>
        <w:t>For example,</w:t>
      </w:r>
      <w:r w:rsidR="007426CC" w:rsidRPr="00FA4EF4">
        <w:rPr>
          <w:color w:val="000000"/>
        </w:rPr>
        <w:t xml:space="preserve"> the similar </w:t>
      </w:r>
      <w:r w:rsidR="00664811" w:rsidRPr="00FA4EF4">
        <w:rPr>
          <w:color w:val="000000"/>
        </w:rPr>
        <w:t>depths</w:t>
      </w:r>
      <w:r w:rsidR="003B3260" w:rsidRPr="00FA4EF4">
        <w:rPr>
          <w:color w:val="000000"/>
        </w:rPr>
        <w:t xml:space="preserve"> o</w:t>
      </w:r>
      <w:r w:rsidR="00664811" w:rsidRPr="00FA4EF4">
        <w:rPr>
          <w:color w:val="000000"/>
        </w:rPr>
        <w:t xml:space="preserve">f </w:t>
      </w:r>
      <w:r w:rsidR="000546BE" w:rsidRPr="00FA4EF4">
        <w:rPr>
          <w:color w:val="000000"/>
        </w:rPr>
        <w:t xml:space="preserve">enriched </w:t>
      </w:r>
      <w:r w:rsidR="003B3260" w:rsidRPr="00FA4EF4">
        <w:rPr>
          <w:color w:val="000000"/>
        </w:rPr>
        <w:t>samples in</w:t>
      </w:r>
      <w:r w:rsidR="007426CC" w:rsidRPr="00FA4EF4">
        <w:rPr>
          <w:color w:val="000000"/>
        </w:rPr>
        <w:t xml:space="preserve"> cores 5 and 6 </w:t>
      </w:r>
      <w:r w:rsidR="00F715B3" w:rsidRPr="00FA4EF4">
        <w:rPr>
          <w:color w:val="000000"/>
        </w:rPr>
        <w:t>could suggest a parti</w:t>
      </w:r>
      <w:r w:rsidR="007426CC" w:rsidRPr="00FA4EF4">
        <w:rPr>
          <w:color w:val="000000"/>
        </w:rPr>
        <w:t xml:space="preserve">cularly critical mineral-rich </w:t>
      </w:r>
      <w:r w:rsidR="003B3260" w:rsidRPr="00FA4EF4">
        <w:rPr>
          <w:color w:val="000000"/>
        </w:rPr>
        <w:t xml:space="preserve">flux of </w:t>
      </w:r>
      <w:r w:rsidR="007C3726" w:rsidRPr="00FA4EF4">
        <w:rPr>
          <w:color w:val="000000"/>
        </w:rPr>
        <w:t xml:space="preserve">tailings </w:t>
      </w:r>
      <w:r w:rsidR="00F715B3" w:rsidRPr="00FA4EF4">
        <w:rPr>
          <w:color w:val="000000"/>
        </w:rPr>
        <w:t xml:space="preserve">that </w:t>
      </w:r>
      <w:r w:rsidR="007426CC" w:rsidRPr="00FA4EF4">
        <w:rPr>
          <w:color w:val="000000"/>
        </w:rPr>
        <w:t>extended to core 5 but not as far as core 2</w:t>
      </w:r>
      <w:r w:rsidR="002A24A4" w:rsidRPr="00FA4EF4">
        <w:rPr>
          <w:color w:val="000000"/>
        </w:rPr>
        <w:t xml:space="preserve">. </w:t>
      </w:r>
    </w:p>
    <w:p w14:paraId="53F3C4CD" w14:textId="48543958" w:rsidR="001B6BA6" w:rsidRPr="00FA4EF4" w:rsidRDefault="00E531E0" w:rsidP="002C492A">
      <w:pPr>
        <w:rPr>
          <w:color w:val="000000"/>
        </w:rPr>
      </w:pPr>
      <w:r w:rsidRPr="00FA4EF4">
        <w:rPr>
          <w:color w:val="000000"/>
        </w:rPr>
        <w:lastRenderedPageBreak/>
        <w:t>Data from this study and Meyertons (1975) suggest density and grainsize variations may produce lateral variability in critical mineral content of the tailings impoundment</w:t>
      </w:r>
      <w:r w:rsidR="00B44C2B" w:rsidRPr="00FA4EF4">
        <w:rPr>
          <w:color w:val="000000"/>
        </w:rPr>
        <w:t xml:space="preserve">, while </w:t>
      </w:r>
      <w:r w:rsidR="007011E7" w:rsidRPr="00FA4EF4">
        <w:rPr>
          <w:color w:val="000000"/>
        </w:rPr>
        <w:t xml:space="preserve">deposit heterogeneity may cause vertical variations. </w:t>
      </w:r>
      <w:r w:rsidR="00BD1278" w:rsidRPr="00FA4EF4">
        <w:rPr>
          <w:color w:val="000000"/>
        </w:rPr>
        <w:t>Collectively, t</w:t>
      </w:r>
      <w:r w:rsidR="002073AE" w:rsidRPr="00FA4EF4">
        <w:rPr>
          <w:color w:val="000000"/>
        </w:rPr>
        <w:t>hese</w:t>
      </w:r>
      <w:r w:rsidR="00E313B7" w:rsidRPr="00FA4EF4">
        <w:rPr>
          <w:color w:val="000000"/>
        </w:rPr>
        <w:t xml:space="preserve"> observations </w:t>
      </w:r>
      <w:r w:rsidR="005F3B97" w:rsidRPr="00FA4EF4">
        <w:rPr>
          <w:color w:val="000000"/>
        </w:rPr>
        <w:t xml:space="preserve">could have interesting implications for the relationship between </w:t>
      </w:r>
      <w:r w:rsidR="0045339B" w:rsidRPr="00FA4EF4">
        <w:rPr>
          <w:color w:val="000000"/>
        </w:rPr>
        <w:t>grain size, mineral density, vein heterogeneity, and the distribution of critical mineral and non-critical commodity concentrations in the tailings ponds.</w:t>
      </w:r>
    </w:p>
    <w:p w14:paraId="6C1A62FA" w14:textId="6B2F2873" w:rsidR="007A3A1C" w:rsidRPr="004F21C9" w:rsidRDefault="008B507D" w:rsidP="00354281">
      <w:pPr>
        <w:pStyle w:val="Heading2"/>
      </w:pPr>
      <w:bookmarkStart w:id="11" w:name="_Toc222230015"/>
      <w:r w:rsidRPr="00C47129">
        <w:t xml:space="preserve">5.2 </w:t>
      </w:r>
      <w:r w:rsidR="00FB4413" w:rsidRPr="00C47129">
        <w:t xml:space="preserve">Variations </w:t>
      </w:r>
      <w:r w:rsidR="005227F8" w:rsidRPr="00C47129">
        <w:t>B</w:t>
      </w:r>
      <w:r w:rsidR="00FB4413" w:rsidRPr="00C47129">
        <w:t xml:space="preserve">etween </w:t>
      </w:r>
      <w:r w:rsidR="005227F8" w:rsidRPr="00C47129">
        <w:t>P</w:t>
      </w:r>
      <w:r w:rsidR="00FB4413" w:rsidRPr="00C47129">
        <w:t>onds</w:t>
      </w:r>
      <w:bookmarkEnd w:id="11"/>
    </w:p>
    <w:p w14:paraId="567BC358" w14:textId="4FFC5964" w:rsidR="00282EB5" w:rsidRDefault="000F7457" w:rsidP="002C492A">
      <w:r w:rsidRPr="00FA4EF4">
        <w:rPr>
          <w:color w:val="000000"/>
        </w:rPr>
        <w:tab/>
      </w:r>
      <w:r w:rsidR="00E02E0F" w:rsidRPr="002C492A">
        <w:t xml:space="preserve">Bivariate </w:t>
      </w:r>
      <w:r w:rsidR="00F94E66" w:rsidRPr="002C492A">
        <w:t xml:space="preserve">geochemical </w:t>
      </w:r>
      <w:r w:rsidR="00E02E0F" w:rsidRPr="002C492A">
        <w:t xml:space="preserve">plots </w:t>
      </w:r>
      <w:r w:rsidR="00F94E66" w:rsidRPr="002C492A">
        <w:t xml:space="preserve">suggest potentially interesting </w:t>
      </w:r>
      <w:r w:rsidR="00476AD6" w:rsidRPr="002C492A">
        <w:t xml:space="preserve">differences between </w:t>
      </w:r>
      <w:r w:rsidR="002620CA" w:rsidRPr="002C492A">
        <w:t xml:space="preserve">ponds 2 and 3 </w:t>
      </w:r>
      <w:r w:rsidR="00476AD6" w:rsidRPr="002C492A">
        <w:t>that c</w:t>
      </w:r>
      <w:r w:rsidR="00D13FF5" w:rsidRPr="002C492A">
        <w:t xml:space="preserve">ould reflect compositional variability </w:t>
      </w:r>
      <w:r w:rsidR="00174CC4" w:rsidRPr="002C492A">
        <w:t>in</w:t>
      </w:r>
      <w:r w:rsidR="00D13FF5" w:rsidRPr="002C492A">
        <w:t xml:space="preserve"> hubnerite and </w:t>
      </w:r>
      <w:r w:rsidR="005E311D" w:rsidRPr="002C492A">
        <w:t>possibly</w:t>
      </w:r>
      <w:r w:rsidR="00D13FF5" w:rsidRPr="002C492A">
        <w:t xml:space="preserve"> some sulfides</w:t>
      </w:r>
      <w:r w:rsidR="005C3E70" w:rsidRPr="002C492A">
        <w:t>.</w:t>
      </w:r>
      <w:r w:rsidR="00F94E66" w:rsidRPr="002C492A">
        <w:t xml:space="preserve"> </w:t>
      </w:r>
      <w:r w:rsidR="00C8597C" w:rsidRPr="002C492A">
        <w:t>When</w:t>
      </w:r>
      <w:r w:rsidR="00EB7E65" w:rsidRPr="002C492A">
        <w:t xml:space="preserve"> W </w:t>
      </w:r>
      <w:r w:rsidR="00C8597C" w:rsidRPr="002C492A">
        <w:t xml:space="preserve">concentrations are plotted </w:t>
      </w:r>
      <w:r w:rsidR="00EB7E65" w:rsidRPr="002C492A">
        <w:t>versus Mn</w:t>
      </w:r>
      <w:r w:rsidR="00EA7C35" w:rsidRPr="002C492A">
        <w:t xml:space="preserve"> </w:t>
      </w:r>
      <w:r w:rsidR="00C8597C" w:rsidRPr="002C492A">
        <w:t xml:space="preserve">concentrations </w:t>
      </w:r>
      <w:r w:rsidR="00EA7C35" w:rsidRPr="002C492A">
        <w:t>(</w:t>
      </w:r>
      <w:r w:rsidR="00F03CA9" w:rsidRPr="002C492A">
        <w:t>Figure 31</w:t>
      </w:r>
      <w:r w:rsidR="00EA7C35" w:rsidRPr="002C492A">
        <w:t xml:space="preserve">), samples from </w:t>
      </w:r>
      <w:r w:rsidR="000047B7" w:rsidRPr="002C492A">
        <w:t xml:space="preserve">tailings </w:t>
      </w:r>
      <w:r w:rsidR="00EA7C35" w:rsidRPr="002C492A">
        <w:t xml:space="preserve">ponds </w:t>
      </w:r>
      <w:r w:rsidR="000047B7" w:rsidRPr="002C492A">
        <w:t xml:space="preserve">2 and 3 </w:t>
      </w:r>
      <w:r w:rsidR="00EA7C35" w:rsidRPr="002C492A">
        <w:t xml:space="preserve">seem to follow two separate trends. Thus, </w:t>
      </w:r>
      <w:r w:rsidR="00E5696D" w:rsidRPr="002C492A">
        <w:t>f</w:t>
      </w:r>
      <w:r w:rsidRPr="002C492A">
        <w:t>or a give</w:t>
      </w:r>
      <w:r w:rsidR="00DC7E0B" w:rsidRPr="002C492A">
        <w:t>n</w:t>
      </w:r>
      <w:r w:rsidRPr="002C492A">
        <w:t xml:space="preserve"> Mn </w:t>
      </w:r>
      <w:r w:rsidR="00E02E0F" w:rsidRPr="002C492A">
        <w:t xml:space="preserve">concentration, samples </w:t>
      </w:r>
      <w:r w:rsidR="004B4DE3" w:rsidRPr="002C492A">
        <w:t>from</w:t>
      </w:r>
      <w:r w:rsidR="00E02E0F" w:rsidRPr="002C492A">
        <w:t xml:space="preserve"> </w:t>
      </w:r>
      <w:r w:rsidR="00F82AD4" w:rsidRPr="002C492A">
        <w:t>tailings pond</w:t>
      </w:r>
      <w:r w:rsidR="005D46FC" w:rsidRPr="002C492A">
        <w:t xml:space="preserve"> 3</w:t>
      </w:r>
      <w:r w:rsidR="00F82AD4" w:rsidRPr="002C492A">
        <w:t xml:space="preserve"> </w:t>
      </w:r>
      <w:r w:rsidR="005D46FC" w:rsidRPr="002C492A">
        <w:t>tend to have</w:t>
      </w:r>
      <w:r w:rsidR="003F0A2C" w:rsidRPr="002C492A">
        <w:t xml:space="preserve"> lower W than samples </w:t>
      </w:r>
      <w:r w:rsidR="004B4DE3" w:rsidRPr="002C492A">
        <w:t>from</w:t>
      </w:r>
      <w:r w:rsidR="003F0A2C" w:rsidRPr="002C492A">
        <w:t xml:space="preserve"> tailings pond</w:t>
      </w:r>
      <w:r w:rsidR="005D46FC" w:rsidRPr="002C492A">
        <w:t xml:space="preserve"> 2</w:t>
      </w:r>
      <w:r w:rsidR="00B321D9" w:rsidRPr="002C492A">
        <w:t xml:space="preserve">. </w:t>
      </w:r>
      <w:r w:rsidR="00CF687B" w:rsidRPr="002C492A">
        <w:t xml:space="preserve">These </w:t>
      </w:r>
      <w:r w:rsidR="00CF687B" w:rsidRPr="00FA4EF4">
        <w:t xml:space="preserve">different trends likely result from natural variability in the composition of hubnerite combined with </w:t>
      </w:r>
      <w:r w:rsidR="003B27F1" w:rsidRPr="00FA4EF4">
        <w:t>how tailings</w:t>
      </w:r>
      <w:r w:rsidR="005E69FD" w:rsidRPr="00FA4EF4">
        <w:t xml:space="preserve"> </w:t>
      </w:r>
      <w:r w:rsidR="00796C3B" w:rsidRPr="00FA4EF4">
        <w:t xml:space="preserve">were </w:t>
      </w:r>
      <w:r w:rsidR="005E69FD" w:rsidRPr="00FA4EF4">
        <w:t>dispersed through the pond</w:t>
      </w:r>
      <w:r w:rsidR="002620CA" w:rsidRPr="00FA4EF4">
        <w:t xml:space="preserve"> during mining operations</w:t>
      </w:r>
      <w:r w:rsidR="00796C3B" w:rsidRPr="00FA4EF4">
        <w:t>.</w:t>
      </w:r>
    </w:p>
    <w:p w14:paraId="4B28E669" w14:textId="034BCAB0" w:rsidR="00141038" w:rsidRDefault="00141038" w:rsidP="002C492A">
      <w:r w:rsidRPr="00FA4EF4">
        <w:t xml:space="preserve">A few samples fall noticeably off the trends for Mn vs </w:t>
      </w:r>
      <w:proofErr w:type="spellStart"/>
      <w:r w:rsidRPr="00FA4EF4">
        <w:t>W in</w:t>
      </w:r>
      <w:proofErr w:type="spellEnd"/>
      <w:r w:rsidRPr="00FA4EF4">
        <w:t xml:space="preserve"> Figure 31. NCGS-TQ-G1 and NCGS-TQ-G5 (purple box in Figure 31) have abundant dark minerals which give them a “salt and pepper” look. These samples plot among the highest for Mn, but do not have elevated W concentrations, suggesting hubnerite is not responsible for their high Mn. Another “salt and pepper” sample, NCGS-TQ-G3-13-17 (yellow box in Figure 31) also falls off the overall tailings pond 3 trend, but to a lesser extent than NCGS-TQ-G1 and NCGS-TQ-G5. Rhodochrosite and ankerite, both reported to comprise &lt;0.1% of the deposit </w:t>
      </w:r>
      <w:r w:rsidRPr="00FA4EF4">
        <w:fldChar w:fldCharType="begin"/>
      </w:r>
      <w:r w:rsidRPr="00FA4EF4">
        <w:instrText xml:space="preserve"> ADDIN ZOTERO_ITEM CSL_CITATION {"citationID":"OeqSdSlY","properties":{"formattedCitation":"(Casadevall and Rye, 1980)","plainCitation":"(Casadevall and Rye, 1980)","noteIndex":0},"citationItems":[{"id":72,"uris":["http://zotero.org/users/17206691/items/KJNRUKK2"],"itemData":{"id":72,"type":"article-journal","abstract":"The Tungsten Queen mine, Vance County, North Carolina, is a large quartz-huebnerite vein deposit of late Precambrian or early Paleozoic age that has undergone middle Paleozoic regional metamorphism of amphibolite grade. The preservation of large banded huebnerite crystals and the low 8t80 values in the vein minerals and wall rocks indicate a premetamorphic hydrothermal origin for the •ein which involves meteoric waters. Quartz-sericite oxygen isotope distributions in the vein and wall rocks indicate metamorphic temperatures of 550ø+ 50øC. All other isotope distributions except possibly those for hydrogen appear to reflect primary hydrothermal distributions that were not significantly disturbed by the metamorphic event. The stable isotope systematics of the vein are remarkably similar to those of younger huebnerite/wolframite-quartz veins associated with shallow intrusions in orogenic belts. Sulfur isotope fractionations among coexisting sulfides in two mineral assemblages may indicate primary mineralization temperatures of about 260 ø and 320øC. The hydrothermal sulfur was derived from a deep-seated source. The carbon isotope data suggest that a sedimentary organic component was present in the fluids during carbonate deposition. Except for reequilibration between coexisting quartz and sericite, the xsO systematics of the vein minerals appear to reflect primary hydrothermal distributions and indicate that the vein was largely a closed system during metamorphism. Hydrous minerals and waters in fluid inclusions in the vein minerals show nearly a 50 per mil range in 8D values which may also reflect primary variations in the hydrothermal vein system.","container-title":"Economic Geology","page":"523-537","title":"The Tungsten Queen Deposit, Hamme District, Vance County, North Carolina: A Stable Isotope Study of a Metamorphosed Quartz-Huebnerite Vein","volume":"75","author":[{"family":"Casadevall","given":"Tom"},{"family":"Rye","given":"Robert O."}],"issued":{"date-parts":[["1980"]]}}}],"schema":"https://github.com/citation-style-language/schema/raw/master/csl-citation.json"} </w:instrText>
      </w:r>
      <w:r w:rsidRPr="00FA4EF4">
        <w:fldChar w:fldCharType="separate"/>
      </w:r>
      <w:r w:rsidRPr="00FA4EF4">
        <w:t>(Casadevall and Rye, 1980)</w:t>
      </w:r>
      <w:r w:rsidRPr="00FA4EF4">
        <w:fldChar w:fldCharType="end"/>
      </w:r>
      <w:r w:rsidRPr="00FA4EF4">
        <w:t xml:space="preserve">, could be sources of Mn in these samples. </w:t>
      </w:r>
      <w:r w:rsidRPr="00FA4EF4">
        <w:fldChar w:fldCharType="begin"/>
      </w:r>
      <w:r w:rsidRPr="00FA4EF4">
        <w:instrText xml:space="preserve"> ADDIN ZOTERO_ITEM CSL_CITATION {"citationID":"5VdI0sDA","properties":{"formattedCitation":"(Espenshade, 1945)","plainCitation":"(Espenshade, 1945)","dontUpdate":true,"noteIndex":0},"citationItems":[{"id":193,"uris":["http://zotero.org/users/17206691/items/7S2FUXPD"],"itemData":{"id":193,"type":"report","collection-title":"Bulletin","language":"en","number":"948-A","page":"1-17","source":"Zotero","title":"Tungsten Deposits of Vance County North Carolina, and Mecklenburg County, Virginia","author":[{"family":"Espenshade","given":"G.H."}],"issued":{"date-parts":[["1945"]]}}}],"schema":"https://github.com/citation-style-language/schema/raw/master/csl-citation.json"} </w:instrText>
      </w:r>
      <w:r w:rsidRPr="00FA4EF4">
        <w:fldChar w:fldCharType="separate"/>
      </w:r>
      <w:r w:rsidRPr="00FA4EF4">
        <w:t>Espenshade (1945)</w:t>
      </w:r>
      <w:r w:rsidRPr="00FA4EF4">
        <w:fldChar w:fldCharType="end"/>
      </w:r>
      <w:r w:rsidRPr="00FA4EF4">
        <w:t xml:space="preserve"> also notes the presence of a golden-brown garnet in the deposit, and the authors cite C.S. Ross as concluding it is probably “spessartite”, interpreted here to be spessartine based on the presence of garnet noted in other sources </w:t>
      </w:r>
      <w:r w:rsidRPr="00FA4EF4">
        <w:fldChar w:fldCharType="begin"/>
      </w:r>
      <w:r w:rsidRPr="00FA4EF4">
        <w:instrText xml:space="preserve"> ADDIN ZOTERO_ITEM CSL_CITATION {"citationID":"Un2LS71N","properties":{"formattedCitation":"(Foose et al., 1980)","plainCitation":"(Foose et al., 1980)","dontUpdate":true,"noteIndex":0},"citationItems":[{"id":79,"uris":["http://zotero.org/users/17206691/items/A4BBQ9UZ"],"itemData":{"id":79,"type":"article-journal","abstract":"The Hamme tungsten district is composed of a series of steeply dipping quartz-wolframite veins in the Piedmont of North Carolina. Veins are concentrated near the border of the lower Paleozoic Vance County pluton, along its western contact with green-schist-facies metapelites and metavolcanic rocks of the Carolina slate belt. One of these quartz veins, the Snead-Walker, hosts the Tungsten Queen deposit. The vein is 0 to 10 m thick and trends N 35 ø E for approximately 3,500 m through slate belt rocks and the granitic pluton. The deposit has been worked to a depth of nearly 520 m and contains eight en echelon ore lodes that plunge 42 ø to 65 ø between S 10 ø E and S 10 ø W. Ore lodes commonly are encased in thin lenses of quartz-sericite greisen. The principal ore mineral is huebnerite and is accompanied by scattered occurrences of pyrite, sphalerite, galena, chalcopyrite, and tetrahedrite. The gangue is predominantly quartz with minor amounts of fluorite, sericite, and carbonate. Studies of minor structures and mineral textures indicate that both the wall rock and the ore and gangue minerals within the vein have been deformed by at least two events. The first event produced relatively gentle, open, and shallow-plunging folds; later, an intense episode of right-lateral shearing developed steeply plunging, tight folds and numerous northeast-trending shears. This latter deformation also developed a prominent alignment of ore and gangue minerals oblique to the vein walls and may have formed the en echelon distribution of ore lodes. In relatively undeformed parts of the vein, clusters of euhedral huebnerite crystals are oriented perpendicular to vein layering. Some prismatic crystals have terminations with cappings of sulfides and in polished thin section show concentric growth zones. These features are similar to textures found in unmetamorphosed tungsten-bearing hydrothermal vein deposits such as those at Pasto Bueno, Peru; Carrock Fell, England; and Panasqueria, Portugal. The relationships of mineral textures and minor structures indicate that the Tungsten Queen deposit formed by open-space fillings of linear faults or fractures and was subsequently deformed by at least two episodes of folding and shearing.","container-title":"Economic Geology","page":"515-522","title":"Textural and Structural Evidence for a Predeformation Hydrothermal Origin of the Tungsten Queen Deposit, Hamme District, North Carolina","volume":"75","author":[{"family":"Foose","given":"Michael P"},{"family":"Slack","given":"John F"},{"family":"Casadevall","given":"Tom"}],"issued":{"date-parts":[["1980"]]}}}],"schema":"https://github.com/citation-style-language/schema/raw/master/csl-citation.json"} </w:instrText>
      </w:r>
      <w:r w:rsidRPr="00FA4EF4">
        <w:fldChar w:fldCharType="separate"/>
      </w:r>
      <w:r w:rsidRPr="00FA4EF4">
        <w:t>(e.g., Foose et al., 1980)</w:t>
      </w:r>
      <w:r w:rsidRPr="00FA4EF4">
        <w:fldChar w:fldCharType="end"/>
      </w:r>
      <w:r w:rsidRPr="00FA4EF4">
        <w:t xml:space="preserve">. If spessartine garnet is present in the tailings pond, it could also contribute Mn without elevating the W content of the samples. The presence of Mn-rich, W-poor mineral(s) may contribute to scatter in the Figure 31 data beyond the outlier “salt and pepper” samples. </w:t>
      </w:r>
    </w:p>
    <w:p w14:paraId="57FA76AE" w14:textId="515325AF" w:rsidR="002657F3" w:rsidRPr="002C492A" w:rsidRDefault="00FF3CEF" w:rsidP="003E28D9">
      <w:pPr>
        <w:ind w:firstLine="0"/>
        <w:rPr>
          <w:rStyle w:val="Caption1Char"/>
        </w:rPr>
      </w:pPr>
      <w:r>
        <w:rPr>
          <w:rFonts w:cs="Times New Roman"/>
          <w:noProof/>
          <w:szCs w:val="24"/>
          <w14:ligatures w14:val="standardContextual"/>
        </w:rPr>
        <w:drawing>
          <wp:inline distT="0" distB="0" distL="0" distR="0" wp14:anchorId="34346C65" wp14:editId="65430B67">
            <wp:extent cx="5753698" cy="2651760"/>
            <wp:effectExtent l="0" t="0" r="0" b="0"/>
            <wp:docPr id="928094955" name="Picture 32" descr="Chart, scatter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094955" name="Picture 32" descr="Chart, scatter chart&#10;&#10;AI-generated content may be incorrect."/>
                    <pic:cNvPicPr/>
                  </pic:nvPicPr>
                  <pic:blipFill rotWithShape="1">
                    <a:blip r:embed="rId42" cstate="print">
                      <a:extLst>
                        <a:ext uri="{28A0092B-C50C-407E-A947-70E740481C1C}">
                          <a14:useLocalDpi xmlns:a14="http://schemas.microsoft.com/office/drawing/2010/main" val="0"/>
                        </a:ext>
                      </a:extLst>
                    </a:blip>
                    <a:srcRect t="1215" b="6609"/>
                    <a:stretch/>
                  </pic:blipFill>
                  <pic:spPr bwMode="auto">
                    <a:xfrm>
                      <a:off x="0" y="0"/>
                      <a:ext cx="5753698" cy="2651760"/>
                    </a:xfrm>
                    <a:prstGeom prst="rect">
                      <a:avLst/>
                    </a:prstGeom>
                    <a:ln>
                      <a:noFill/>
                    </a:ln>
                    <a:extLst>
                      <a:ext uri="{53640926-AAD7-44D8-BBD7-CCE9431645EC}">
                        <a14:shadowObscured xmlns:a14="http://schemas.microsoft.com/office/drawing/2010/main"/>
                      </a:ext>
                    </a:extLst>
                  </pic:spPr>
                </pic:pic>
              </a:graphicData>
            </a:graphic>
          </wp:inline>
        </w:drawing>
      </w:r>
      <w:r w:rsidR="00F03CA9" w:rsidRPr="002C492A">
        <w:rPr>
          <w:rStyle w:val="Caption1Char"/>
        </w:rPr>
        <w:t>Figure 31</w:t>
      </w:r>
      <w:r w:rsidR="002657F3" w:rsidRPr="002C492A">
        <w:rPr>
          <w:rStyle w:val="Caption1Char"/>
        </w:rPr>
        <w:t xml:space="preserve">. a. </w:t>
      </w:r>
      <w:r w:rsidR="00A10100" w:rsidRPr="002C492A">
        <w:rPr>
          <w:rStyle w:val="Caption1Char"/>
        </w:rPr>
        <w:t xml:space="preserve">Plot of </w:t>
      </w:r>
      <w:r w:rsidR="00196726" w:rsidRPr="002C492A">
        <w:rPr>
          <w:rStyle w:val="Caption1Char"/>
        </w:rPr>
        <w:t>Mn</w:t>
      </w:r>
      <w:r w:rsidR="00A10100" w:rsidRPr="002C492A">
        <w:rPr>
          <w:rStyle w:val="Caption1Char"/>
        </w:rPr>
        <w:t xml:space="preserve"> concentration versus </w:t>
      </w:r>
      <w:r w:rsidR="00196726" w:rsidRPr="002C492A">
        <w:rPr>
          <w:rStyle w:val="Caption1Char"/>
        </w:rPr>
        <w:t>W</w:t>
      </w:r>
      <w:r w:rsidR="00A10100" w:rsidRPr="002C492A">
        <w:rPr>
          <w:rStyle w:val="Caption1Char"/>
        </w:rPr>
        <w:t xml:space="preserve"> concentration</w:t>
      </w:r>
      <w:r w:rsidR="00EE546F" w:rsidRPr="002C492A">
        <w:rPr>
          <w:rStyle w:val="Caption1Char"/>
        </w:rPr>
        <w:t xml:space="preserve"> for all samples</w:t>
      </w:r>
      <w:r w:rsidR="00EC11E9" w:rsidRPr="002C492A">
        <w:rPr>
          <w:rStyle w:val="Caption1Char"/>
        </w:rPr>
        <w:t>, coded according to tailings pond</w:t>
      </w:r>
      <w:r w:rsidR="00A10100" w:rsidRPr="002C492A">
        <w:rPr>
          <w:rStyle w:val="Caption1Char"/>
        </w:rPr>
        <w:t xml:space="preserve">. Purple box </w:t>
      </w:r>
      <w:r w:rsidR="005B5126" w:rsidRPr="002C492A">
        <w:rPr>
          <w:rStyle w:val="Caption1Char"/>
        </w:rPr>
        <w:t xml:space="preserve">highlights </w:t>
      </w:r>
      <w:r w:rsidR="00EC617F" w:rsidRPr="002C492A">
        <w:rPr>
          <w:rStyle w:val="Caption1Char"/>
        </w:rPr>
        <w:t>NCGS-TQ-G</w:t>
      </w:r>
      <w:r w:rsidR="00183DA6" w:rsidRPr="002C492A">
        <w:rPr>
          <w:rStyle w:val="Caption1Char"/>
        </w:rPr>
        <w:t xml:space="preserve">1 and </w:t>
      </w:r>
      <w:r w:rsidR="00EC617F" w:rsidRPr="002C492A">
        <w:rPr>
          <w:rStyle w:val="Caption1Char"/>
        </w:rPr>
        <w:t>NCGS-TQ-G</w:t>
      </w:r>
      <w:r w:rsidR="00FF4541" w:rsidRPr="002C492A">
        <w:rPr>
          <w:rStyle w:val="Caption1Char"/>
        </w:rPr>
        <w:t xml:space="preserve">5, the “salt and pepper” samples with very high Mn but lower W. </w:t>
      </w:r>
      <w:r w:rsidR="00941141" w:rsidRPr="002C492A">
        <w:rPr>
          <w:rStyle w:val="Caption1Char"/>
        </w:rPr>
        <w:t xml:space="preserve">Yellow </w:t>
      </w:r>
      <w:r w:rsidR="008B558B" w:rsidRPr="002C492A">
        <w:rPr>
          <w:rStyle w:val="Caption1Char"/>
        </w:rPr>
        <w:t xml:space="preserve">box highlights </w:t>
      </w:r>
      <w:r w:rsidR="0037656F" w:rsidRPr="002C492A">
        <w:rPr>
          <w:rStyle w:val="Caption1Char"/>
        </w:rPr>
        <w:t>NCGS-TQ-G3-13-17</w:t>
      </w:r>
      <w:r w:rsidR="00D741CE" w:rsidRPr="002C492A">
        <w:rPr>
          <w:rStyle w:val="Caption1Char"/>
        </w:rPr>
        <w:t xml:space="preserve">, which is also a salt and pepper sample that falls off the </w:t>
      </w:r>
      <w:r w:rsidR="005364DB" w:rsidRPr="002C492A">
        <w:rPr>
          <w:rStyle w:val="Caption1Char"/>
        </w:rPr>
        <w:t>tailings pond 2</w:t>
      </w:r>
      <w:r w:rsidR="00D741CE" w:rsidRPr="002C492A">
        <w:rPr>
          <w:rStyle w:val="Caption1Char"/>
        </w:rPr>
        <w:t xml:space="preserve"> trend, but </w:t>
      </w:r>
      <w:r w:rsidR="00D123E2" w:rsidRPr="002C492A">
        <w:rPr>
          <w:rStyle w:val="Caption1Char"/>
        </w:rPr>
        <w:t>shows less Mn-enrichment relative to W.</w:t>
      </w:r>
      <w:r w:rsidR="00114812" w:rsidRPr="002C492A">
        <w:rPr>
          <w:rStyle w:val="Caption1Char"/>
        </w:rPr>
        <w:t xml:space="preserve"> See text for more information.</w:t>
      </w:r>
    </w:p>
    <w:p w14:paraId="073424A2" w14:textId="766E081B" w:rsidR="003E28D9" w:rsidRDefault="003E28D9" w:rsidP="003E28D9">
      <w:pPr>
        <w:ind w:firstLine="0"/>
      </w:pPr>
      <w:r w:rsidRPr="00FA4EF4">
        <w:lastRenderedPageBreak/>
        <w:t>However, more advanced mineralogical analysis is needed to confidently identify them and constrain their abundance.</w:t>
      </w:r>
    </w:p>
    <w:p w14:paraId="2C704EE1" w14:textId="0DAB7F02" w:rsidR="00814867" w:rsidRDefault="00AC3F01" w:rsidP="002C492A">
      <w:r w:rsidRPr="00FA4EF4">
        <w:t xml:space="preserve">The critical minerals Sb, </w:t>
      </w:r>
      <w:r w:rsidR="00C14305" w:rsidRPr="00FA4EF4">
        <w:t xml:space="preserve">As, and </w:t>
      </w:r>
      <w:r w:rsidRPr="00FA4EF4">
        <w:t xml:space="preserve">Te also show </w:t>
      </w:r>
      <w:r w:rsidR="00AD0993" w:rsidRPr="00FA4EF4">
        <w:t>some</w:t>
      </w:r>
      <w:r w:rsidRPr="00FA4EF4">
        <w:t xml:space="preserve"> variability </w:t>
      </w:r>
      <w:r w:rsidR="00AD0993" w:rsidRPr="00FA4EF4">
        <w:t>between</w:t>
      </w:r>
      <w:r w:rsidRPr="00FA4EF4">
        <w:t xml:space="preserve"> ponds</w:t>
      </w:r>
      <w:r w:rsidR="00AA111E" w:rsidRPr="00FA4EF4">
        <w:t xml:space="preserve"> when p</w:t>
      </w:r>
      <w:r w:rsidR="00475231">
        <w:t>l</w:t>
      </w:r>
      <w:r w:rsidR="00AA111E" w:rsidRPr="00FA4EF4">
        <w:t xml:space="preserve">otted versus </w:t>
      </w:r>
      <w:r w:rsidR="00932002" w:rsidRPr="00FA4EF4">
        <w:t>sulfur</w:t>
      </w:r>
      <w:r w:rsidR="00601ACC" w:rsidRPr="00FA4EF4">
        <w:t xml:space="preserve"> (S)</w:t>
      </w:r>
      <w:r w:rsidR="00AA111E" w:rsidRPr="00FA4EF4">
        <w:t xml:space="preserve"> </w:t>
      </w:r>
      <w:r w:rsidR="003E362F" w:rsidRPr="00FA4EF4">
        <w:t xml:space="preserve">concentration </w:t>
      </w:r>
      <w:r w:rsidRPr="00FA4EF4">
        <w:t xml:space="preserve">(Figures </w:t>
      </w:r>
      <w:r w:rsidR="001F0B2F" w:rsidRPr="00FA4EF4">
        <w:t>3</w:t>
      </w:r>
      <w:r w:rsidR="009D5F2E" w:rsidRPr="00FA4EF4">
        <w:t>2</w:t>
      </w:r>
      <w:r w:rsidR="00AD0993" w:rsidRPr="00FA4EF4">
        <w:t>-</w:t>
      </w:r>
      <w:r w:rsidR="001F0B2F" w:rsidRPr="00FA4EF4">
        <w:t>3</w:t>
      </w:r>
      <w:r w:rsidR="009D5F2E" w:rsidRPr="00FA4EF4">
        <w:t>4</w:t>
      </w:r>
      <w:r w:rsidR="00AD0993" w:rsidRPr="00FA4EF4">
        <w:t xml:space="preserve">). </w:t>
      </w:r>
      <w:r w:rsidR="00B77F6B" w:rsidRPr="00FA4EF4">
        <w:t>I</w:t>
      </w:r>
      <w:r w:rsidR="00AA111E" w:rsidRPr="00FA4EF4">
        <w:t>n</w:t>
      </w:r>
      <w:r w:rsidR="00B77F6B" w:rsidRPr="00FA4EF4">
        <w:t xml:space="preserve"> all three plots, </w:t>
      </w:r>
      <w:r w:rsidR="00F82AD4" w:rsidRPr="00FA4EF4">
        <w:t>tailings pond 3</w:t>
      </w:r>
      <w:r w:rsidR="00B77F6B" w:rsidRPr="00FA4EF4">
        <w:t xml:space="preserve"> data show some degree of a trend </w:t>
      </w:r>
      <w:r w:rsidR="00AA111E" w:rsidRPr="00FA4EF4">
        <w:t>between the critical mineral and S</w:t>
      </w:r>
      <w:r w:rsidR="006701A3" w:rsidRPr="00FA4EF4">
        <w:t xml:space="preserve">, while </w:t>
      </w:r>
      <w:r w:rsidR="00F82AD4" w:rsidRPr="00FA4EF4">
        <w:t>tailings pond 2</w:t>
      </w:r>
      <w:r w:rsidR="006701A3" w:rsidRPr="00FA4EF4">
        <w:t xml:space="preserve"> data </w:t>
      </w:r>
      <w:r w:rsidR="00692778">
        <w:t xml:space="preserve">show more </w:t>
      </w:r>
      <w:r w:rsidR="00E76D41" w:rsidRPr="00FA4EF4">
        <w:t>scatter at low</w:t>
      </w:r>
      <w:r w:rsidR="001738D5" w:rsidRPr="00FA4EF4">
        <w:t xml:space="preserve"> S concentrations</w:t>
      </w:r>
      <w:r w:rsidR="00C230A5" w:rsidRPr="00FA4EF4">
        <w:t xml:space="preserve"> </w:t>
      </w:r>
      <w:r w:rsidR="006701A3" w:rsidRPr="00FA4EF4">
        <w:t>with</w:t>
      </w:r>
      <w:r w:rsidR="001738D5" w:rsidRPr="00FA4EF4">
        <w:t xml:space="preserve"> an additional</w:t>
      </w:r>
      <w:r w:rsidR="006701A3" w:rsidRPr="00FA4EF4">
        <w:t xml:space="preserve"> </w:t>
      </w:r>
      <w:r w:rsidR="003E362F" w:rsidRPr="00FA4EF4">
        <w:t xml:space="preserve">three </w:t>
      </w:r>
      <w:r w:rsidR="001738D5" w:rsidRPr="00FA4EF4">
        <w:t xml:space="preserve">data </w:t>
      </w:r>
      <w:r w:rsidR="003E362F" w:rsidRPr="00FA4EF4">
        <w:t xml:space="preserve">points </w:t>
      </w:r>
      <w:r w:rsidR="00BC161D" w:rsidRPr="00FA4EF4">
        <w:t>with</w:t>
      </w:r>
      <w:r w:rsidR="003E362F" w:rsidRPr="00FA4EF4">
        <w:t xml:space="preserve"> high S </w:t>
      </w:r>
      <w:r w:rsidR="00507D7E" w:rsidRPr="00FA4EF4">
        <w:t>values</w:t>
      </w:r>
      <w:r w:rsidR="00CF141B" w:rsidRPr="00FA4EF4">
        <w:t>. These three points</w:t>
      </w:r>
      <w:r w:rsidR="00355895" w:rsidRPr="00FA4EF4">
        <w:t>,</w:t>
      </w:r>
      <w:r w:rsidR="00CF141B" w:rsidRPr="00FA4EF4">
        <w:t xml:space="preserve"> </w:t>
      </w:r>
      <w:r w:rsidR="005A635F" w:rsidRPr="00FA4EF4">
        <w:t>NCGS-TQ-D6-3-</w:t>
      </w:r>
      <w:r w:rsidR="005A3AC8" w:rsidRPr="00FA4EF4">
        <w:t>4, NCGS-TQ-D6-4-4.7, and NCGS-TQ-D5-3-4.4</w:t>
      </w:r>
      <w:r w:rsidR="00D70298" w:rsidRPr="00FA4EF4">
        <w:t xml:space="preserve">, </w:t>
      </w:r>
      <w:r w:rsidR="00355895" w:rsidRPr="00FA4EF4">
        <w:t>are located</w:t>
      </w:r>
      <w:r w:rsidR="00B132C3" w:rsidRPr="00FA4EF4">
        <w:t xml:space="preserve"> near the </w:t>
      </w:r>
      <w:r w:rsidR="001D13D5" w:rsidRPr="00FA4EF4">
        <w:t>gravity separator</w:t>
      </w:r>
      <w:r w:rsidR="003402BB" w:rsidRPr="00FA4EF4">
        <w:t xml:space="preserve"> which may </w:t>
      </w:r>
      <w:r w:rsidR="00BC161D" w:rsidRPr="00FA4EF4">
        <w:t>c</w:t>
      </w:r>
      <w:r w:rsidR="003402BB" w:rsidRPr="00FA4EF4">
        <w:t>ontribute to an enrichment in sulfide minerals</w:t>
      </w:r>
      <w:r w:rsidR="00BB3C04" w:rsidRPr="00FA4EF4">
        <w:t>.</w:t>
      </w:r>
      <w:r w:rsidR="004678FD" w:rsidRPr="00FA4EF4">
        <w:t xml:space="preserve"> </w:t>
      </w:r>
      <w:r w:rsidR="00C438EF" w:rsidRPr="00FA4EF4">
        <w:t>Tailings pond 3</w:t>
      </w:r>
      <w:r w:rsidR="00F3143A" w:rsidRPr="00FA4EF4">
        <w:t xml:space="preserve"> samples have a more continuous range of S concentrations</w:t>
      </w:r>
      <w:r w:rsidR="00150850" w:rsidRPr="00FA4EF4">
        <w:t xml:space="preserve"> and, for a given S </w:t>
      </w:r>
      <w:r w:rsidR="00746251" w:rsidRPr="00FA4EF4">
        <w:t>content</w:t>
      </w:r>
      <w:r w:rsidR="00150850" w:rsidRPr="00FA4EF4">
        <w:t xml:space="preserve">, </w:t>
      </w:r>
      <w:r w:rsidR="0083360B" w:rsidRPr="00FA4EF4">
        <w:t>tend to</w:t>
      </w:r>
      <w:r w:rsidR="00150850" w:rsidRPr="00FA4EF4">
        <w:t xml:space="preserve"> have lower Sb, </w:t>
      </w:r>
      <w:r w:rsidR="00C14305" w:rsidRPr="00FA4EF4">
        <w:t>As</w:t>
      </w:r>
      <w:r w:rsidR="00150850" w:rsidRPr="00FA4EF4">
        <w:t xml:space="preserve">, and </w:t>
      </w:r>
      <w:r w:rsidR="00C14305" w:rsidRPr="00FA4EF4">
        <w:t>Te</w:t>
      </w:r>
      <w:r w:rsidR="00150850" w:rsidRPr="00FA4EF4">
        <w:t xml:space="preserve"> co</w:t>
      </w:r>
      <w:r w:rsidR="00710B39" w:rsidRPr="00FA4EF4">
        <w:t>ncentrations</w:t>
      </w:r>
      <w:r w:rsidR="0044748B" w:rsidRPr="00FA4EF4">
        <w:t xml:space="preserve"> than </w:t>
      </w:r>
      <w:r w:rsidR="00710B39" w:rsidRPr="00FA4EF4">
        <w:t>tailings pond 2</w:t>
      </w:r>
      <w:r w:rsidR="0044748B" w:rsidRPr="00FA4EF4">
        <w:t xml:space="preserve"> samples</w:t>
      </w:r>
      <w:r w:rsidR="00DA762E" w:rsidRPr="00FA4EF4">
        <w:t>, at least for S &lt;~4,000 ppm</w:t>
      </w:r>
      <w:r w:rsidR="009025A6">
        <w:t xml:space="preserve"> (Figures 32-34)</w:t>
      </w:r>
      <w:r w:rsidR="0044748B" w:rsidRPr="00FA4EF4">
        <w:t>.</w:t>
      </w:r>
      <w:r w:rsidR="001074FC" w:rsidRPr="00FA4EF4">
        <w:t xml:space="preserve"> </w:t>
      </w:r>
      <w:r w:rsidR="00BE7B54" w:rsidRPr="00FA4EF4">
        <w:t>V</w:t>
      </w:r>
      <w:r w:rsidR="001074FC" w:rsidRPr="00FA4EF4">
        <w:t>ariability in the</w:t>
      </w:r>
      <w:r w:rsidR="00D2115D" w:rsidRPr="00FA4EF4">
        <w:t xml:space="preserve"> critical mineral</w:t>
      </w:r>
      <w:r w:rsidR="001074FC" w:rsidRPr="00FA4EF4">
        <w:t xml:space="preserve"> </w:t>
      </w:r>
      <w:r w:rsidR="000F0479" w:rsidRPr="00FA4EF4">
        <w:t>concentration</w:t>
      </w:r>
      <w:r w:rsidR="00D2115D" w:rsidRPr="00FA4EF4">
        <w:t>s</w:t>
      </w:r>
      <w:r w:rsidR="000F0479" w:rsidRPr="00FA4EF4">
        <w:t xml:space="preserve"> in sulfide minerals, and/or differ</w:t>
      </w:r>
      <w:r w:rsidR="00465502" w:rsidRPr="00FA4EF4">
        <w:t>ing</w:t>
      </w:r>
      <w:r w:rsidR="000F0479" w:rsidRPr="00FA4EF4">
        <w:t xml:space="preserve"> abundance of various sulfide minerals between the ponds</w:t>
      </w:r>
      <w:r w:rsidR="00465502" w:rsidRPr="00FA4EF4">
        <w:t xml:space="preserve"> could be a factor in </w:t>
      </w:r>
      <w:r w:rsidR="00D621F5" w:rsidRPr="00FA4EF4">
        <w:t>the observed in</w:t>
      </w:r>
      <w:r w:rsidR="005167D4" w:rsidRPr="00FA4EF4">
        <w:t>ter</w:t>
      </w:r>
      <w:r w:rsidR="00D621F5" w:rsidRPr="00FA4EF4">
        <w:t>-pond variation</w:t>
      </w:r>
      <w:r w:rsidR="00E6041D" w:rsidRPr="00FA4EF4">
        <w:t>s.</w:t>
      </w:r>
    </w:p>
    <w:p w14:paraId="184B8E4B" w14:textId="77777777" w:rsidR="003E28D9" w:rsidRDefault="003E28D9" w:rsidP="003E28D9">
      <w:r w:rsidRPr="00FA4EF4">
        <w:t xml:space="preserve">In addition to natural variability in mineral compositions, enhanced weathering could also influence the compositional differences between ponds. The mining and processing of ore and disposal of waste as tailings introduces oxygen, which promotes sulfide mineral oxidation and can result in acid rock drainage and metal leaching </w:t>
      </w:r>
      <w:r w:rsidRPr="00FA4EF4">
        <w:fldChar w:fldCharType="begin"/>
      </w:r>
      <w:r w:rsidRPr="00FA4EF4">
        <w:instrText xml:space="preserve"> ADDIN ZOTERO_ITEM CSL_CITATION {"citationID":"imNQAAs6","properties":{"formattedCitation":"(International Network for Acid Prevention, 2009)","plainCitation":"(International Network for Acid Prevention, 2009)","noteIndex":0},"citationItems":[{"id":225,"uris":["http://zotero.org/users/17206691/items/UUZKYCTK"],"itemData":{"id":225,"type":"book","edition":"Rev 1","number-of-pages":"473","title":"Global Acid Rock Drainage Guide","URL":"http://www.gardguide.com","author":[{"literal":"International Network for Acid Prevention"}],"accessed":{"date-parts":[["2025",5,9]]},"issued":{"date-parts":[["2009"]]}}}],"schema":"https://github.com/citation-style-language/schema/raw/master/csl-citation.json"} </w:instrText>
      </w:r>
      <w:r w:rsidRPr="00FA4EF4">
        <w:fldChar w:fldCharType="separate"/>
      </w:r>
      <w:r w:rsidRPr="00FA4EF4">
        <w:t>(International Network for Acid Prevention, 2009)</w:t>
      </w:r>
      <w:r w:rsidRPr="00FA4EF4">
        <w:fldChar w:fldCharType="end"/>
      </w:r>
      <w:r w:rsidRPr="00FA4EF4">
        <w:t>. Thus, different conditions related to mineralogy, microbiome, pH, tailings permeability, etc., could produce variability in sulfide mineral breakdown and by extension metal leaching between ponds.</w:t>
      </w:r>
      <w:r>
        <w:t xml:space="preserve"> T</w:t>
      </w:r>
      <w:r w:rsidRPr="00FA4EF4">
        <w:t xml:space="preserve">hese </w:t>
      </w:r>
      <w:r>
        <w:t>conditions</w:t>
      </w:r>
      <w:r w:rsidRPr="00FA4EF4">
        <w:t xml:space="preserve"> could especially impact critical minerals held in sulfide minerals,</w:t>
      </w:r>
      <w:r>
        <w:t xml:space="preserve"> which might account for </w:t>
      </w:r>
      <w:r w:rsidRPr="00FA4EF4">
        <w:t xml:space="preserve">the </w:t>
      </w:r>
      <w:r>
        <w:t xml:space="preserve">data </w:t>
      </w:r>
      <w:r w:rsidRPr="00FA4EF4">
        <w:t xml:space="preserve">scatter of Figure 31. </w:t>
      </w:r>
    </w:p>
    <w:p w14:paraId="6DBE171E" w14:textId="7CAC61A2" w:rsidR="002657F3" w:rsidRPr="002C492A" w:rsidRDefault="00814867" w:rsidP="003E28D9">
      <w:pPr>
        <w:ind w:firstLine="0"/>
        <w:rPr>
          <w:rStyle w:val="Caption1Char"/>
        </w:rPr>
      </w:pPr>
      <w:r>
        <w:rPr>
          <w:rFonts w:cs="Times New Roman"/>
          <w:noProof/>
          <w:szCs w:val="24"/>
          <w14:ligatures w14:val="standardContextual"/>
        </w:rPr>
        <w:drawing>
          <wp:inline distT="0" distB="0" distL="0" distR="0" wp14:anchorId="7ED094D7" wp14:editId="56E333B2">
            <wp:extent cx="5803265" cy="2651760"/>
            <wp:effectExtent l="0" t="0" r="6985" b="0"/>
            <wp:docPr id="1938049147" name="Picture 33" descr="Chart, scatter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049147" name="Picture 33" descr="Chart, scatter chart"/>
                    <pic:cNvPicPr/>
                  </pic:nvPicPr>
                  <pic:blipFill rotWithShape="1">
                    <a:blip r:embed="rId43" cstate="print">
                      <a:extLst>
                        <a:ext uri="{28A0092B-C50C-407E-A947-70E740481C1C}">
                          <a14:useLocalDpi xmlns:a14="http://schemas.microsoft.com/office/drawing/2010/main" val="0"/>
                        </a:ext>
                      </a:extLst>
                    </a:blip>
                    <a:srcRect t="615" b="7996"/>
                    <a:stretch/>
                  </pic:blipFill>
                  <pic:spPr bwMode="auto">
                    <a:xfrm>
                      <a:off x="0" y="0"/>
                      <a:ext cx="5803265" cy="2651760"/>
                    </a:xfrm>
                    <a:prstGeom prst="rect">
                      <a:avLst/>
                    </a:prstGeom>
                    <a:ln>
                      <a:noFill/>
                    </a:ln>
                    <a:extLst>
                      <a:ext uri="{53640926-AAD7-44D8-BBD7-CCE9431645EC}">
                        <a14:shadowObscured xmlns:a14="http://schemas.microsoft.com/office/drawing/2010/main"/>
                      </a:ext>
                    </a:extLst>
                  </pic:spPr>
                </pic:pic>
              </a:graphicData>
            </a:graphic>
          </wp:inline>
        </w:drawing>
      </w:r>
      <w:r w:rsidR="00F03CA9" w:rsidRPr="002C492A">
        <w:rPr>
          <w:rStyle w:val="Caption1Char"/>
        </w:rPr>
        <w:t>Figure 32</w:t>
      </w:r>
      <w:r w:rsidR="002657F3" w:rsidRPr="002C492A">
        <w:rPr>
          <w:rStyle w:val="Caption1Char"/>
        </w:rPr>
        <w:t xml:space="preserve">. </w:t>
      </w:r>
      <w:r w:rsidR="00EE546F" w:rsidRPr="002C492A">
        <w:rPr>
          <w:rStyle w:val="Caption1Char"/>
        </w:rPr>
        <w:t>S</w:t>
      </w:r>
      <w:r w:rsidR="002657F3" w:rsidRPr="002C492A">
        <w:rPr>
          <w:rStyle w:val="Caption1Char"/>
        </w:rPr>
        <w:t xml:space="preserve"> concentration versus </w:t>
      </w:r>
      <w:r w:rsidR="00EE546F" w:rsidRPr="002C492A">
        <w:rPr>
          <w:rStyle w:val="Caption1Char"/>
        </w:rPr>
        <w:t>S</w:t>
      </w:r>
      <w:r w:rsidR="00AE2A1F" w:rsidRPr="002C492A">
        <w:rPr>
          <w:rStyle w:val="Caption1Char"/>
        </w:rPr>
        <w:t>b</w:t>
      </w:r>
      <w:r w:rsidR="00EE546F" w:rsidRPr="002C492A">
        <w:rPr>
          <w:rStyle w:val="Caption1Char"/>
        </w:rPr>
        <w:t xml:space="preserve"> concentration for all samples</w:t>
      </w:r>
      <w:r w:rsidR="002657F3" w:rsidRPr="002C492A">
        <w:rPr>
          <w:rStyle w:val="Caption1Char"/>
        </w:rPr>
        <w:t xml:space="preserve">. </w:t>
      </w:r>
      <w:r w:rsidR="00114812" w:rsidRPr="002C492A">
        <w:rPr>
          <w:rStyle w:val="Caption1Char"/>
        </w:rPr>
        <w:t>See text for more information.</w:t>
      </w:r>
    </w:p>
    <w:p w14:paraId="4831E678" w14:textId="432EBD06" w:rsidR="002657F3" w:rsidRPr="002C492A" w:rsidRDefault="00AB6127" w:rsidP="00CE0491">
      <w:pPr>
        <w:ind w:firstLine="0"/>
        <w:rPr>
          <w:rStyle w:val="Caption1Char"/>
        </w:rPr>
      </w:pPr>
      <w:r>
        <w:rPr>
          <w:rFonts w:cs="Times New Roman"/>
          <w:noProof/>
          <w:color w:val="000000"/>
          <w:szCs w:val="24"/>
          <w14:ligatures w14:val="standardContextual"/>
        </w:rPr>
        <w:lastRenderedPageBreak/>
        <w:drawing>
          <wp:inline distT="0" distB="0" distL="0" distR="0" wp14:anchorId="2972B841" wp14:editId="6A764934">
            <wp:extent cx="5943600" cy="2727960"/>
            <wp:effectExtent l="0" t="0" r="0" b="0"/>
            <wp:docPr id="1655365699" name="Picture 34" descr="Chart, scatter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365699" name="Picture 34" descr="Chart, scatter chart&#10;&#10;AI-generated content may be incorrect."/>
                    <pic:cNvPicPr/>
                  </pic:nvPicPr>
                  <pic:blipFill rotWithShape="1">
                    <a:blip r:embed="rId44" cstate="print">
                      <a:extLst>
                        <a:ext uri="{28A0092B-C50C-407E-A947-70E740481C1C}">
                          <a14:useLocalDpi xmlns:a14="http://schemas.microsoft.com/office/drawing/2010/main" val="0"/>
                        </a:ext>
                      </a:extLst>
                    </a:blip>
                    <a:srcRect t="898" b="7307"/>
                    <a:stretch/>
                  </pic:blipFill>
                  <pic:spPr bwMode="auto">
                    <a:xfrm>
                      <a:off x="0" y="0"/>
                      <a:ext cx="5943600" cy="2727960"/>
                    </a:xfrm>
                    <a:prstGeom prst="rect">
                      <a:avLst/>
                    </a:prstGeom>
                    <a:ln>
                      <a:noFill/>
                    </a:ln>
                    <a:extLst>
                      <a:ext uri="{53640926-AAD7-44D8-BBD7-CCE9431645EC}">
                        <a14:shadowObscured xmlns:a14="http://schemas.microsoft.com/office/drawing/2010/main"/>
                      </a:ext>
                    </a:extLst>
                  </pic:spPr>
                </pic:pic>
              </a:graphicData>
            </a:graphic>
          </wp:inline>
        </w:drawing>
      </w:r>
      <w:r w:rsidR="00F03CA9" w:rsidRPr="002C492A">
        <w:rPr>
          <w:rStyle w:val="Caption1Char"/>
        </w:rPr>
        <w:t>Figure 33</w:t>
      </w:r>
      <w:r w:rsidR="002657F3" w:rsidRPr="002C492A">
        <w:rPr>
          <w:rStyle w:val="Caption1Char"/>
        </w:rPr>
        <w:t xml:space="preserve">. </w:t>
      </w:r>
      <w:r w:rsidR="00AE2A1F" w:rsidRPr="002C492A">
        <w:rPr>
          <w:rStyle w:val="Caption1Char"/>
        </w:rPr>
        <w:t>S</w:t>
      </w:r>
      <w:r w:rsidR="00114812" w:rsidRPr="002C492A">
        <w:rPr>
          <w:rStyle w:val="Caption1Char"/>
        </w:rPr>
        <w:t xml:space="preserve"> concentration versus </w:t>
      </w:r>
      <w:r w:rsidR="00AE2A1F" w:rsidRPr="002C492A">
        <w:rPr>
          <w:rStyle w:val="Caption1Char"/>
        </w:rPr>
        <w:t>As</w:t>
      </w:r>
      <w:r w:rsidR="00114812" w:rsidRPr="002C492A">
        <w:rPr>
          <w:rStyle w:val="Caption1Char"/>
        </w:rPr>
        <w:t xml:space="preserve"> concentration for all samples. See text for more information.</w:t>
      </w:r>
    </w:p>
    <w:p w14:paraId="5DE3A957" w14:textId="77777777" w:rsidR="008D0A90" w:rsidRPr="00FB178B" w:rsidRDefault="008D0A90" w:rsidP="00EC61CD">
      <w:pPr>
        <w:rPr>
          <w:rFonts w:cs="Times New Roman"/>
          <w:color w:val="000000"/>
          <w:szCs w:val="24"/>
        </w:rPr>
      </w:pPr>
    </w:p>
    <w:p w14:paraId="02A7AB92" w14:textId="651B5360" w:rsidR="002657F3" w:rsidRPr="002C492A" w:rsidRDefault="00FB178B" w:rsidP="00CE0491">
      <w:pPr>
        <w:ind w:firstLine="0"/>
        <w:rPr>
          <w:rStyle w:val="Caption1Char"/>
        </w:rPr>
      </w:pPr>
      <w:r>
        <w:rPr>
          <w:rFonts w:cs="Times New Roman"/>
          <w:noProof/>
          <w:color w:val="000000"/>
          <w:szCs w:val="24"/>
          <w14:ligatures w14:val="standardContextual"/>
        </w:rPr>
        <w:drawing>
          <wp:inline distT="0" distB="0" distL="0" distR="0" wp14:anchorId="41167010" wp14:editId="4A6D9EEA">
            <wp:extent cx="5943398" cy="2719137"/>
            <wp:effectExtent l="0" t="0" r="635" b="5080"/>
            <wp:docPr id="1654031348" name="Picture 35" descr="Chart, scatter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031348" name="Picture 35" descr="Chart, scatter chart&#10;&#10;AI-generated content may be incorrect."/>
                    <pic:cNvPicPr/>
                  </pic:nvPicPr>
                  <pic:blipFill rotWithShape="1">
                    <a:blip r:embed="rId45" cstate="print">
                      <a:extLst>
                        <a:ext uri="{28A0092B-C50C-407E-A947-70E740481C1C}">
                          <a14:useLocalDpi xmlns:a14="http://schemas.microsoft.com/office/drawing/2010/main" val="0"/>
                        </a:ext>
                      </a:extLst>
                    </a:blip>
                    <a:srcRect t="1216" b="7284"/>
                    <a:stretch/>
                  </pic:blipFill>
                  <pic:spPr bwMode="auto">
                    <a:xfrm>
                      <a:off x="0" y="0"/>
                      <a:ext cx="5943600" cy="2719230"/>
                    </a:xfrm>
                    <a:prstGeom prst="rect">
                      <a:avLst/>
                    </a:prstGeom>
                    <a:ln>
                      <a:noFill/>
                    </a:ln>
                    <a:extLst>
                      <a:ext uri="{53640926-AAD7-44D8-BBD7-CCE9431645EC}">
                        <a14:shadowObscured xmlns:a14="http://schemas.microsoft.com/office/drawing/2010/main"/>
                      </a:ext>
                    </a:extLst>
                  </pic:spPr>
                </pic:pic>
              </a:graphicData>
            </a:graphic>
          </wp:inline>
        </w:drawing>
      </w:r>
      <w:r w:rsidR="00F03CA9" w:rsidRPr="002C492A">
        <w:rPr>
          <w:rStyle w:val="Caption1Char"/>
        </w:rPr>
        <w:t>Figure 34</w:t>
      </w:r>
      <w:r w:rsidR="00114812" w:rsidRPr="002C492A">
        <w:rPr>
          <w:rStyle w:val="Caption1Char"/>
        </w:rPr>
        <w:t xml:space="preserve">. </w:t>
      </w:r>
      <w:r w:rsidR="00256875" w:rsidRPr="002C492A">
        <w:rPr>
          <w:rStyle w:val="Caption1Char"/>
        </w:rPr>
        <w:t>S</w:t>
      </w:r>
      <w:r w:rsidR="00114812" w:rsidRPr="002C492A">
        <w:rPr>
          <w:rStyle w:val="Caption1Char"/>
        </w:rPr>
        <w:t xml:space="preserve"> concentration versus </w:t>
      </w:r>
      <w:r w:rsidR="00256875" w:rsidRPr="002C492A">
        <w:rPr>
          <w:rStyle w:val="Caption1Char"/>
        </w:rPr>
        <w:t>Te</w:t>
      </w:r>
      <w:r w:rsidR="00114812" w:rsidRPr="002C492A">
        <w:rPr>
          <w:rStyle w:val="Caption1Char"/>
        </w:rPr>
        <w:t xml:space="preserve"> concentration for all samples. See text for more information.</w:t>
      </w:r>
    </w:p>
    <w:p w14:paraId="2E8CD6D1" w14:textId="6D2E600C" w:rsidR="00CE437A" w:rsidRPr="004F21C9" w:rsidRDefault="00A9313E" w:rsidP="00354281">
      <w:pPr>
        <w:pStyle w:val="Heading2"/>
      </w:pPr>
      <w:bookmarkStart w:id="12" w:name="_Toc222230016"/>
      <w:r w:rsidRPr="004F21C9">
        <w:t>5.</w:t>
      </w:r>
      <w:r w:rsidR="008B507D" w:rsidRPr="004F21C9">
        <w:t>3</w:t>
      </w:r>
      <w:r w:rsidRPr="004F21C9">
        <w:t xml:space="preserve"> </w:t>
      </w:r>
      <w:r w:rsidR="003E382B" w:rsidRPr="004F21C9">
        <w:t>Principal Component Analysis</w:t>
      </w:r>
      <w:bookmarkEnd w:id="12"/>
    </w:p>
    <w:p w14:paraId="6C19EA96" w14:textId="10770E6F" w:rsidR="00CE437A" w:rsidRPr="00FA4EF4" w:rsidRDefault="00CE437A" w:rsidP="002C492A">
      <w:pPr>
        <w:rPr>
          <w:b/>
          <w:bCs/>
        </w:rPr>
      </w:pPr>
      <w:r w:rsidRPr="00FA4EF4">
        <w:t>Prior to principal component analysis (PCA), the dataset was assessed for elements to be included in PCA. In addition to the fourteen elements chosen as the main focus of this study (</w:t>
      </w:r>
      <w:r w:rsidR="00FA4EA6" w:rsidRPr="00FA4EF4">
        <w:t xml:space="preserve">F, </w:t>
      </w:r>
      <w:r w:rsidRPr="00FA4EF4">
        <w:t xml:space="preserve">W, Mn, Sb, Be, Bi, Te, Zn, As, Ga, Ge, V, Au, and Ag), nine elements </w:t>
      </w:r>
      <w:r w:rsidR="00483520" w:rsidRPr="00FA4EF4">
        <w:t xml:space="preserve">were added </w:t>
      </w:r>
      <w:r w:rsidRPr="00FA4EF4">
        <w:t xml:space="preserve">for PCA based </w:t>
      </w:r>
      <w:r w:rsidR="00457EF8" w:rsidRPr="00FA4EF4">
        <w:t xml:space="preserve">on </w:t>
      </w:r>
      <w:r w:rsidR="00921B50">
        <w:t xml:space="preserve">the </w:t>
      </w:r>
      <w:r w:rsidR="00457EF8" w:rsidRPr="00FA4EF4">
        <w:t>Tungsten</w:t>
      </w:r>
      <w:r w:rsidR="009E0D0B" w:rsidRPr="00FA4EF4">
        <w:t xml:space="preserve"> Queen deposit</w:t>
      </w:r>
      <w:r w:rsidR="00AE5DD7" w:rsidRPr="00FA4EF4">
        <w:t xml:space="preserve"> mineralogy</w:t>
      </w:r>
      <w:r w:rsidRPr="00FA4EF4">
        <w:t xml:space="preserve"> and</w:t>
      </w:r>
      <w:r w:rsidR="00575AD7" w:rsidRPr="00FA4EF4">
        <w:t>/or</w:t>
      </w:r>
      <w:r w:rsidRPr="00FA4EF4">
        <w:t xml:space="preserve"> </w:t>
      </w:r>
      <w:r w:rsidR="003F7DB2" w:rsidRPr="00FA4EF4">
        <w:t xml:space="preserve">their presence on </w:t>
      </w:r>
      <w:r w:rsidRPr="00FA4EF4">
        <w:t>the 2022 USGS Critical Mineral List.</w:t>
      </w:r>
      <w:r w:rsidRPr="00FA4EF4" w:rsidDel="002C7A0D">
        <w:t xml:space="preserve"> </w:t>
      </w:r>
      <w:r w:rsidRPr="00FA4EF4">
        <w:t>S</w:t>
      </w:r>
      <w:r w:rsidR="00632D6B" w:rsidRPr="00FA4EF4">
        <w:t>ulfur</w:t>
      </w:r>
      <w:r w:rsidRPr="00FA4EF4">
        <w:t xml:space="preserve"> and Pb were included because of the</w:t>
      </w:r>
      <w:r w:rsidR="007804EC" w:rsidRPr="00FA4EF4">
        <w:t>ir</w:t>
      </w:r>
      <w:r w:rsidRPr="00FA4EF4">
        <w:t xml:space="preserve"> presence </w:t>
      </w:r>
      <w:r w:rsidR="005F0836" w:rsidRPr="00FA4EF4">
        <w:t>in Tungsten</w:t>
      </w:r>
      <w:r w:rsidR="00815DFE" w:rsidRPr="00FA4EF4">
        <w:t xml:space="preserve"> Queen </w:t>
      </w:r>
      <w:r w:rsidR="004C4145" w:rsidRPr="00FA4EF4">
        <w:t>vein</w:t>
      </w:r>
      <w:r w:rsidR="00452CC7" w:rsidRPr="00FA4EF4">
        <w:t xml:space="preserve"> minerals</w:t>
      </w:r>
      <w:r w:rsidR="004C4145" w:rsidRPr="00FA4EF4">
        <w:t xml:space="preserve"> (Table 1)</w:t>
      </w:r>
      <w:r w:rsidR="00261A26" w:rsidRPr="00FA4EF4">
        <w:t>,</w:t>
      </w:r>
      <w:r w:rsidR="00456BE5" w:rsidRPr="00FA4EF4">
        <w:t xml:space="preserve"> while</w:t>
      </w:r>
      <w:r w:rsidRPr="00FA4EF4">
        <w:t xml:space="preserve"> </w:t>
      </w:r>
      <w:r w:rsidR="00456BE5" w:rsidRPr="00FA4EF4">
        <w:t>c</w:t>
      </w:r>
      <w:r w:rsidR="00362D43" w:rsidRPr="00FA4EF4">
        <w:t>ritical minerals lithium</w:t>
      </w:r>
      <w:r w:rsidRPr="00FA4EF4">
        <w:t xml:space="preserve"> </w:t>
      </w:r>
      <w:r w:rsidR="00362D43" w:rsidRPr="00FA4EF4">
        <w:t>(</w:t>
      </w:r>
      <w:r w:rsidRPr="00FA4EF4">
        <w:t>Li</w:t>
      </w:r>
      <w:r w:rsidR="00362D43" w:rsidRPr="00FA4EF4">
        <w:t>)</w:t>
      </w:r>
      <w:r w:rsidRPr="00FA4EF4">
        <w:t xml:space="preserve">, </w:t>
      </w:r>
      <w:r w:rsidR="00362D43" w:rsidRPr="00FA4EF4">
        <w:t>rubidium (</w:t>
      </w:r>
      <w:r w:rsidRPr="00FA4EF4">
        <w:t>Rb</w:t>
      </w:r>
      <w:r w:rsidR="00362D43" w:rsidRPr="00FA4EF4">
        <w:t>)</w:t>
      </w:r>
      <w:r w:rsidRPr="00FA4EF4">
        <w:t xml:space="preserve">, </w:t>
      </w:r>
      <w:r w:rsidR="00522FF4" w:rsidRPr="00FA4EF4">
        <w:t>yttrium (</w:t>
      </w:r>
      <w:r w:rsidRPr="00FA4EF4">
        <w:t>Y</w:t>
      </w:r>
      <w:r w:rsidR="00522FF4" w:rsidRPr="00FA4EF4">
        <w:t>)</w:t>
      </w:r>
      <w:r w:rsidRPr="00FA4EF4">
        <w:t xml:space="preserve">, </w:t>
      </w:r>
      <w:r w:rsidR="00522FF4" w:rsidRPr="00FA4EF4">
        <w:t>cesium (</w:t>
      </w:r>
      <w:r w:rsidRPr="00FA4EF4">
        <w:t>Cs</w:t>
      </w:r>
      <w:r w:rsidR="00522FF4" w:rsidRPr="00FA4EF4">
        <w:t>)</w:t>
      </w:r>
      <w:r w:rsidRPr="00FA4EF4">
        <w:t xml:space="preserve">, </w:t>
      </w:r>
      <w:r w:rsidR="00522FF4" w:rsidRPr="00FA4EF4">
        <w:t>dysprosium (</w:t>
      </w:r>
      <w:r w:rsidRPr="00FA4EF4">
        <w:t>Dy</w:t>
      </w:r>
      <w:r w:rsidR="00522FF4" w:rsidRPr="00FA4EF4">
        <w:t>)</w:t>
      </w:r>
      <w:r w:rsidRPr="00FA4EF4">
        <w:t xml:space="preserve">, </w:t>
      </w:r>
      <w:r w:rsidR="00546D04" w:rsidRPr="00FA4EF4">
        <w:t>erbium (</w:t>
      </w:r>
      <w:r w:rsidRPr="00FA4EF4">
        <w:t>Er</w:t>
      </w:r>
      <w:r w:rsidR="00546D04" w:rsidRPr="00FA4EF4">
        <w:t>)</w:t>
      </w:r>
      <w:r w:rsidRPr="00FA4EF4">
        <w:t xml:space="preserve">, and </w:t>
      </w:r>
      <w:r w:rsidR="00546D04" w:rsidRPr="00FA4EF4">
        <w:t>ytterbium (</w:t>
      </w:r>
      <w:r w:rsidRPr="00FA4EF4">
        <w:t>Yb</w:t>
      </w:r>
      <w:r w:rsidR="00546D04" w:rsidRPr="00FA4EF4">
        <w:t>)</w:t>
      </w:r>
      <w:r w:rsidRPr="00FA4EF4">
        <w:t xml:space="preserve"> were included because </w:t>
      </w:r>
      <w:r w:rsidR="00456BE5" w:rsidRPr="00FA4EF4">
        <w:t>their concentrations are</w:t>
      </w:r>
      <w:r w:rsidRPr="00FA4EF4">
        <w:t xml:space="preserve"> above the analysis detection limit. Thus, the following 23 elements w</w:t>
      </w:r>
      <w:r w:rsidR="00426A35" w:rsidRPr="00FA4EF4">
        <w:t>ere</w:t>
      </w:r>
      <w:r w:rsidRPr="00FA4EF4">
        <w:t xml:space="preserve"> used for PCA: Li, Be, F, S, V, Mn, Zn, Ga, Ge, As, Rb, Y, Ag, Sb, Te, Cs, Dy, Er, Yb, W, Au, Pb, and Bi. Data were then transformed and normalized prior to PCA to make the dataset into one of independent variables not affected by the sum-constant or “closure” problem </w:t>
      </w:r>
      <w:r w:rsidRPr="00FA4EF4">
        <w:fldChar w:fldCharType="begin" w:fldLock="1"/>
      </w:r>
      <w:r w:rsidR="000803CE" w:rsidRPr="00FA4EF4">
        <w:instrText xml:space="preserve"> ADDIN ZOTERO_ITEM CSL_CITATION {"citationID":"yR3gdFtB","properties":{"formattedCitation":"(Chayes, 1960; Le Maitre, 1982; Aitchison, 1984; Greenacre, 2021)","plainCitation":"(Chayes, 1960; Le Maitre, 1982; Aitchison, 1984; Greenacre, 2021)","noteIndex":0},"citationItems":[{"id":"lZCh4LFD/aNldT53t","uris":["http://www.mendeley.com/documents/?uuid=5787ddab-6907-490a-8570-aa25f87834cb"],"itemData":{"DOI":"10.1146/annurev-statistics-042720-124436","ISSN":"2326831X","abstract":"Compositional data are nonnegative data carrying relative, rather than absolute, information-these are often data with a constant-sum constraint on the sample values, for example, proportions or percentages summing to 1% or 100%, respectively. Ratios between components of a composition are important since they are unaffected by the particular set of components chosen. Logarithms of ratios (logratios) are the fundamental transformation in the ratio approach to compositional data analysis-all data thus need to be strictly positive, so that zero values present a major problem. Components that group together based on domain knowledge can be amalgamated (i.e., summed) to create new components, and this can alleviate the problem of data zeros. Once compositional data are transformed to logratios, regular univariate and multivariate statistical analysis can be performed, such as dimension reduction and clustering, as well as modeling. Alternative methodologies that come close to the ideals of the logratio approach are also considered, especially those that avoid the problem of data zeros, which is particularly acute in large bioinformatic data sets.","author":[{"dropping-particle":"","family":"Greenacre","given":"Michael","non-dropping-particle":"","parse-names":false,"suffix":""}],"container-title":"Annual Review of Statistics and Its Application","id":"ITEM-1","issued":{"date-parts":[["2021"]]},"page":"271-299","title":"Compositional data analysis","type":"article-journal","volume":"8"}},{"id":"lZCh4LFD/DI3Dhxni","uris":["http://www.mendeley.com/documents/?uuid=1319c7ff-4f18-4063-97ca-f87271484780"],"itemData":{"author":[{"dropping-particle":"","family":"Chayes","given":"F.","non-dropping-particle":"","parse-names":false,"suffix":""}],"container-title":"Journal of Geophysical Research","id":"ITEM-2","issue":"12","issued":{"date-parts":[["1960"]]},"title":"On correlation between variables of constant sum","type":"article-journal","volume":"65"}},{"id":"lZCh4LFD/kwyt8jYm","uris":["http://www.mendeley.com/documents/?uuid=85ba7870-dabb-4b79-ac35-039744cfcf06"],"itemData":{"DOI":"https://doi.org/10.1016/B978-0-444-42098-5.50008-0","ISBN":"0167-2894","author":[{"dropping-particle":"","family":"Maitre","given":"R. W.","non-dropping-particle":"Le","parse-names":false,"suffix":""}],"container-title":"Numerical Petrology","editor":[{"dropping-particle":"","family":"MAITRE","given":"R W B T - Developments in Petrology","non-dropping-particle":"LE","parse-names":false,"suffix":""}],"id":"ITEM-3","issued":{"date-parts":[["1982"]]},"page":"39-57","publisher":"Elsevier","title":"Chapter 4 - Linear Relationships Between Two Variables","type":"chapter","volume":"8"}},{"id":"lZCh4LFD/YPFxcu8D","uris":["http://www.mendeley.com/documents/?uuid=1d580aba-2d90-4c8d-95c0-6aa4703c8d16"],"itemData":{"author":[{"dropping-particle":"","family":"Aitchison","given":"John","non-dropping-particle":"","parse-names":false,"suffix":""}],"id":"ITEM-4","issue":"6","issued":{"date-parts":[["1984"]]},"page":"15-18","title":"The Statistical Analysis of Geochemical Compositions","type":"article-journal","volume":"16"}}],"schema":"https://github.com/citation-style-language/schema/raw/master/csl-citation.json"} </w:instrText>
      </w:r>
      <w:r w:rsidRPr="00FA4EF4">
        <w:fldChar w:fldCharType="separate"/>
      </w:r>
      <w:r w:rsidRPr="00FA4EF4">
        <w:t>(Chayes, 1960; Le Maitre, 1982; Aitchison, 1984; Greenacre, 2021)</w:t>
      </w:r>
      <w:r w:rsidRPr="00FA4EF4">
        <w:fldChar w:fldCharType="end"/>
      </w:r>
      <w:r w:rsidRPr="00FA4EF4">
        <w:t>. Data were transformed using the centered log-</w:t>
      </w:r>
      <w:r w:rsidRPr="00FA4EF4">
        <w:lastRenderedPageBreak/>
        <w:t xml:space="preserve">ratio transformation </w:t>
      </w:r>
      <w:r w:rsidRPr="00FA4EF4">
        <w:fldChar w:fldCharType="begin" w:fldLock="1"/>
      </w:r>
      <w:r w:rsidR="000803CE" w:rsidRPr="00FA4EF4">
        <w:instrText xml:space="preserve"> ADDIN ZOTERO_ITEM CSL_CITATION {"citationID":"rABHEEcZ","properties":{"formattedCitation":"(Pawlowsky-Glahn et al., 2015)","plainCitation":"(Pawlowsky-Glahn et al., 2015)","noteIndex":0},"citationItems":[{"id":"lZCh4LFD/To3Ieghd","uris":["http://www.mendeley.com/documents/?uuid=af0035c6-125f-47aa-9c07-7528dfa4dbeb"],"itemData":{"DOI":"10.1002/9781119003144","ISBN":"9781119003144","abstract":"Modeling and Analysis of Compositional Data presents a practical and comprehensive introduction to the analysis of compositional data along with numerous examples to illustrate both theory and application of each method. Based upon short courses delivered by the authors, it provides a complete and current compendium of fundamental to advanced methodologies along with exercises at the end of each chapter to improve understanding, as well as data and a solutions manual which is available on an accompanying website. Complementing Pawlowsky-Glahn's earlier collective text that provides an overview of the state-of-the-art in this field, Modeling and Analysis of Compositional Data fills a gap in the literature for a much-needed manual for teaching, self learning or consulting.","author":[{"dropping-particle":"","family":"Pawlowsky-Glahn","given":"Vera","non-dropping-particle":"","parse-names":false,"suffix":""},{"dropping-particle":"","family":"Egozcue","given":"Juan José","non-dropping-particle":"","parse-names":false,"suffix":""},{"dropping-particle":"","family":"Tolosana-Delgado","given":"Raimon","non-dropping-particle":"","parse-names":false,"suffix":""}],"container-title":"Modeling and Analysis of Compositional Data","id":"ITEM-1","issued":{"date-parts":[["2015"]]},"number-of-pages":"1-247","title":"Modeling and Analysis of Compositional Data","type":"book"}}],"schema":"https://github.com/citation-style-language/schema/raw/master/csl-citation.json"} </w:instrText>
      </w:r>
      <w:r w:rsidRPr="00FA4EF4">
        <w:fldChar w:fldCharType="separate"/>
      </w:r>
      <w:r w:rsidRPr="00FA4EF4">
        <w:t>(Pawlowsky-Glahn et al., 2015)</w:t>
      </w:r>
      <w:r w:rsidRPr="00FA4EF4">
        <w:fldChar w:fldCharType="end"/>
      </w:r>
      <w:r w:rsidRPr="00FA4EF4">
        <w:t xml:space="preserve">, and data were then normalized using the median and standard deviation </w:t>
      </w:r>
      <w:r w:rsidRPr="00FA4EF4">
        <w:fldChar w:fldCharType="begin" w:fldLock="1"/>
      </w:r>
      <w:r w:rsidR="000803CE" w:rsidRPr="00FA4EF4">
        <w:instrText xml:space="preserve"> ADDIN ZOTERO_ITEM CSL_CITATION {"citationID":"834yDrXg","properties":{"formattedCitation":"(Boschetty et al., 2022)","plainCitation":"(Boschetty et al., 2022)","noteIndex":0},"citationItems":[{"id":"lZCh4LFD/2DxPBaM7","uris":["http://www.mendeley.com/documents/?uuid=14168145-a5b5-421e-847e-718f2411007e"],"itemData":{"DOI":"10.1029/2022GC010333","ISSN":"15252027","abstract":"A key method to investigate magma dynamics is the analysis of the crystal cargoes carried by erupted magmas. These cargoes may comprise crystals that crystallize in different parts of the magmatic system (throughout the crust) and/or at different times. While an individual eruption likely provides a partial view of the subvolcanic plumbing system, compiling data from multiple eruptions can build a picture of a whole magmatic system. In this study, we use machine learning techniques to analyze a large (&gt;2,000) compilation of mineral compositions from a highly active arc volcano: Villarrica, Chile. Villarrica's postglacial eruptive activity (14 ka–present) displays large variation in eruptive style (mafic ignimbrites to Hawaiian style effusive eruptions), yet its eruptive products have a near constant basalt-basaltic andesite bulk-rock composition. What therefore, is driving explosive eruptions at Villarrica and can differences in storage dynamics be related to eruptive style? Here, we use a hierarchical cluster analysis to detect previously unseen structure in the composition of olivine, plagioclase and clinopyroxene crystals erupted at Villarrica, revealing the presence of compositionally distinct clusters within each crystal population. Using rhyolite-MELTS thermodynamic modeling, we related these clusters to intensive magmatic variables: temperature, pressure, water content, and oxygen fugacity. Our results provide evidence for the existence of multiple discrete (spatial and temporal) magma reservoirs beneath Villarrica where melts differentiate and mix with incoming more primitive magma. The compositional diversity within an erupted crystal cargo strongly correlates with eruptive intensity, and we postulate that mixing between primitive and differentiated magma drives explosive activity at Villarrica.","author":[{"dropping-particle":"","family":"Boschetty","given":"Felix O.","non-dropping-particle":"","parse-names":false,"suffix":""},{"dropping-particle":"","family":"Ferguson","given":"David J.","non-dropping-particle":"","parse-names":false,"suffix":""},{"dropping-particle":"","family":"Cortés","given":"Joaquín A.","non-dropping-particle":"","parse-names":false,"suffix":""},{"dropping-particle":"","family":"Morgado","given":"Eduardo","non-dropping-particle":"","parse-names":false,"suffix":""},{"dropping-particle":"","family":"Ebmeier","given":"Susanna K.","non-dropping-particle":"","parse-names":false,"suffix":""},{"dropping-particle":"","family":"Morgan","given":"Daniel J.","non-dropping-particle":"","parse-names":false,"suffix":""},{"dropping-particle":"","family":"Romero","given":"Jorge E.","non-dropping-particle":"","parse-names":false,"suffix":""},{"dropping-particle":"","family":"Silva Parejas","given":"Carolina","non-dropping-particle":"","parse-names":false,"suffix":""}],"container-title":"Geochemistry, Geophysics, Geosystems","id":"ITEM-1","issue":"4","issued":{"date-parts":[["2022"]]},"page":"1-24","title":"Insights Into Magma Storage Beneath a Frequently Erupting Arc Volcano (Villarrica, Chile) From Unsupervised Machine Learning Analysis of Mineral Compositions","type":"article-journal","volume":"23"}}],"schema":"https://github.com/citation-style-language/schema/raw/master/csl-citation.json"} </w:instrText>
      </w:r>
      <w:r w:rsidRPr="00FA4EF4">
        <w:fldChar w:fldCharType="separate"/>
      </w:r>
      <w:r w:rsidRPr="00FA4EF4">
        <w:t>(Boschetty et al., 2022)</w:t>
      </w:r>
      <w:r w:rsidRPr="00FA4EF4">
        <w:fldChar w:fldCharType="end"/>
      </w:r>
      <w:r w:rsidRPr="00FA4EF4">
        <w:t xml:space="preserve">. The PCA was performed using the freeware program R </w:t>
      </w:r>
      <w:r w:rsidRPr="00FA4EF4">
        <w:fldChar w:fldCharType="begin" w:fldLock="1"/>
      </w:r>
      <w:r w:rsidR="000803CE" w:rsidRPr="00FA4EF4">
        <w:instrText xml:space="preserve"> ADDIN ZOTERO_ITEM CSL_CITATION {"citationID":"p5aaXiU2","properties":{"formattedCitation":"(R Core Team, 2022)","plainCitation":"(R Core Team, 2022)","noteIndex":0},"citationItems":[{"id":"lZCh4LFD/9qDfUetr","uris":["http://www.mendeley.com/documents/?uuid=d9c727f6-d69a-47b1-b542-ac45ad261592"],"itemData":{"author":[{"dropping-particle":"","family":"R Core Team","given":"","non-dropping-particle":"","parse-names":false,"suffix":""}],"id":"ITEM-1","issued":{"date-parts":[["2022"]]},"publisher":"R Foundation for Statistical Computing","publisher-place":"Vienna","title":"R: A Language and Environment for Statistical Computing","type":"book"}}],"schema":"https://github.com/citation-style-language/schema/raw/master/csl-citation.json"} </w:instrText>
      </w:r>
      <w:r w:rsidRPr="00FA4EF4">
        <w:fldChar w:fldCharType="separate"/>
      </w:r>
      <w:r w:rsidRPr="00FA4EF4">
        <w:t>(R Core Team, 2022)</w:t>
      </w:r>
      <w:r w:rsidRPr="00FA4EF4">
        <w:fldChar w:fldCharType="end"/>
      </w:r>
      <w:r w:rsidRPr="00FA4EF4">
        <w:t>.</w:t>
      </w:r>
    </w:p>
    <w:p w14:paraId="3BA33575" w14:textId="7029B8B6" w:rsidR="00CE437A" w:rsidRPr="00FA4EF4" w:rsidRDefault="00CE437A" w:rsidP="002C492A">
      <w:r w:rsidRPr="00FA4EF4">
        <w:t xml:space="preserve">PCA </w:t>
      </w:r>
      <w:r w:rsidR="001E3088" w:rsidRPr="00FA4EF4">
        <w:t xml:space="preserve">results </w:t>
      </w:r>
      <w:r w:rsidRPr="00FA4EF4">
        <w:t xml:space="preserve">are </w:t>
      </w:r>
      <w:r w:rsidR="00882502" w:rsidRPr="00FA4EF4">
        <w:t xml:space="preserve">given </w:t>
      </w:r>
      <w:r w:rsidRPr="00FA4EF4">
        <w:t xml:space="preserve">in </w:t>
      </w:r>
      <w:r w:rsidR="009D5F2E" w:rsidRPr="00FA4EF4">
        <w:t>Figure 35</w:t>
      </w:r>
      <w:r w:rsidR="00882502" w:rsidRPr="00FA4EF4">
        <w:t xml:space="preserve"> and </w:t>
      </w:r>
      <w:r w:rsidR="00BB6BBF" w:rsidRPr="00FA4EF4">
        <w:t xml:space="preserve">in the </w:t>
      </w:r>
      <w:r w:rsidR="003A7B7C" w:rsidRPr="00FA4EF4">
        <w:t>“</w:t>
      </w:r>
      <w:r w:rsidR="00BB6BBF" w:rsidRPr="00FA4EF4">
        <w:t>PCA Results</w:t>
      </w:r>
      <w:r w:rsidR="003A7B7C" w:rsidRPr="00FA4EF4">
        <w:t>”</w:t>
      </w:r>
      <w:r w:rsidR="00BB6BBF" w:rsidRPr="00FA4EF4">
        <w:t xml:space="preserve"> tab of </w:t>
      </w:r>
      <w:r w:rsidR="00882502" w:rsidRPr="00FA4EF4">
        <w:t>Appendix</w:t>
      </w:r>
      <w:r w:rsidR="0091508B" w:rsidRPr="00FA4EF4">
        <w:t xml:space="preserve"> 4</w:t>
      </w:r>
      <w:r w:rsidR="003A7B7C" w:rsidRPr="00FA4EF4">
        <w:t>, while</w:t>
      </w:r>
      <w:r w:rsidRPr="00FA4EF4">
        <w:t xml:space="preserve"> eigenvectors used to draw the vectors in </w:t>
      </w:r>
      <w:r w:rsidR="009D5F2E" w:rsidRPr="00FA4EF4">
        <w:t>Figure 35</w:t>
      </w:r>
      <w:r w:rsidRPr="00FA4EF4">
        <w:t xml:space="preserve"> are provided in </w:t>
      </w:r>
      <w:r w:rsidR="0063715F" w:rsidRPr="00FA4EF4">
        <w:t>the “PCA Eigenvectors” tab of Appendix 4</w:t>
      </w:r>
      <w:r w:rsidRPr="00FA4EF4">
        <w:t xml:space="preserve">. Principal component 1 accounts for 37% of the variance in the dataset, and principal component 2 accounts for 23% of the variance. Grab samples are dominated by positive principal component 1, and composite samples are dominated by negative principal component 2. Drill core samples are dominated by negative principal component </w:t>
      </w:r>
      <w:r w:rsidR="00E02D18" w:rsidRPr="00FA4EF4">
        <w:t>2 but</w:t>
      </w:r>
      <w:r w:rsidRPr="00FA4EF4">
        <w:t xml:space="preserve"> have the widest scatter on </w:t>
      </w:r>
      <w:r w:rsidR="009D5F2E" w:rsidRPr="00FA4EF4">
        <w:t>Figure 35</w:t>
      </w:r>
      <w:r w:rsidRPr="00FA4EF4">
        <w:t xml:space="preserve">. Eigenvectors of W and Mn both plot in quadrant 3 (negative </w:t>
      </w:r>
    </w:p>
    <w:p w14:paraId="7F4695ED" w14:textId="77777777" w:rsidR="00CE437A" w:rsidRPr="00FA4EF4" w:rsidRDefault="00CE437A" w:rsidP="000E135F">
      <w:pPr>
        <w:ind w:firstLine="0"/>
        <w:rPr>
          <w:rFonts w:cs="Times New Roman"/>
          <w:szCs w:val="24"/>
        </w:rPr>
      </w:pPr>
      <w:r w:rsidRPr="00FA4EF4">
        <w:rPr>
          <w:rFonts w:cs="Times New Roman"/>
          <w:noProof/>
          <w:szCs w:val="24"/>
          <w14:ligatures w14:val="standardContextual"/>
        </w:rPr>
        <w:drawing>
          <wp:inline distT="0" distB="0" distL="0" distR="0" wp14:anchorId="664EBA9D" wp14:editId="369698B8">
            <wp:extent cx="4260584" cy="3017520"/>
            <wp:effectExtent l="0" t="0" r="6985" b="0"/>
            <wp:docPr id="23425106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251066" name="Picture 1" descr="A screenshot of a computer&#10;&#10;AI-generated content may be incorrect."/>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260584" cy="3017520"/>
                    </a:xfrm>
                    <a:prstGeom prst="rect">
                      <a:avLst/>
                    </a:prstGeom>
                  </pic:spPr>
                </pic:pic>
              </a:graphicData>
            </a:graphic>
          </wp:inline>
        </w:drawing>
      </w:r>
    </w:p>
    <w:p w14:paraId="65FC58EF" w14:textId="4385BA5C" w:rsidR="004B3042" w:rsidRPr="00FA4EF4" w:rsidRDefault="009D5F2E" w:rsidP="002C492A">
      <w:pPr>
        <w:pStyle w:val="Caption1"/>
      </w:pPr>
      <w:r w:rsidRPr="00FA4EF4">
        <w:t>Figure 35</w:t>
      </w:r>
      <w:r w:rsidR="00CE437A" w:rsidRPr="00FA4EF4">
        <w:t xml:space="preserve">. Results of PCA. Eigenvectors used to draw vectors are provided in </w:t>
      </w:r>
      <w:r w:rsidR="00414A31">
        <w:t>Appendix 4</w:t>
      </w:r>
      <w:r w:rsidR="00CE437A" w:rsidRPr="00FA4EF4">
        <w:t xml:space="preserve">. </w:t>
      </w:r>
    </w:p>
    <w:p w14:paraId="14D56E49" w14:textId="33883B48" w:rsidR="006941F3" w:rsidRDefault="006941F3" w:rsidP="002C492A">
      <w:pPr>
        <w:ind w:firstLine="0"/>
      </w:pPr>
      <w:r w:rsidRPr="00FA4EF4">
        <w:t>principal components 1 and 2), with S and Zn. Other major elements related to sulf</w:t>
      </w:r>
      <w:r w:rsidR="00D76C7B">
        <w:t>ide</w:t>
      </w:r>
      <w:r w:rsidRPr="00FA4EF4">
        <w:t xml:space="preserve"> minerals, Pb and As, plot in quadrant 4 (positive principal component 1, negative principal component 2), along with Te, Ag, Sb, and Bi. Quadrant 1 (positive principal components 1 and 2) contains Ga, Ge, Be, Cs, Li, Rb, and V, and quadrant 2 (positive principal component 2, negative principal component 1) contains F, Au, Y, Dy, Er, and Yb. The rare earth elements (REE) used in this PCA (Dy, Er, Yb, and Y) cluster together in PCA space, and Rb and V also closely align in PCA space (Figure 35).</w:t>
      </w:r>
    </w:p>
    <w:p w14:paraId="4161F4CE" w14:textId="5D4364B8" w:rsidR="004B3042" w:rsidRPr="00FA4EF4" w:rsidRDefault="0019603F" w:rsidP="002C492A">
      <w:pPr>
        <w:rPr>
          <w:color w:val="000000"/>
        </w:rPr>
      </w:pPr>
      <w:r w:rsidRPr="00FA4EF4">
        <w:t xml:space="preserve">The PCA results shown in Figure 35 are complementary to the bivariate plots in Section 5.2, and these PCA results can sometimes be correlated to mineral chemistry. For instance, hubnerite elements Mn and W are positively correlated in Figure 31, and their PCA eigenvectors point in the same quadrant in Figure 35, indicating that they behave similarly in this geochemical dataset. The sphalerite elements Zn and S also plot in the same quadrant, showing that the mineralogy of this particular sulfide is coherent in PCA. Other sulfide-related elements like Pb, Sb, As, and Te, plot together in quadrant 4, away from S. This could indicate a breakdown of certain sulfide minerals in the tailings impoundment over time. In addition, REE (Y, Dy, Er, and Yb) have eigenvectors in quadrant 2 of Figure 35, which is logical given their geochemical affinity. Further detailed mineral chemistry analysis would be needed to discern in which phases these REE are residing.  </w:t>
      </w:r>
    </w:p>
    <w:p w14:paraId="6E5B1BC2" w14:textId="4623C2DC" w:rsidR="007A3A1C" w:rsidRPr="004F21C9" w:rsidRDefault="00A9313E" w:rsidP="00354281">
      <w:pPr>
        <w:pStyle w:val="Heading2"/>
      </w:pPr>
      <w:bookmarkStart w:id="13" w:name="_Toc222230017"/>
      <w:r w:rsidRPr="004F21C9">
        <w:lastRenderedPageBreak/>
        <w:t>5.</w:t>
      </w:r>
      <w:r w:rsidR="008B507D" w:rsidRPr="004F21C9">
        <w:t>4</w:t>
      </w:r>
      <w:r w:rsidRPr="004F21C9">
        <w:t xml:space="preserve"> </w:t>
      </w:r>
      <w:r w:rsidR="00770FA8" w:rsidRPr="004F21C9">
        <w:t xml:space="preserve">Volume </w:t>
      </w:r>
      <w:r w:rsidR="004B3042" w:rsidRPr="004F21C9">
        <w:t>Calculations</w:t>
      </w:r>
      <w:bookmarkEnd w:id="13"/>
    </w:p>
    <w:p w14:paraId="2AE5230F" w14:textId="109BEB02" w:rsidR="00F25667" w:rsidRPr="006177C5" w:rsidRDefault="000D4788" w:rsidP="002C492A">
      <w:pPr>
        <w:rPr>
          <w:color w:val="000000"/>
        </w:rPr>
      </w:pPr>
      <w:r w:rsidRPr="00FA4EF4">
        <w:t xml:space="preserve">The bulk mine tailings analysis consisted of </w:t>
      </w:r>
      <w:r w:rsidR="005021DD" w:rsidRPr="00FA4EF4">
        <w:t>entering</w:t>
      </w:r>
      <w:r w:rsidRPr="00FA4EF4">
        <w:t xml:space="preserve"> </w:t>
      </w:r>
      <w:r w:rsidR="00095696" w:rsidRPr="00FA4EF4">
        <w:t>1) contour</w:t>
      </w:r>
      <w:r w:rsidR="005021DD" w:rsidRPr="00FA4EF4">
        <w:t xml:space="preserve"> lines from a pre-tailings </w:t>
      </w:r>
      <w:r w:rsidR="00280DBB" w:rsidRPr="00FA4EF4">
        <w:t>topographic</w:t>
      </w:r>
      <w:r w:rsidR="005021DD" w:rsidRPr="00FA4EF4">
        <w:t xml:space="preserve"> map; </w:t>
      </w:r>
      <w:r w:rsidR="00BD6139" w:rsidRPr="00FA4EF4">
        <w:t xml:space="preserve">2) </w:t>
      </w:r>
      <w:r w:rsidR="005021DD" w:rsidRPr="00FA4EF4">
        <w:t xml:space="preserve">an area of interest polygon; and </w:t>
      </w:r>
      <w:r w:rsidR="00FA0BAD" w:rsidRPr="00FA4EF4">
        <w:t xml:space="preserve">3) </w:t>
      </w:r>
      <w:r w:rsidR="005021DD" w:rsidRPr="00FA4EF4">
        <w:t>contour lines from a modern (2020) LiDAR-derived digital elevation model (DEM)</w:t>
      </w:r>
      <w:r w:rsidRPr="00FA4EF4">
        <w:t xml:space="preserve"> into an Esri ArcGIS Pro, version 3.2 workflow. </w:t>
      </w:r>
      <w:r w:rsidR="00593399" w:rsidRPr="00FA4EF4">
        <w:t xml:space="preserve">The first </w:t>
      </w:r>
      <w:r w:rsidR="005A5F89" w:rsidRPr="00FA4EF4">
        <w:t>step</w:t>
      </w:r>
      <w:r w:rsidR="00593399" w:rsidRPr="00FA4EF4">
        <w:t xml:space="preserve"> </w:t>
      </w:r>
      <w:r w:rsidR="005A5F89" w:rsidRPr="00FA4EF4">
        <w:t>in</w:t>
      </w:r>
      <w:r w:rsidR="00593399" w:rsidRPr="00FA4EF4">
        <w:t xml:space="preserve"> the </w:t>
      </w:r>
      <w:r w:rsidR="00AF09BA" w:rsidRPr="00FA4EF4">
        <w:t>workflow</w:t>
      </w:r>
      <w:r w:rsidR="00593399" w:rsidRPr="00FA4EF4">
        <w:t xml:space="preserve"> </w:t>
      </w:r>
      <w:r w:rsidR="005A5F89" w:rsidRPr="00FA4EF4">
        <w:t>was necessary for</w:t>
      </w:r>
      <w:r w:rsidR="00593399" w:rsidRPr="00FA4EF4">
        <w:t xml:space="preserve"> </w:t>
      </w:r>
      <w:r w:rsidR="00AF09BA" w:rsidRPr="00FA4EF4">
        <w:t>determining a</w:t>
      </w:r>
      <w:r w:rsidR="00BA1F4D" w:rsidRPr="00FA4EF4">
        <w:t xml:space="preserve"> pre-tailings ground surface</w:t>
      </w:r>
      <w:r w:rsidR="005E361E" w:rsidRPr="00FA4EF4">
        <w:t xml:space="preserve">. </w:t>
      </w:r>
      <w:r w:rsidR="00FB47D6" w:rsidRPr="00FA4EF4">
        <w:t xml:space="preserve">Since </w:t>
      </w:r>
      <w:r w:rsidR="00CA49CD" w:rsidRPr="00FA4EF4">
        <w:t xml:space="preserve">large-scale mining began in </w:t>
      </w:r>
      <w:r w:rsidR="000C67EC" w:rsidRPr="00FA4EF4">
        <w:t xml:space="preserve">mid-1943, </w:t>
      </w:r>
      <w:r w:rsidR="00FB348A" w:rsidRPr="00FA4EF4">
        <w:t>topographic map</w:t>
      </w:r>
      <w:r w:rsidR="00CC758A" w:rsidRPr="00FA4EF4">
        <w:t xml:space="preserve"> contours</w:t>
      </w:r>
      <w:r w:rsidR="00DD6AD0" w:rsidRPr="00FA4EF4">
        <w:t xml:space="preserve"> from a </w:t>
      </w:r>
      <w:r w:rsidR="004E36DB" w:rsidRPr="00FA4EF4">
        <w:t xml:space="preserve">1943 </w:t>
      </w:r>
      <w:r w:rsidR="00DD6AD0" w:rsidRPr="00FA4EF4">
        <w:t>mineral investigation summary report</w:t>
      </w:r>
      <w:r w:rsidR="00FB348A" w:rsidRPr="00FA4EF4">
        <w:t xml:space="preserve"> </w:t>
      </w:r>
      <w:r w:rsidR="00FB348A" w:rsidRPr="00FA4EF4">
        <w:fldChar w:fldCharType="begin"/>
      </w:r>
      <w:r w:rsidR="00FB348A" w:rsidRPr="00FA4EF4">
        <w:instrText xml:space="preserve"> ADDIN ZOTERO_ITEM CSL_CITATION {"citationID":"oefnjVEF","properties":{"formattedCitation":"(White, 1943)","plainCitation":"(White, 1943)","noteIndex":0},"citationItems":[{"id":217,"uris":["http://zotero.org/users/17206691/items/8AW2QYK9"],"itemData":{"id":217,"type":"report","collection-title":"Mineral Investigation I","publisher":"North Carolina Department of Conservation and Development Division of Mineral Resources","title":"Tungsten Deposit Near Townsville, North Carolina (Advance Report)","author":[{"family":"White","given":"William A."}],"issued":{"date-parts":[["1943"]]}}}],"schema":"https://github.com/citation-style-language/schema/raw/master/csl-citation.json"} </w:instrText>
      </w:r>
      <w:r w:rsidR="00FB348A" w:rsidRPr="00FA4EF4">
        <w:fldChar w:fldCharType="separate"/>
      </w:r>
      <w:r w:rsidR="00FB348A" w:rsidRPr="00FA4EF4">
        <w:t>(White, 1943)</w:t>
      </w:r>
      <w:r w:rsidR="00FB348A" w:rsidRPr="00FA4EF4">
        <w:fldChar w:fldCharType="end"/>
      </w:r>
      <w:r w:rsidR="00DD6AD0" w:rsidRPr="00FA4EF4">
        <w:t xml:space="preserve"> </w:t>
      </w:r>
      <w:r w:rsidR="002F2A18" w:rsidRPr="00FA4EF4">
        <w:t>were georeferenced</w:t>
      </w:r>
      <w:r w:rsidR="00FB348A" w:rsidRPr="00FA4EF4">
        <w:t xml:space="preserve"> as a starting point for the</w:t>
      </w:r>
      <w:r w:rsidR="00DD6AD0" w:rsidRPr="00FA4EF4">
        <w:t xml:space="preserve"> pre-tailings surface </w:t>
      </w:r>
      <w:r w:rsidR="005D4A76" w:rsidRPr="00FA4EF4">
        <w:t>(</w:t>
      </w:r>
      <w:r w:rsidR="009D5F2E" w:rsidRPr="00FA4EF4">
        <w:t>Figure 36</w:t>
      </w:r>
      <w:r w:rsidR="005D4A76" w:rsidRPr="00FA4EF4">
        <w:t>)</w:t>
      </w:r>
      <w:r w:rsidR="00335D0D" w:rsidRPr="00FA4EF4">
        <w:t xml:space="preserve">. </w:t>
      </w:r>
      <w:r w:rsidR="00600772" w:rsidRPr="00FA4EF4">
        <w:t xml:space="preserve">To better constrain the actual </w:t>
      </w:r>
      <w:r w:rsidR="00E051A7" w:rsidRPr="00FA4EF4">
        <w:t xml:space="preserve">pre-tailings </w:t>
      </w:r>
      <w:r w:rsidR="00E03A3F" w:rsidRPr="00FA4EF4">
        <w:t>surface</w:t>
      </w:r>
      <w:r w:rsidR="00E051A7" w:rsidRPr="00FA4EF4">
        <w:t xml:space="preserve"> and account for ground surface modifications </w:t>
      </w:r>
      <w:r w:rsidR="006C62BB" w:rsidRPr="00FA4EF4">
        <w:t>not reflected in the topographic map</w:t>
      </w:r>
      <w:r w:rsidR="00E03A3F" w:rsidRPr="00FA4EF4">
        <w:t xml:space="preserve">, </w:t>
      </w:r>
      <w:r w:rsidR="005E361E" w:rsidRPr="00FA4EF4">
        <w:t>pre-tailings ground surfaces at NCGS-drilled core locations</w:t>
      </w:r>
      <w:r w:rsidR="004D381D" w:rsidRPr="00FA4EF4">
        <w:t xml:space="preserve"> </w:t>
      </w:r>
      <w:r w:rsidR="004D381D" w:rsidRPr="00FA4EF4">
        <w:rPr>
          <w:color w:val="000000"/>
        </w:rPr>
        <w:t xml:space="preserve">(NCGS-TQ-D1 through </w:t>
      </w:r>
      <w:r w:rsidR="00501EBB" w:rsidRPr="00FA4EF4">
        <w:rPr>
          <w:color w:val="000000"/>
        </w:rPr>
        <w:t>NCGS-TQ</w:t>
      </w:r>
      <w:r w:rsidR="004D381D" w:rsidRPr="00FA4EF4">
        <w:rPr>
          <w:color w:val="000000"/>
        </w:rPr>
        <w:t>-D7</w:t>
      </w:r>
      <w:r w:rsidR="00791F0A" w:rsidRPr="00FA4EF4">
        <w:rPr>
          <w:color w:val="000000"/>
        </w:rPr>
        <w:t xml:space="preserve">; </w:t>
      </w:r>
      <w:r w:rsidR="009D5F2E" w:rsidRPr="00FA4EF4">
        <w:rPr>
          <w:color w:val="000000"/>
        </w:rPr>
        <w:t>Figure 36</w:t>
      </w:r>
      <w:r w:rsidR="004D381D" w:rsidRPr="00FA4EF4">
        <w:rPr>
          <w:color w:val="000000"/>
        </w:rPr>
        <w:t>)</w:t>
      </w:r>
      <w:r w:rsidR="005E361E" w:rsidRPr="00FA4EF4">
        <w:t xml:space="preserve"> were </w:t>
      </w:r>
      <w:r w:rsidR="00D17E97" w:rsidRPr="00FA4EF4">
        <w:t xml:space="preserve">constrained </w:t>
      </w:r>
      <w:r w:rsidR="005E361E" w:rsidRPr="00FA4EF4">
        <w:t xml:space="preserve">from the difference between the modern elevation at the core </w:t>
      </w:r>
      <w:r w:rsidR="006641F4" w:rsidRPr="00FA4EF4">
        <w:t>location</w:t>
      </w:r>
      <w:r w:rsidR="005E361E" w:rsidRPr="00FA4EF4">
        <w:t xml:space="preserve"> and the depth to the bottom of the tailings </w:t>
      </w:r>
      <w:r w:rsidR="006C08F6" w:rsidRPr="00FA4EF4">
        <w:t>in each core</w:t>
      </w:r>
      <w:r w:rsidR="005E361E" w:rsidRPr="00FA4EF4">
        <w:t xml:space="preserve"> (surface elevation – depth to contact).</w:t>
      </w:r>
      <w:r w:rsidR="005E6492" w:rsidRPr="00FA4EF4">
        <w:t xml:space="preserve"> </w:t>
      </w:r>
      <w:r w:rsidR="004D381D" w:rsidRPr="00FA4EF4">
        <w:rPr>
          <w:color w:val="000000"/>
        </w:rPr>
        <w:t>Additionally,</w:t>
      </w:r>
      <w:r w:rsidR="005E6492" w:rsidRPr="00FA4EF4">
        <w:rPr>
          <w:color w:val="000000"/>
        </w:rPr>
        <w:t xml:space="preserve"> nine control points (CP-01 through CP-09</w:t>
      </w:r>
      <w:r w:rsidR="00F251FD" w:rsidRPr="00FA4EF4">
        <w:rPr>
          <w:color w:val="000000"/>
        </w:rPr>
        <w:t xml:space="preserve">; </w:t>
      </w:r>
      <w:r w:rsidR="009D5F2E" w:rsidRPr="00FA4EF4">
        <w:rPr>
          <w:color w:val="000000"/>
        </w:rPr>
        <w:t>Figure 36</w:t>
      </w:r>
      <w:r w:rsidR="005E6492" w:rsidRPr="00FA4EF4">
        <w:rPr>
          <w:color w:val="000000"/>
        </w:rPr>
        <w:t xml:space="preserve">) were added to the map and assigned elevations according to LiDAR </w:t>
      </w:r>
      <w:r w:rsidR="00E83D48" w:rsidRPr="00FA4EF4">
        <w:rPr>
          <w:color w:val="000000"/>
        </w:rPr>
        <w:t>data</w:t>
      </w:r>
      <w:r w:rsidR="005E6492" w:rsidRPr="00FA4EF4">
        <w:rPr>
          <w:color w:val="000000"/>
        </w:rPr>
        <w:t xml:space="preserve">, in order to establish control </w:t>
      </w:r>
      <w:r w:rsidR="008C3C63" w:rsidRPr="00FA4EF4">
        <w:rPr>
          <w:color w:val="000000"/>
        </w:rPr>
        <w:t xml:space="preserve">in areas away from core locations </w:t>
      </w:r>
      <w:r w:rsidR="005E6492" w:rsidRPr="00FA4EF4">
        <w:rPr>
          <w:color w:val="000000"/>
        </w:rPr>
        <w:t>where the tailings thickness</w:t>
      </w:r>
      <w:r w:rsidR="00AE7307" w:rsidRPr="00FA4EF4">
        <w:rPr>
          <w:color w:val="000000"/>
        </w:rPr>
        <w:t>es</w:t>
      </w:r>
      <w:r w:rsidR="005E6492" w:rsidRPr="00FA4EF4">
        <w:rPr>
          <w:color w:val="000000"/>
        </w:rPr>
        <w:t xml:space="preserve"> </w:t>
      </w:r>
      <w:r w:rsidR="00AE7307" w:rsidRPr="00FA4EF4">
        <w:rPr>
          <w:color w:val="000000"/>
        </w:rPr>
        <w:t>are</w:t>
      </w:r>
      <w:r w:rsidR="005E6492" w:rsidRPr="00FA4EF4">
        <w:rPr>
          <w:color w:val="000000"/>
        </w:rPr>
        <w:t xml:space="preserve"> known to be shallow. This technique was available and necessary in the floodplain, </w:t>
      </w:r>
      <w:r w:rsidR="005A311A" w:rsidRPr="00FA4EF4">
        <w:rPr>
          <w:color w:val="000000"/>
        </w:rPr>
        <w:t>the northern border of</w:t>
      </w:r>
      <w:r w:rsidR="005E6492" w:rsidRPr="00FA4EF4">
        <w:rPr>
          <w:color w:val="000000"/>
        </w:rPr>
        <w:t xml:space="preserve"> tailings </w:t>
      </w:r>
      <w:r w:rsidR="00761AC1" w:rsidRPr="00FA4EF4">
        <w:rPr>
          <w:color w:val="000000"/>
        </w:rPr>
        <w:t>pond 3</w:t>
      </w:r>
      <w:r w:rsidR="005E6492" w:rsidRPr="00FA4EF4">
        <w:rPr>
          <w:color w:val="000000"/>
        </w:rPr>
        <w:t xml:space="preserve"> adjacent to Island Creek, and in a triangular pattern on the perimeter of a grove of trees. All control points are located in USACE-owned portions of the tailings ponds since access was not granted to that property.</w:t>
      </w:r>
    </w:p>
    <w:p w14:paraId="6DF7AB11" w14:textId="2AE20FFC" w:rsidR="004B5D02" w:rsidRPr="00FA4EF4" w:rsidRDefault="004B5D02" w:rsidP="000E135F">
      <w:pPr>
        <w:ind w:firstLine="0"/>
        <w:rPr>
          <w:rFonts w:cs="Times New Roman"/>
          <w:szCs w:val="24"/>
        </w:rPr>
      </w:pPr>
      <w:r w:rsidRPr="00FA4EF4">
        <w:rPr>
          <w:rFonts w:cs="Times New Roman"/>
          <w:noProof/>
          <w:szCs w:val="24"/>
          <w14:ligatures w14:val="standardContextual"/>
        </w:rPr>
        <w:drawing>
          <wp:inline distT="0" distB="0" distL="0" distR="0" wp14:anchorId="4EEE8903" wp14:editId="609B0834">
            <wp:extent cx="3410555" cy="4206240"/>
            <wp:effectExtent l="0" t="0" r="0" b="3810"/>
            <wp:docPr id="513907503" name="Picture 5" descr="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907503" name="Picture 5" descr="Map&#10;&#10;AI-generated content may be incorrect."/>
                    <pic:cNvPicPr/>
                  </pic:nvPicPr>
                  <pic:blipFill rotWithShape="1">
                    <a:blip r:embed="rId47" cstate="print">
                      <a:extLst>
                        <a:ext uri="{28A0092B-C50C-407E-A947-70E740481C1C}">
                          <a14:useLocalDpi xmlns:a14="http://schemas.microsoft.com/office/drawing/2010/main" val="0"/>
                        </a:ext>
                      </a:extLst>
                    </a:blip>
                    <a:srcRect t="4701"/>
                    <a:stretch/>
                  </pic:blipFill>
                  <pic:spPr bwMode="auto">
                    <a:xfrm>
                      <a:off x="0" y="0"/>
                      <a:ext cx="3410555" cy="4206240"/>
                    </a:xfrm>
                    <a:prstGeom prst="rect">
                      <a:avLst/>
                    </a:prstGeom>
                    <a:ln>
                      <a:noFill/>
                    </a:ln>
                    <a:extLst>
                      <a:ext uri="{53640926-AAD7-44D8-BBD7-CCE9431645EC}">
                        <a14:shadowObscured xmlns:a14="http://schemas.microsoft.com/office/drawing/2010/main"/>
                      </a:ext>
                    </a:extLst>
                  </pic:spPr>
                </pic:pic>
              </a:graphicData>
            </a:graphic>
          </wp:inline>
        </w:drawing>
      </w:r>
    </w:p>
    <w:p w14:paraId="3BD3BA55" w14:textId="109FD938" w:rsidR="00AC222D" w:rsidRPr="00FA4EF4" w:rsidRDefault="009D5F2E" w:rsidP="002C492A">
      <w:pPr>
        <w:pStyle w:val="Caption1"/>
      </w:pPr>
      <w:r w:rsidRPr="00FA4EF4">
        <w:t>Figure 36</w:t>
      </w:r>
      <w:r w:rsidR="00F81D24" w:rsidRPr="00FA4EF4">
        <w:t>.</w:t>
      </w:r>
      <w:r w:rsidR="00582611" w:rsidRPr="00FA4EF4">
        <w:t xml:space="preserve"> Pre-tailings </w:t>
      </w:r>
      <w:r w:rsidR="00C15B52" w:rsidRPr="00FA4EF4">
        <w:t xml:space="preserve">raster </w:t>
      </w:r>
      <w:r w:rsidR="00582611" w:rsidRPr="00FA4EF4">
        <w:t>surface</w:t>
      </w:r>
      <w:r w:rsidR="001C6852" w:rsidRPr="00FA4EF4">
        <w:t xml:space="preserve"> with georeferenced 1943 topographic map contours, NCGS sonic core </w:t>
      </w:r>
      <w:r w:rsidR="00C24AE7" w:rsidRPr="00FA4EF4">
        <w:t>depths control points</w:t>
      </w:r>
      <w:r w:rsidR="001C6852" w:rsidRPr="00FA4EF4">
        <w:t xml:space="preserve">, and </w:t>
      </w:r>
      <w:r w:rsidR="00C24AE7" w:rsidRPr="00FA4EF4">
        <w:t>drainage controls</w:t>
      </w:r>
      <w:r w:rsidR="00582611" w:rsidRPr="00FA4EF4">
        <w:t>. See text for details.</w:t>
      </w:r>
    </w:p>
    <w:p w14:paraId="2C633B16" w14:textId="77777777" w:rsidR="006177C5" w:rsidRDefault="006177C5" w:rsidP="002C492A">
      <w:r w:rsidRPr="00FA4EF4">
        <w:t xml:space="preserve">“Drainage Control” lines were added to the analysis features in order to force the surface down gradient in preparation for converting the pre-tailings features to a raster surface. Drainage </w:t>
      </w:r>
      <w:r w:rsidRPr="00FA4EF4">
        <w:lastRenderedPageBreak/>
        <w:t>control lines were digitized based on expected hydrologic flow paths within the study area. These lines helped enforce topographic realism by ensuring the interpolated pre-tailings surface drained correctly toward known low points, particularly near Island Creek and floodplain</w:t>
      </w:r>
      <w:r>
        <w:t xml:space="preserve"> </w:t>
      </w:r>
      <w:r w:rsidRPr="00FA4EF4">
        <w:t>margins. Their inclusion prevents the formation of artificial sinks or topographic anomalies during interpolation that could distort tailings thickness estimates.</w:t>
      </w:r>
    </w:p>
    <w:p w14:paraId="4E8A581D" w14:textId="283C5836" w:rsidR="006177C5" w:rsidRDefault="006177C5" w:rsidP="002C492A">
      <w:r w:rsidRPr="00FA4EF4">
        <w:t>The surface modeling assumes a relatively continuous and linear tailings fill between known points (e.g., cores and control points). In areas far from core locations or where the historic contours were tightly spaced and complex, the interpolation may oversimplify natural terrain variation. Additionally, drainage lines were assumed to follow natural flow paths unaffected by historic mining modifications, which may not reflect all anthropogenic alterations. These factors introduce some degree of uncertainty into the modeled pre-tailings surface, particularly in unmodeled or inaccessible parts of the study area (e.g., USACE land or beneath a dense stand of vegetation). Nevertheless, control point elevation matching and alignment with mapped drainage reduced the likelihood of significant bias.</w:t>
      </w:r>
    </w:p>
    <w:p w14:paraId="1496B92B" w14:textId="6506BCEA" w:rsidR="00F25667" w:rsidRDefault="00F25667" w:rsidP="002C492A">
      <w:r w:rsidRPr="00FA4EF4">
        <w:t xml:space="preserve">The pre-tailings raster surface (Figure 36) was created with the “topo-to-raster” analysis tool available in Esri ArcGIS Pro. The tool’s parameters were aligned in the following ways: (1) the drainage patterns were enforced as a way to remove all sinks or depressions; (2) the depth of the cores were used as the first order algorithm enforcement control; and (3) the vertical standard of error was set to 2 ft because the dataset has significant random (non-systematic) vertical errors with uniform variance, which stabilizes convergence when rasterizing point data with drainage control data. </w:t>
      </w:r>
    </w:p>
    <w:p w14:paraId="754A6F4C" w14:textId="0F4BB7FA" w:rsidR="00F25667" w:rsidRPr="00FA4EF4" w:rsidRDefault="00F25667" w:rsidP="002C492A">
      <w:r w:rsidRPr="00FA4EF4">
        <w:t>After the pre-tailings surface raster was created, the “raster calculator” tool was used to determine the modern surface -to- pre-tailings surface thickness differential. A conditional statement was then applied to eliminate all derived thickness patterns with a negative value. This outcome was minimal</w:t>
      </w:r>
      <w:r w:rsidR="00C529DF">
        <w:t>,</w:t>
      </w:r>
      <w:r w:rsidRPr="00FA4EF4">
        <w:t xml:space="preserve"> and in all cases, the negative value was close to zero. This effect occurred either because the model algorithm had difficulty negotiating tight contour intervals far from a core control point or because there actually was less fill (a possibility near the tailings perimeter). </w:t>
      </w:r>
    </w:p>
    <w:p w14:paraId="114A4CDB" w14:textId="57A044A0" w:rsidR="00F25667" w:rsidRDefault="00F25667" w:rsidP="002C492A">
      <w:r w:rsidRPr="00FA4EF4">
        <w:t xml:space="preserve"> The mine operators constructed a dam in 1970, neatly segmenting the area of interest (tailings impoundment) close to the north-to-south halfway line. This dam was constructed to impound additional tailings from the brief resurgence in operations before the mine’s final closure in 1971 </w:t>
      </w:r>
      <w:r w:rsidRPr="00FA4EF4">
        <w:fldChar w:fldCharType="begin"/>
      </w:r>
      <w:r w:rsidRPr="00FA4EF4">
        <w:instrText xml:space="preserve"> ADDIN ZOTERO_ITEM CSL_CITATION {"citationID":"1lCPYsXY","properties":{"formattedCitation":"(Meyertons, 1975)","plainCitation":"(Meyertons, 1975)","noteIndex":0},"citationItems":[{"id":77,"uris":["http://zotero.org/users/17206691/items/B3WBRLXM"],"itemData":{"id":77,"type":"report","page":"1-11","title":"A Preliminary Estimate of Tungsten Content of Tungsten Queen Tailing for Ranchers Exploration &amp; Development Corporation","author":[{"family":"Meyertons","given":"Ralph"}],"issued":{"date-parts":[["1975"]]}}}],"schema":"https://github.com/citation-style-language/schema/raw/master/csl-citation.json"} </w:instrText>
      </w:r>
      <w:r w:rsidRPr="00FA4EF4">
        <w:fldChar w:fldCharType="separate"/>
      </w:r>
      <w:r w:rsidRPr="00FA4EF4">
        <w:t>(Meyertons, 1975)</w:t>
      </w:r>
      <w:r w:rsidRPr="00FA4EF4">
        <w:fldChar w:fldCharType="end"/>
      </w:r>
      <w:r w:rsidRPr="00FA4EF4">
        <w:t>. The dam’s dimensions were estimated from aerial imagery and approximated to 20 ft in height, 20 ft in width, and 500 ft in length. The 200,000 ft</w:t>
      </w:r>
      <w:r w:rsidRPr="00FA4EF4">
        <w:rPr>
          <w:vertAlign w:val="superscript"/>
        </w:rPr>
        <w:t>3</w:t>
      </w:r>
      <w:r w:rsidRPr="00FA4EF4">
        <w:t xml:space="preserve"> determined from these dimensions was eventually subtracted from the total bulk volume.</w:t>
      </w:r>
    </w:p>
    <w:p w14:paraId="26E6838E" w14:textId="55B80FFD" w:rsidR="000D4788" w:rsidRDefault="000D4788" w:rsidP="002C492A">
      <w:r w:rsidRPr="00FA4EF4">
        <w:t>Finally, the “surface volume” tool in Esri ArcGIS Pro was used to calculate the area and volume of mine tailings (above a plane height of zero). After subtracting the estimated volume of the causeway, the estimated volume of the mine tailings was determined to approximate 43</w:t>
      </w:r>
      <w:r w:rsidR="001022B5" w:rsidRPr="00FA4EF4">
        <w:t>,</w:t>
      </w:r>
      <w:r w:rsidRPr="00FA4EF4">
        <w:t>4</w:t>
      </w:r>
      <w:r w:rsidR="001022B5" w:rsidRPr="00FA4EF4">
        <w:t>00,000</w:t>
      </w:r>
      <w:r w:rsidRPr="00FA4EF4">
        <w:t xml:space="preserve"> ft</w:t>
      </w:r>
      <w:r w:rsidRPr="00FA4EF4">
        <w:rPr>
          <w:vertAlign w:val="superscript"/>
        </w:rPr>
        <w:t>3</w:t>
      </w:r>
      <w:r w:rsidRPr="00FA4EF4">
        <w:t xml:space="preserve"> (</w:t>
      </w:r>
      <w:r w:rsidR="00F03CA9" w:rsidRPr="00FA4EF4">
        <w:t>Figure 37</w:t>
      </w:r>
      <w:r w:rsidRPr="00FA4EF4">
        <w:t>). The symbology used to segment the tailings’ thickness was a 1/2 standard deviation interval size scheme</w:t>
      </w:r>
      <w:r w:rsidR="00042EDB" w:rsidRPr="00FA4EF4">
        <w:t>.</w:t>
      </w:r>
      <w:r w:rsidR="006D14CE" w:rsidRPr="00FA4EF4">
        <w:t xml:space="preserve"> </w:t>
      </w:r>
    </w:p>
    <w:p w14:paraId="4CD2FD34" w14:textId="731F11D0" w:rsidR="00E24603" w:rsidRPr="00FA4EF4" w:rsidRDefault="00E24603" w:rsidP="002C492A">
      <w:r w:rsidRPr="00FA4EF4">
        <w:fldChar w:fldCharType="begin"/>
      </w:r>
      <w:r w:rsidRPr="00FA4EF4">
        <w:instrText xml:space="preserve"> ADDIN ZOTERO_ITEM CSL_CITATION {"citationID":"czpodMZL","properties":{"formattedCitation":"(Meyertons, 1975)","plainCitation":"(Meyertons, 1975)","dontUpdate":true,"noteIndex":0},"citationItems":[{"id":77,"uris":["http://zotero.org/users/17206691/items/B3WBRLXM"],"itemData":{"id":77,"type":"report","page":"1-11","title":"A Preliminary Estimate of Tungsten Content of Tungsten Queen Tailing for Ranchers Exploration &amp; Development Corporation","author":[{"family":"Meyertons","given":"Ralph"}],"issued":{"date-parts":[["1975"]]}}}],"schema":"https://github.com/citation-style-language/schema/raw/master/csl-citation.json"} </w:instrText>
      </w:r>
      <w:r w:rsidRPr="00FA4EF4">
        <w:fldChar w:fldCharType="separate"/>
      </w:r>
      <w:r w:rsidRPr="00FA4EF4">
        <w:t>Meyertons (1975)</w:t>
      </w:r>
      <w:r w:rsidRPr="00FA4EF4">
        <w:fldChar w:fldCharType="end"/>
      </w:r>
      <w:r w:rsidRPr="00FA4EF4">
        <w:t xml:space="preserve"> reported a total tailings volume of 42,100,000 ft</w:t>
      </w:r>
      <w:r w:rsidRPr="00FA4EF4">
        <w:rPr>
          <w:vertAlign w:val="superscript"/>
        </w:rPr>
        <w:t>3</w:t>
      </w:r>
      <w:r w:rsidRPr="00FA4EF4">
        <w:t>, however, this estimate includes their “zone 1</w:t>
      </w:r>
      <w:r w:rsidR="00917E36">
        <w:t>,</w:t>
      </w:r>
      <w:r w:rsidRPr="00FA4EF4">
        <w:t>” which they describe as coarse sand at the base of the Tungsten Mining Corporation mill. NCGS staff were unable to find tailings in the vicinity of the old mill, suggesting they may have been removed as part of the environmental remediation effort at the site. To facilitate a more accurate comparison, the volume Meyertons (1975) calculated for zone 1 tailings was removed from his total estimate, leaving 40,500,000 ft</w:t>
      </w:r>
      <w:r w:rsidRPr="00FA4EF4">
        <w:rPr>
          <w:vertAlign w:val="superscript"/>
        </w:rPr>
        <w:t xml:space="preserve">3 </w:t>
      </w:r>
      <w:r w:rsidRPr="00FA4EF4">
        <w:t>as the volume of tailings in the tailings impoundment. Thus, this study’s estimate of 43,400,000 ft</w:t>
      </w:r>
      <w:r w:rsidRPr="00FA4EF4">
        <w:rPr>
          <w:vertAlign w:val="superscript"/>
        </w:rPr>
        <w:t xml:space="preserve">3 </w:t>
      </w:r>
      <w:r w:rsidRPr="00FA4EF4">
        <w:t>represents a net 6.7% increase over the estimate of Meyertons (1975).</w:t>
      </w:r>
    </w:p>
    <w:p w14:paraId="2F7F9710" w14:textId="77777777" w:rsidR="00E24603" w:rsidRPr="00E24603" w:rsidRDefault="00E24603" w:rsidP="00E24603">
      <w:pPr>
        <w:rPr>
          <w:rFonts w:cs="Times New Roman"/>
          <w:color w:val="000000"/>
          <w:szCs w:val="24"/>
        </w:rPr>
      </w:pPr>
    </w:p>
    <w:p w14:paraId="45B46335" w14:textId="649F8A35" w:rsidR="00C95690" w:rsidRPr="00FA4EF4" w:rsidRDefault="00C95690" w:rsidP="000E135F">
      <w:pPr>
        <w:ind w:firstLine="0"/>
        <w:rPr>
          <w:rFonts w:cs="Times New Roman"/>
          <w:color w:val="000000"/>
          <w:szCs w:val="24"/>
        </w:rPr>
      </w:pPr>
      <w:r w:rsidRPr="00FA4EF4">
        <w:rPr>
          <w:rFonts w:cs="Times New Roman"/>
          <w:noProof/>
          <w:color w:val="000000"/>
          <w:szCs w:val="24"/>
          <w14:ligatures w14:val="standardContextual"/>
        </w:rPr>
        <w:drawing>
          <wp:inline distT="0" distB="0" distL="0" distR="0" wp14:anchorId="5EED9EDD" wp14:editId="28E7D31F">
            <wp:extent cx="3413959" cy="4206240"/>
            <wp:effectExtent l="0" t="0" r="0" b="3810"/>
            <wp:docPr id="632310985" name="Picture 8" descr="Diagram, schematic,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310985" name="Picture 8" descr="Diagram, schematic, map&#10;&#10;AI-generated content may be incorrect."/>
                    <pic:cNvPicPr/>
                  </pic:nvPicPr>
                  <pic:blipFill rotWithShape="1">
                    <a:blip r:embed="rId48" cstate="print">
                      <a:extLst>
                        <a:ext uri="{28A0092B-C50C-407E-A947-70E740481C1C}">
                          <a14:useLocalDpi xmlns:a14="http://schemas.microsoft.com/office/drawing/2010/main" val="0"/>
                        </a:ext>
                      </a:extLst>
                    </a:blip>
                    <a:srcRect t="4795"/>
                    <a:stretch/>
                  </pic:blipFill>
                  <pic:spPr bwMode="auto">
                    <a:xfrm>
                      <a:off x="0" y="0"/>
                      <a:ext cx="3413959" cy="4206240"/>
                    </a:xfrm>
                    <a:prstGeom prst="rect">
                      <a:avLst/>
                    </a:prstGeom>
                    <a:ln>
                      <a:noFill/>
                    </a:ln>
                    <a:extLst>
                      <a:ext uri="{53640926-AAD7-44D8-BBD7-CCE9431645EC}">
                        <a14:shadowObscured xmlns:a14="http://schemas.microsoft.com/office/drawing/2010/main"/>
                      </a:ext>
                    </a:extLst>
                  </pic:spPr>
                </pic:pic>
              </a:graphicData>
            </a:graphic>
          </wp:inline>
        </w:drawing>
      </w:r>
    </w:p>
    <w:p w14:paraId="65492E21" w14:textId="74DC6789" w:rsidR="008D68FE" w:rsidRPr="00FA4EF4" w:rsidRDefault="00F03CA9" w:rsidP="002C492A">
      <w:pPr>
        <w:pStyle w:val="Caption1"/>
      </w:pPr>
      <w:r w:rsidRPr="00FA4EF4">
        <w:t>Figure 37</w:t>
      </w:r>
      <w:r w:rsidR="00ED785E" w:rsidRPr="00FA4EF4">
        <w:t xml:space="preserve">. </w:t>
      </w:r>
      <w:r w:rsidR="00ED6788" w:rsidRPr="00FA4EF4">
        <w:t xml:space="preserve">Tungsten Queen mine tailings isopach and </w:t>
      </w:r>
      <w:r w:rsidR="00333B85" w:rsidRPr="00FA4EF4">
        <w:t>bulk volume estimate. See text for details.</w:t>
      </w:r>
    </w:p>
    <w:p w14:paraId="3EEFAF72" w14:textId="7AC95260" w:rsidR="002C492A" w:rsidRPr="00FA4EF4" w:rsidRDefault="006D14CE" w:rsidP="002C492A">
      <w:r w:rsidRPr="00FA4EF4">
        <w:t xml:space="preserve">This study’s analysis evaluated the </w:t>
      </w:r>
      <w:r w:rsidR="00E208E1" w:rsidRPr="00FA4EF4">
        <w:t xml:space="preserve">volume of tailings in ponds 2 and 3 since the tailings </w:t>
      </w:r>
      <w:r w:rsidR="005A11B0" w:rsidRPr="00FA4EF4">
        <w:t xml:space="preserve">from pond 1 had been previously removed, as confirmed by the abundance of </w:t>
      </w:r>
      <w:r w:rsidR="00B47191" w:rsidRPr="00FA4EF4">
        <w:t>regolith observed during sampling and the geochemical composition of composite sample 1.</w:t>
      </w:r>
      <w:r w:rsidR="00FA3DD0" w:rsidRPr="00FA4EF4">
        <w:t xml:space="preserve"> </w:t>
      </w:r>
      <w:r w:rsidR="00B72541" w:rsidRPr="00FA4EF4">
        <w:t>It has been reported that some tailings were pumped into the underground shafts during operations to raise the floor of the mine</w:t>
      </w:r>
      <w:r w:rsidR="005A11B0" w:rsidRPr="00FA4EF4">
        <w:t xml:space="preserve"> </w:t>
      </w:r>
      <w:r w:rsidR="00B72541" w:rsidRPr="00FA4EF4">
        <w:t xml:space="preserve">so additional areas of the vein could be accessed. </w:t>
      </w:r>
      <w:r w:rsidR="003C03F7" w:rsidRPr="00FA4EF4">
        <w:t>However,</w:t>
      </w:r>
      <w:r w:rsidR="001F2A5D" w:rsidRPr="00FA4EF4">
        <w:t xml:space="preserve"> </w:t>
      </w:r>
      <w:r w:rsidR="00E41837">
        <w:t xml:space="preserve">the present </w:t>
      </w:r>
      <w:r w:rsidR="001F2A5D" w:rsidRPr="00FA4EF4">
        <w:t xml:space="preserve">study is not able to include those tailings in the volume or resource estimates due to </w:t>
      </w:r>
      <w:r w:rsidR="007B0D9F" w:rsidRPr="00FA4EF4">
        <w:t>a lack of</w:t>
      </w:r>
      <w:r w:rsidR="00711747" w:rsidRPr="00FA4EF4">
        <w:t xml:space="preserve"> relevant</w:t>
      </w:r>
      <w:r w:rsidR="007B0D9F" w:rsidRPr="00FA4EF4">
        <w:t xml:space="preserve"> records</w:t>
      </w:r>
      <w:r w:rsidR="00711747" w:rsidRPr="00FA4EF4">
        <w:t>.</w:t>
      </w:r>
    </w:p>
    <w:p w14:paraId="5E7426C2" w14:textId="7B503C5A" w:rsidR="005C1C95" w:rsidRPr="004F21C9" w:rsidRDefault="00354281" w:rsidP="00354281">
      <w:pPr>
        <w:pStyle w:val="Heading2"/>
      </w:pPr>
      <w:bookmarkStart w:id="14" w:name="_Toc222230018"/>
      <w:r>
        <w:t xml:space="preserve">5.5 </w:t>
      </w:r>
      <w:r w:rsidR="000252DF" w:rsidRPr="004F21C9">
        <w:t xml:space="preserve">Critical Mineral </w:t>
      </w:r>
      <w:r w:rsidR="005604AE" w:rsidRPr="004F21C9">
        <w:t xml:space="preserve">Resource </w:t>
      </w:r>
      <w:r w:rsidR="000252DF" w:rsidRPr="004F21C9">
        <w:t>Estimates</w:t>
      </w:r>
      <w:bookmarkEnd w:id="14"/>
    </w:p>
    <w:p w14:paraId="718FC0C5" w14:textId="3D6E07FB" w:rsidR="00BB4C6A" w:rsidRDefault="00436AB7" w:rsidP="002C492A">
      <w:r w:rsidRPr="00FA4EF4">
        <w:t>T</w:t>
      </w:r>
      <w:r w:rsidR="005D615E" w:rsidRPr="00FA4EF4">
        <w:t xml:space="preserve">he total mass of the tailings was calculated using </w:t>
      </w:r>
      <w:r w:rsidR="002B609D" w:rsidRPr="00FA4EF4">
        <w:t>Equation</w:t>
      </w:r>
      <w:r w:rsidR="002225BE" w:rsidRPr="00FA4EF4">
        <w:t xml:space="preserve"> </w:t>
      </w:r>
      <w:r w:rsidR="00441DD3" w:rsidRPr="00FA4EF4">
        <w:t>1</w:t>
      </w:r>
      <w:r w:rsidR="00BB4C6A" w:rsidRPr="00FA4EF4">
        <w:t>:</w:t>
      </w:r>
    </w:p>
    <w:p w14:paraId="1A5905B3" w14:textId="77777777" w:rsidR="001E6326" w:rsidRPr="00FA4EF4" w:rsidRDefault="001E6326" w:rsidP="002C492A"/>
    <w:p w14:paraId="23CCF9DD" w14:textId="045983C0" w:rsidR="00BB4C6A" w:rsidRPr="00FA4EF4" w:rsidRDefault="00B52925" w:rsidP="00A01235">
      <w:pPr>
        <w:tabs>
          <w:tab w:val="right" w:pos="9360"/>
        </w:tabs>
        <w:ind w:firstLine="0"/>
        <w:jc w:val="center"/>
      </w:pPr>
      <w:r w:rsidRPr="00FA4EF4">
        <w:rPr>
          <w:i/>
          <w:iCs/>
        </w:rPr>
        <w:t>Total m</w:t>
      </w:r>
      <w:r w:rsidR="00BB4C6A" w:rsidRPr="00FA4EF4">
        <w:rPr>
          <w:i/>
          <w:iCs/>
        </w:rPr>
        <w:t>ass</w:t>
      </w:r>
      <w:r w:rsidRPr="00FA4EF4">
        <w:rPr>
          <w:i/>
          <w:iCs/>
        </w:rPr>
        <w:t xml:space="preserve"> of tailings</w:t>
      </w:r>
      <w:r w:rsidR="00BB4C6A" w:rsidRPr="00FA4EF4">
        <w:rPr>
          <w:i/>
          <w:iCs/>
        </w:rPr>
        <w:t xml:space="preserve"> = volume</w:t>
      </w:r>
      <w:r w:rsidRPr="00FA4EF4">
        <w:rPr>
          <w:i/>
          <w:iCs/>
        </w:rPr>
        <w:t xml:space="preserve"> of tailings</w:t>
      </w:r>
      <w:r w:rsidR="00BB4C6A" w:rsidRPr="00FA4EF4">
        <w:rPr>
          <w:i/>
          <w:iCs/>
        </w:rPr>
        <w:t xml:space="preserve"> × density</w:t>
      </w:r>
      <w:r w:rsidRPr="00FA4EF4">
        <w:rPr>
          <w:i/>
          <w:iCs/>
        </w:rPr>
        <w:t xml:space="preserve"> of </w:t>
      </w:r>
      <w:r w:rsidR="00B52348" w:rsidRPr="00FA4EF4">
        <w:rPr>
          <w:i/>
          <w:iCs/>
        </w:rPr>
        <w:t xml:space="preserve">tailings </w:t>
      </w:r>
      <w:r w:rsidR="00B52348" w:rsidRPr="00FA4EF4">
        <w:tab/>
      </w:r>
      <w:r w:rsidR="00BB4C6A" w:rsidRPr="00FA4EF4">
        <w:t>(</w:t>
      </w:r>
      <w:r w:rsidR="002C492A">
        <w:rPr>
          <w:sz w:val="20"/>
          <w:szCs w:val="20"/>
        </w:rPr>
        <w:t>eq.</w:t>
      </w:r>
      <w:r w:rsidR="00BB4C6A" w:rsidRPr="0005007A">
        <w:rPr>
          <w:sz w:val="20"/>
          <w:szCs w:val="20"/>
        </w:rPr>
        <w:t xml:space="preserve"> </w:t>
      </w:r>
      <w:r w:rsidR="00441DD3" w:rsidRPr="0005007A">
        <w:rPr>
          <w:sz w:val="20"/>
          <w:szCs w:val="20"/>
        </w:rPr>
        <w:t>1</w:t>
      </w:r>
      <w:r w:rsidR="00BB4C6A" w:rsidRPr="00FA4EF4">
        <w:t>)</w:t>
      </w:r>
      <w:r w:rsidR="002C492A">
        <w:t>,</w:t>
      </w:r>
    </w:p>
    <w:p w14:paraId="7B9F2E64" w14:textId="77777777" w:rsidR="001E6326" w:rsidRDefault="001E6326" w:rsidP="002C492A">
      <w:pPr>
        <w:ind w:firstLine="0"/>
      </w:pPr>
    </w:p>
    <w:p w14:paraId="04E74A62" w14:textId="643C6297" w:rsidR="00B94F4B" w:rsidRPr="00FA4EF4" w:rsidRDefault="004717E0" w:rsidP="002C492A">
      <w:pPr>
        <w:ind w:firstLine="0"/>
      </w:pPr>
      <w:r w:rsidRPr="00FA4EF4">
        <w:t>w</w:t>
      </w:r>
      <w:r w:rsidR="00BB4C6A" w:rsidRPr="00FA4EF4">
        <w:t>here th</w:t>
      </w:r>
      <w:r w:rsidR="00EC7CEB" w:rsidRPr="00FA4EF4">
        <w:t>e</w:t>
      </w:r>
      <w:r w:rsidR="00BB4C6A" w:rsidRPr="00FA4EF4">
        <w:t xml:space="preserve"> </w:t>
      </w:r>
      <w:r w:rsidR="00B94F4B" w:rsidRPr="00FA4EF4">
        <w:t xml:space="preserve">total volume of the </w:t>
      </w:r>
      <w:r w:rsidR="00E15D83" w:rsidRPr="00FA4EF4">
        <w:t>tailings</w:t>
      </w:r>
      <w:r w:rsidR="007A787E" w:rsidRPr="00FA4EF4">
        <w:t xml:space="preserve"> (calculated above) was</w:t>
      </w:r>
      <w:r w:rsidR="00B94F4B" w:rsidRPr="00FA4EF4">
        <w:t xml:space="preserve"> 43</w:t>
      </w:r>
      <w:r w:rsidR="00CB7553" w:rsidRPr="00FA4EF4">
        <w:t>,400</w:t>
      </w:r>
      <w:r w:rsidR="002D0B46" w:rsidRPr="00FA4EF4">
        <w:t>,000</w:t>
      </w:r>
      <w:r w:rsidR="00B94F4B" w:rsidRPr="00FA4EF4">
        <w:t xml:space="preserve"> ft</w:t>
      </w:r>
      <w:r w:rsidR="00B94F4B" w:rsidRPr="00FA4EF4">
        <w:rPr>
          <w:vertAlign w:val="superscript"/>
        </w:rPr>
        <w:t>3</w:t>
      </w:r>
      <w:r w:rsidR="007A787E" w:rsidRPr="00FA4EF4">
        <w:t xml:space="preserve"> and </w:t>
      </w:r>
      <w:r w:rsidR="00E32F68" w:rsidRPr="00FA4EF4">
        <w:t xml:space="preserve">125 </w:t>
      </w:r>
      <w:proofErr w:type="spellStart"/>
      <w:r w:rsidR="00E32F68" w:rsidRPr="00FA4EF4">
        <w:t>lb</w:t>
      </w:r>
      <w:proofErr w:type="spellEnd"/>
      <w:r w:rsidR="00E32F68" w:rsidRPr="00FA4EF4">
        <w:t>/ft</w:t>
      </w:r>
      <w:r w:rsidR="00E32F68" w:rsidRPr="00FA4EF4">
        <w:rPr>
          <w:vertAlign w:val="superscript"/>
        </w:rPr>
        <w:t>3</w:t>
      </w:r>
      <w:r w:rsidR="001F578B" w:rsidRPr="00FA4EF4">
        <w:rPr>
          <w:vertAlign w:val="superscript"/>
        </w:rPr>
        <w:t xml:space="preserve"> </w:t>
      </w:r>
      <w:r w:rsidR="001F578B" w:rsidRPr="00FA4EF4">
        <w:t>(</w:t>
      </w:r>
      <w:r w:rsidR="003306BB" w:rsidRPr="00FA4EF4">
        <w:t xml:space="preserve">which corresponds to </w:t>
      </w:r>
      <w:r w:rsidR="00D53EE3" w:rsidRPr="00FA4EF4">
        <w:t>~</w:t>
      </w:r>
      <w:r w:rsidR="001F578B" w:rsidRPr="00FA4EF4">
        <w:t>2.0 g/cm</w:t>
      </w:r>
      <w:r w:rsidR="001F578B" w:rsidRPr="00FA4EF4">
        <w:rPr>
          <w:vertAlign w:val="superscript"/>
        </w:rPr>
        <w:t>3</w:t>
      </w:r>
      <w:r w:rsidR="001F578B" w:rsidRPr="00FA4EF4">
        <w:t>)</w:t>
      </w:r>
      <w:r w:rsidR="00D53EE3" w:rsidRPr="00FA4EF4">
        <w:t xml:space="preserve"> was selected </w:t>
      </w:r>
      <w:r w:rsidR="00D71F6E" w:rsidRPr="00FA4EF4">
        <w:t xml:space="preserve">as a </w:t>
      </w:r>
      <w:r w:rsidR="00B94F4B" w:rsidRPr="00FA4EF4">
        <w:t xml:space="preserve">reasonable bulk density </w:t>
      </w:r>
      <w:r w:rsidR="00D71F6E" w:rsidRPr="00FA4EF4">
        <w:t>for the tailings</w:t>
      </w:r>
      <w:r w:rsidR="00281ABD" w:rsidRPr="00FA4EF4">
        <w:t xml:space="preserve">. This yields a total </w:t>
      </w:r>
      <w:r w:rsidR="00B94F4B" w:rsidRPr="00FA4EF4">
        <w:t xml:space="preserve">mass of 5,425,000,000 </w:t>
      </w:r>
      <w:proofErr w:type="spellStart"/>
      <w:r w:rsidR="00B94F4B" w:rsidRPr="00FA4EF4">
        <w:t>lb</w:t>
      </w:r>
      <w:proofErr w:type="spellEnd"/>
      <w:r w:rsidR="00A4087B" w:rsidRPr="00FA4EF4">
        <w:t xml:space="preserve"> or ~</w:t>
      </w:r>
      <w:r w:rsidR="00B94F4B" w:rsidRPr="00FA4EF4">
        <w:t>2,460,551,000 kg</w:t>
      </w:r>
      <w:r w:rsidR="00A4087B" w:rsidRPr="00FA4EF4">
        <w:t>.</w:t>
      </w:r>
    </w:p>
    <w:p w14:paraId="4F2A8A3B" w14:textId="0128466A" w:rsidR="00E35713" w:rsidRPr="00FA4EF4" w:rsidRDefault="00E13EAA" w:rsidP="002C492A">
      <w:r w:rsidRPr="00FA4EF4">
        <w:t>Tungsten Queen</w:t>
      </w:r>
      <w:r w:rsidR="00457F9E" w:rsidRPr="00FA4EF4">
        <w:t xml:space="preserve"> cores best represent the </w:t>
      </w:r>
      <w:r w:rsidR="00457D44" w:rsidRPr="00FA4EF4">
        <w:t xml:space="preserve">lateral and vertical compositional variability </w:t>
      </w:r>
      <w:r w:rsidR="005A0D2E" w:rsidRPr="00FA4EF4">
        <w:t>of</w:t>
      </w:r>
      <w:r w:rsidR="00E01AF4" w:rsidRPr="00FA4EF4">
        <w:t xml:space="preserve"> the</w:t>
      </w:r>
      <w:r w:rsidR="005A0D2E" w:rsidRPr="00FA4EF4">
        <w:t xml:space="preserve"> impoundment</w:t>
      </w:r>
      <w:r w:rsidR="008C7484" w:rsidRPr="00FA4EF4">
        <w:t xml:space="preserve"> </w:t>
      </w:r>
      <w:r w:rsidR="008F47CD" w:rsidRPr="00FA4EF4">
        <w:t xml:space="preserve">and thus were used to calculate </w:t>
      </w:r>
      <w:r w:rsidR="000C2864" w:rsidRPr="00FA4EF4">
        <w:t xml:space="preserve">weighted mean </w:t>
      </w:r>
      <w:r w:rsidRPr="00FA4EF4">
        <w:t>concentrations of critical minerals and non-critical commodities covered in this report</w:t>
      </w:r>
      <w:r w:rsidR="00E81034" w:rsidRPr="00FA4EF4">
        <w:t xml:space="preserve"> (Table </w:t>
      </w:r>
      <w:r w:rsidR="00BF2447" w:rsidRPr="00FA4EF4">
        <w:t>4</w:t>
      </w:r>
      <w:r w:rsidR="006476DC" w:rsidRPr="00FA4EF4">
        <w:t>)</w:t>
      </w:r>
      <w:r w:rsidR="000C2864" w:rsidRPr="00FA4EF4">
        <w:t>.</w:t>
      </w:r>
      <w:r w:rsidRPr="00FA4EF4">
        <w:t xml:space="preserve"> </w:t>
      </w:r>
      <w:r w:rsidR="00295F8A" w:rsidRPr="00FA4EF4">
        <w:t xml:space="preserve">Each </w:t>
      </w:r>
      <w:r w:rsidR="005A0D2E" w:rsidRPr="00FA4EF4">
        <w:t xml:space="preserve">core </w:t>
      </w:r>
      <w:r w:rsidR="00674CA1" w:rsidRPr="00FA4EF4">
        <w:t>sample’s concentration</w:t>
      </w:r>
      <w:r w:rsidR="00CF7C90" w:rsidRPr="00FA4EF4">
        <w:t xml:space="preserve"> for a given </w:t>
      </w:r>
      <w:r w:rsidR="001A4088" w:rsidRPr="00FA4EF4">
        <w:t xml:space="preserve">element </w:t>
      </w:r>
      <w:r w:rsidR="00674CA1" w:rsidRPr="00FA4EF4">
        <w:t xml:space="preserve">was </w:t>
      </w:r>
      <w:r w:rsidR="00295F8A" w:rsidRPr="00FA4EF4">
        <w:t xml:space="preserve">weighted according to the </w:t>
      </w:r>
      <w:r w:rsidR="00A44BBD" w:rsidRPr="00FA4EF4">
        <w:t>length of the sample interval</w:t>
      </w:r>
      <w:r w:rsidR="00626F24" w:rsidRPr="00FA4EF4">
        <w:t>, which ranged from 0.7 to 1.4 ft</w:t>
      </w:r>
      <w:r w:rsidR="00E83565" w:rsidRPr="00FA4EF4">
        <w:t>.</w:t>
      </w:r>
      <w:r w:rsidR="002B58F0" w:rsidRPr="00FA4EF4">
        <w:t xml:space="preserve"> </w:t>
      </w:r>
      <w:r w:rsidR="00F75990">
        <w:t>For f</w:t>
      </w:r>
      <w:r w:rsidR="00E35713" w:rsidRPr="00FA4EF4">
        <w:t>our samples</w:t>
      </w:r>
      <w:r w:rsidR="00F75990">
        <w:t>,</w:t>
      </w:r>
      <w:r w:rsidR="00E35713" w:rsidRPr="00FA4EF4">
        <w:t xml:space="preserve"> </w:t>
      </w:r>
      <w:r w:rsidR="00E24784" w:rsidRPr="00FA4EF4">
        <w:t xml:space="preserve">As and V concentrations </w:t>
      </w:r>
      <w:r w:rsidR="00A12099">
        <w:t xml:space="preserve">were </w:t>
      </w:r>
      <w:r w:rsidR="00E24784" w:rsidRPr="00FA4EF4">
        <w:t xml:space="preserve">below the </w:t>
      </w:r>
      <w:r w:rsidR="00E24784" w:rsidRPr="00FA4EF4">
        <w:lastRenderedPageBreak/>
        <w:t xml:space="preserve">detection limit </w:t>
      </w:r>
      <w:r w:rsidR="0004056E" w:rsidRPr="00FA4EF4">
        <w:t>and</w:t>
      </w:r>
      <w:r w:rsidR="00E24784" w:rsidRPr="00FA4EF4">
        <w:t xml:space="preserve"> assigned a</w:t>
      </w:r>
      <w:r w:rsidR="00E833D4" w:rsidRPr="00FA4EF4">
        <w:t xml:space="preserve"> concentration</w:t>
      </w:r>
      <w:r w:rsidR="00E24784" w:rsidRPr="00FA4EF4">
        <w:t xml:space="preserve"> of zero for the</w:t>
      </w:r>
      <w:r w:rsidR="002C0B42" w:rsidRPr="00FA4EF4">
        <w:t xml:space="preserve"> weighted mean calculations.</w:t>
      </w:r>
      <w:r w:rsidR="00E35713" w:rsidRPr="00FA4EF4">
        <w:t xml:space="preserve"> </w:t>
      </w:r>
      <w:r w:rsidR="002C0B42" w:rsidRPr="00FA4EF4">
        <w:t>Additionally</w:t>
      </w:r>
      <w:r w:rsidR="004E3758" w:rsidRPr="00FA4EF4">
        <w:t xml:space="preserve">, F was converted from </w:t>
      </w:r>
      <w:r w:rsidR="00671B44" w:rsidRPr="00FA4EF4">
        <w:t xml:space="preserve">wt% </w:t>
      </w:r>
      <w:r w:rsidR="00750150" w:rsidRPr="00FA4EF4">
        <w:t xml:space="preserve">to ppm and </w:t>
      </w:r>
      <w:r w:rsidR="00DE1399" w:rsidRPr="00FA4EF4">
        <w:t>Au was converted from ppb to ppm</w:t>
      </w:r>
      <w:r w:rsidR="00E35713" w:rsidRPr="00FA4EF4">
        <w:t>.</w:t>
      </w:r>
    </w:p>
    <w:p w14:paraId="4269AA96" w14:textId="000BF651" w:rsidR="00DB5A09" w:rsidRDefault="00777D09" w:rsidP="002C492A">
      <w:r w:rsidRPr="00FA4EF4">
        <w:t xml:space="preserve">Resource estimates for </w:t>
      </w:r>
      <w:r w:rsidR="0040276A" w:rsidRPr="00FA4EF4">
        <w:t xml:space="preserve">each commodity </w:t>
      </w:r>
      <w:r w:rsidR="00865AF0" w:rsidRPr="00FA4EF4">
        <w:t xml:space="preserve">were calculated using </w:t>
      </w:r>
      <w:r w:rsidR="004D3187" w:rsidRPr="00FA4EF4">
        <w:t xml:space="preserve">Equation </w:t>
      </w:r>
      <w:r w:rsidR="006A1872" w:rsidRPr="00FA4EF4">
        <w:t>2</w:t>
      </w:r>
      <w:r w:rsidR="00865AF0" w:rsidRPr="00FA4EF4">
        <w:t>:</w:t>
      </w:r>
    </w:p>
    <w:p w14:paraId="03291735" w14:textId="77777777" w:rsidR="001E6326" w:rsidRPr="00FA4EF4" w:rsidRDefault="001E6326" w:rsidP="002C492A"/>
    <w:p w14:paraId="55472B38" w14:textId="6A20E1E8" w:rsidR="001D663D" w:rsidRPr="00FA4EF4" w:rsidRDefault="0006419A" w:rsidP="002C492A">
      <w:pPr>
        <w:tabs>
          <w:tab w:val="right" w:pos="9360"/>
        </w:tabs>
        <w:ind w:firstLine="0"/>
      </w:pPr>
      <w:r w:rsidRPr="00FA4EF4">
        <w:rPr>
          <w:i/>
          <w:iCs/>
        </w:rPr>
        <w:t>Resource estimate</w:t>
      </w:r>
      <w:r w:rsidR="00B94F4B" w:rsidRPr="00FA4EF4">
        <w:rPr>
          <w:i/>
          <w:iCs/>
        </w:rPr>
        <w:t xml:space="preserve"> = </w:t>
      </w:r>
      <w:r w:rsidR="008078DB" w:rsidRPr="00FA4EF4">
        <w:rPr>
          <w:i/>
          <w:iCs/>
        </w:rPr>
        <w:t xml:space="preserve">weighted </w:t>
      </w:r>
      <w:r w:rsidR="00E42ABC" w:rsidRPr="00FA4EF4">
        <w:rPr>
          <w:i/>
          <w:iCs/>
        </w:rPr>
        <w:t>mean</w:t>
      </w:r>
      <w:r w:rsidR="00F7045F" w:rsidRPr="00FA4EF4">
        <w:rPr>
          <w:i/>
          <w:iCs/>
        </w:rPr>
        <w:t xml:space="preserve"> concentration</w:t>
      </w:r>
      <w:r w:rsidR="00B94F4B" w:rsidRPr="00FA4EF4">
        <w:rPr>
          <w:i/>
          <w:iCs/>
        </w:rPr>
        <w:t>/1</w:t>
      </w:r>
      <w:r w:rsidR="008078DB" w:rsidRPr="00FA4EF4">
        <w:rPr>
          <w:i/>
          <w:iCs/>
        </w:rPr>
        <w:t>,000,000</w:t>
      </w:r>
      <w:r w:rsidR="00302BB6" w:rsidRPr="00FA4EF4">
        <w:rPr>
          <w:i/>
          <w:iCs/>
        </w:rPr>
        <w:t xml:space="preserve"> </w:t>
      </w:r>
      <w:r w:rsidR="00B94F4B" w:rsidRPr="00FA4EF4">
        <w:rPr>
          <w:i/>
          <w:iCs/>
        </w:rPr>
        <w:t>*</w:t>
      </w:r>
      <w:r w:rsidR="00302BB6" w:rsidRPr="00FA4EF4">
        <w:rPr>
          <w:i/>
          <w:iCs/>
        </w:rPr>
        <w:t xml:space="preserve"> </w:t>
      </w:r>
      <w:r w:rsidR="00B94F4B" w:rsidRPr="00FA4EF4">
        <w:rPr>
          <w:i/>
          <w:iCs/>
        </w:rPr>
        <w:t>total mass</w:t>
      </w:r>
      <w:r w:rsidR="008D1A5A" w:rsidRPr="00FA4EF4">
        <w:rPr>
          <w:i/>
          <w:iCs/>
        </w:rPr>
        <w:t xml:space="preserve"> of tailings</w:t>
      </w:r>
      <w:r w:rsidR="001D663D" w:rsidRPr="00FA4EF4">
        <w:t xml:space="preserve"> </w:t>
      </w:r>
      <w:r w:rsidR="002C492A">
        <w:tab/>
      </w:r>
      <w:r w:rsidR="001D663D" w:rsidRPr="00FA4EF4">
        <w:t>(</w:t>
      </w:r>
      <w:r w:rsidR="002C492A">
        <w:rPr>
          <w:sz w:val="20"/>
          <w:szCs w:val="20"/>
        </w:rPr>
        <w:t>eq.</w:t>
      </w:r>
      <w:r w:rsidR="004D3187" w:rsidRPr="0005007A">
        <w:rPr>
          <w:sz w:val="20"/>
          <w:szCs w:val="20"/>
        </w:rPr>
        <w:t xml:space="preserve"> </w:t>
      </w:r>
      <w:r w:rsidR="00663CF1" w:rsidRPr="0005007A">
        <w:rPr>
          <w:sz w:val="20"/>
          <w:szCs w:val="20"/>
        </w:rPr>
        <w:t>2</w:t>
      </w:r>
      <w:r w:rsidR="001D663D" w:rsidRPr="00FA4EF4">
        <w:t>)</w:t>
      </w:r>
      <w:r w:rsidR="001E6326">
        <w:t>,</w:t>
      </w:r>
    </w:p>
    <w:p w14:paraId="7D8ECB79" w14:textId="77777777" w:rsidR="001E6326" w:rsidRDefault="001E6326" w:rsidP="00D94F2F">
      <w:pPr>
        <w:ind w:firstLine="0"/>
      </w:pPr>
    </w:p>
    <w:p w14:paraId="095CF4F2" w14:textId="5A6C087F" w:rsidR="006A6A6D" w:rsidRPr="00FA4EF4" w:rsidRDefault="00331BD1" w:rsidP="00D94F2F">
      <w:pPr>
        <w:ind w:firstLine="0"/>
      </w:pPr>
      <w:r w:rsidRPr="00FA4EF4">
        <w:t xml:space="preserve">where the total mass of tailings </w:t>
      </w:r>
      <w:r w:rsidR="00242723" w:rsidRPr="00FA4EF4">
        <w:t>is</w:t>
      </w:r>
      <w:r w:rsidRPr="00FA4EF4">
        <w:t xml:space="preserve"> given in kg and the </w:t>
      </w:r>
      <w:r w:rsidR="00BE164D" w:rsidRPr="00FA4EF4">
        <w:t xml:space="preserve">analyte weighted mean is in ppm. The </w:t>
      </w:r>
      <w:r w:rsidR="009A0365" w:rsidRPr="00FA4EF4">
        <w:t xml:space="preserve">resulting resource estimate in kilograms was </w:t>
      </w:r>
      <w:r w:rsidR="004D3187" w:rsidRPr="00FA4EF4">
        <w:t xml:space="preserve">divided by </w:t>
      </w:r>
      <w:r w:rsidR="00272817">
        <w:t>1000</w:t>
      </w:r>
      <w:r w:rsidR="004D3187" w:rsidRPr="00FA4EF4">
        <w:t xml:space="preserve"> to convert to </w:t>
      </w:r>
      <w:r w:rsidR="00272817">
        <w:t>metric tons</w:t>
      </w:r>
      <w:r w:rsidR="009A0365" w:rsidRPr="00FA4EF4">
        <w:t xml:space="preserve"> (</w:t>
      </w:r>
      <w:r w:rsidR="00272817">
        <w:t>t</w:t>
      </w:r>
      <w:r w:rsidR="009A0365" w:rsidRPr="00FA4EF4">
        <w:t>)</w:t>
      </w:r>
      <w:r w:rsidR="001A4CA9" w:rsidRPr="00FA4EF4">
        <w:t xml:space="preserve">. </w:t>
      </w:r>
      <w:r w:rsidR="00BB3389" w:rsidRPr="00FA4EF4">
        <w:t xml:space="preserve">Table </w:t>
      </w:r>
      <w:r w:rsidR="00BF2447" w:rsidRPr="00FA4EF4">
        <w:t>4</w:t>
      </w:r>
      <w:r w:rsidR="00777D09" w:rsidRPr="00FA4EF4">
        <w:t xml:space="preserve"> shows resource estimates in </w:t>
      </w:r>
      <w:r w:rsidR="00292C1F" w:rsidRPr="00FA4EF4">
        <w:t>kg</w:t>
      </w:r>
      <w:r w:rsidR="00777D09" w:rsidRPr="00FA4EF4">
        <w:t xml:space="preserve"> and</w:t>
      </w:r>
      <w:r w:rsidR="0067313C" w:rsidRPr="00FA4EF4">
        <w:t xml:space="preserve"> </w:t>
      </w:r>
      <w:r w:rsidR="00272817">
        <w:t xml:space="preserve">t </w:t>
      </w:r>
      <w:r w:rsidR="00777D09" w:rsidRPr="00FA4EF4">
        <w:t>for all critical minerals and non-critical commodities discussed in this report.</w:t>
      </w:r>
      <w:r w:rsidR="00237072" w:rsidRPr="00FA4EF4">
        <w:t xml:space="preserve"> </w:t>
      </w:r>
      <w:r w:rsidR="00085DC4" w:rsidRPr="00FA4EF4">
        <w:t xml:space="preserve">These resource estimates range from </w:t>
      </w:r>
      <w:r w:rsidR="00272817">
        <w:t>66,695 t</w:t>
      </w:r>
      <w:r w:rsidR="00630632" w:rsidRPr="00FA4EF4">
        <w:t xml:space="preserve"> for F to </w:t>
      </w:r>
      <w:r w:rsidR="00272817">
        <w:t>8 t</w:t>
      </w:r>
      <w:r w:rsidR="00630632" w:rsidRPr="00FA4EF4">
        <w:t xml:space="preserve"> for Ge.</w:t>
      </w:r>
    </w:p>
    <w:p w14:paraId="7639F06C" w14:textId="29FAEC03" w:rsidR="00C32187" w:rsidRDefault="00D3493C" w:rsidP="002C492A">
      <w:pPr>
        <w:rPr>
          <w:color w:val="000000"/>
        </w:rPr>
      </w:pPr>
      <w:r w:rsidRPr="00FA4EF4">
        <w:rPr>
          <w:color w:val="000000"/>
        </w:rPr>
        <w:t xml:space="preserve">This </w:t>
      </w:r>
      <w:r w:rsidR="00627004" w:rsidRPr="00FA4EF4">
        <w:rPr>
          <w:color w:val="000000"/>
        </w:rPr>
        <w:t>study</w:t>
      </w:r>
      <w:r w:rsidRPr="00FA4EF4">
        <w:rPr>
          <w:color w:val="000000"/>
        </w:rPr>
        <w:t>’s</w:t>
      </w:r>
      <w:r w:rsidR="005A1356" w:rsidRPr="00FA4EF4">
        <w:rPr>
          <w:color w:val="000000"/>
        </w:rPr>
        <w:t xml:space="preserve"> calculation </w:t>
      </w:r>
      <w:r w:rsidR="007E0865" w:rsidRPr="00FA4EF4">
        <w:rPr>
          <w:color w:val="000000"/>
        </w:rPr>
        <w:t>suggests that</w:t>
      </w:r>
      <w:r w:rsidR="00627004" w:rsidRPr="00FA4EF4">
        <w:rPr>
          <w:color w:val="000000"/>
        </w:rPr>
        <w:t xml:space="preserve"> </w:t>
      </w:r>
      <w:r w:rsidR="00EC4D7B">
        <w:rPr>
          <w:color w:val="000000"/>
        </w:rPr>
        <w:t>2,706 t W</w:t>
      </w:r>
      <w:r w:rsidR="00951EB8" w:rsidRPr="00FA4EF4">
        <w:rPr>
          <w:color w:val="000000"/>
        </w:rPr>
        <w:t xml:space="preserve"> </w:t>
      </w:r>
      <w:r w:rsidR="00E35FF9" w:rsidRPr="00FA4EF4">
        <w:rPr>
          <w:color w:val="000000"/>
        </w:rPr>
        <w:t xml:space="preserve">is contained in the </w:t>
      </w:r>
      <w:r w:rsidR="00ED79F9" w:rsidRPr="00FA4EF4">
        <w:rPr>
          <w:color w:val="000000"/>
        </w:rPr>
        <w:t>Tungsten</w:t>
      </w:r>
      <w:r w:rsidR="00E35FF9" w:rsidRPr="00FA4EF4">
        <w:rPr>
          <w:color w:val="000000"/>
        </w:rPr>
        <w:t xml:space="preserve"> Queen tailings pond. </w:t>
      </w:r>
      <w:r w:rsidR="00FE29AE" w:rsidRPr="00FA4EF4">
        <w:rPr>
          <w:color w:val="000000"/>
        </w:rPr>
        <w:fldChar w:fldCharType="begin"/>
      </w:r>
      <w:r w:rsidR="006D243F" w:rsidRPr="00FA4EF4">
        <w:rPr>
          <w:color w:val="000000"/>
        </w:rPr>
        <w:instrText xml:space="preserve"> ADDIN ZOTERO_ITEM CSL_CITATION {"citationID":"XAXMaARl","properties":{"formattedCitation":"(Meyertons, 1975)","plainCitation":"(Meyertons, 1975)","dontUpdate":true,"noteIndex":0},"citationItems":[{"id":77,"uris":["http://zotero.org/users/17206691/items/B3WBRLXM"],"itemData":{"id":77,"type":"report","page":"1-11","title":"A Preliminary Estimate of Tungsten Content of Tungsten Queen Tailing for Ranchers Exploration &amp; Development Corporation","author":[{"family":"Meyertons","given":"Ralph"}],"issued":{"date-parts":[["1975"]]}}}],"schema":"https://github.com/citation-style-language/schema/raw/master/csl-citation.json"} </w:instrText>
      </w:r>
      <w:r w:rsidR="00FE29AE" w:rsidRPr="00FA4EF4">
        <w:rPr>
          <w:color w:val="000000"/>
        </w:rPr>
        <w:fldChar w:fldCharType="separate"/>
      </w:r>
      <w:r w:rsidR="00FE29AE" w:rsidRPr="00FA4EF4">
        <w:t>Meyertons (1975)</w:t>
      </w:r>
      <w:r w:rsidR="00FE29AE" w:rsidRPr="00FA4EF4">
        <w:rPr>
          <w:color w:val="000000"/>
        </w:rPr>
        <w:fldChar w:fldCharType="end"/>
      </w:r>
      <w:r w:rsidR="00E35FF9" w:rsidRPr="00FA4EF4">
        <w:rPr>
          <w:color w:val="000000"/>
        </w:rPr>
        <w:t xml:space="preserve"> estimate</w:t>
      </w:r>
      <w:r w:rsidR="00203C5B" w:rsidRPr="00FA4EF4">
        <w:rPr>
          <w:color w:val="000000"/>
        </w:rPr>
        <w:t>d</w:t>
      </w:r>
      <w:r w:rsidR="00E35FF9" w:rsidRPr="00FA4EF4">
        <w:rPr>
          <w:color w:val="000000"/>
        </w:rPr>
        <w:t xml:space="preserve"> </w:t>
      </w:r>
      <w:r w:rsidR="00305A08">
        <w:t>404,</w:t>
      </w:r>
      <w:r w:rsidR="00684C6B">
        <w:t xml:space="preserve">242 t </w:t>
      </w:r>
      <w:r w:rsidR="00BE38A2" w:rsidRPr="00FA4EF4">
        <w:t>W</w:t>
      </w:r>
      <w:r w:rsidR="003A25DA" w:rsidRPr="00FA4EF4">
        <w:t>O</w:t>
      </w:r>
      <w:r w:rsidR="00BE38A2" w:rsidRPr="00FA4EF4">
        <w:rPr>
          <w:vertAlign w:val="subscript"/>
        </w:rPr>
        <w:t>3</w:t>
      </w:r>
      <w:r w:rsidR="00C24C86" w:rsidRPr="00FA4EF4">
        <w:rPr>
          <w:vertAlign w:val="subscript"/>
        </w:rPr>
        <w:t xml:space="preserve"> </w:t>
      </w:r>
      <w:r w:rsidR="00F83CB5">
        <w:t>(</w:t>
      </w:r>
      <w:r w:rsidR="00701629">
        <w:t xml:space="preserve">320,552 t W) </w:t>
      </w:r>
      <w:r w:rsidR="00433977" w:rsidRPr="00FA4EF4">
        <w:t xml:space="preserve">for all tailings, </w:t>
      </w:r>
      <w:r w:rsidR="00644E25" w:rsidRPr="00FA4EF4">
        <w:t>which equates to</w:t>
      </w:r>
      <w:r w:rsidR="00E30FE8" w:rsidRPr="00FA4EF4">
        <w:t xml:space="preserve"> </w:t>
      </w:r>
      <w:r w:rsidR="00684C6B">
        <w:t>386,</w:t>
      </w:r>
      <w:r w:rsidR="00DC53BA">
        <w:t>851 t</w:t>
      </w:r>
      <w:r w:rsidR="00644E25" w:rsidRPr="00FA4EF4">
        <w:t xml:space="preserve"> </w:t>
      </w:r>
      <w:r w:rsidR="00846EC1">
        <w:t>W</w:t>
      </w:r>
      <w:r w:rsidR="00846EC1" w:rsidRPr="006F767E">
        <w:t>O</w:t>
      </w:r>
      <w:r w:rsidR="00846EC1" w:rsidRPr="006F767E">
        <w:rPr>
          <w:vertAlign w:val="subscript"/>
        </w:rPr>
        <w:t>3</w:t>
      </w:r>
      <w:r w:rsidR="00846EC1" w:rsidRPr="006F767E">
        <w:t xml:space="preserve"> (306</w:t>
      </w:r>
      <w:r w:rsidR="00567AFE">
        <w:t>,</w:t>
      </w:r>
      <w:r w:rsidR="00846EC1" w:rsidRPr="006F767E">
        <w:t xml:space="preserve">762 t W) </w:t>
      </w:r>
      <w:r w:rsidR="00644E25" w:rsidRPr="006F767E">
        <w:t>without zone 1</w:t>
      </w:r>
      <w:r w:rsidR="00BE38A2" w:rsidRPr="006F767E">
        <w:t>.</w:t>
      </w:r>
      <w:r w:rsidR="00951EB8" w:rsidRPr="006F767E">
        <w:rPr>
          <w:color w:val="000000"/>
        </w:rPr>
        <w:t xml:space="preserve"> </w:t>
      </w:r>
      <w:r w:rsidR="00D83700" w:rsidRPr="006F767E">
        <w:rPr>
          <w:color w:val="000000"/>
        </w:rPr>
        <w:t>This study’s estimate is</w:t>
      </w:r>
      <w:r w:rsidR="0028513E" w:rsidRPr="006F767E">
        <w:rPr>
          <w:color w:val="000000"/>
        </w:rPr>
        <w:t xml:space="preserve"> ~</w:t>
      </w:r>
      <w:r w:rsidR="00A22CBA" w:rsidRPr="006F767E">
        <w:rPr>
          <w:color w:val="000000"/>
        </w:rPr>
        <w:t>99</w:t>
      </w:r>
      <w:r w:rsidR="0028513E" w:rsidRPr="006F767E">
        <w:rPr>
          <w:color w:val="000000"/>
        </w:rPr>
        <w:t>% lower than</w:t>
      </w:r>
      <w:r w:rsidR="00B50658" w:rsidRPr="006F767E">
        <w:rPr>
          <w:color w:val="000000"/>
        </w:rPr>
        <w:t xml:space="preserve"> </w:t>
      </w:r>
      <w:r w:rsidR="00FE277D" w:rsidRPr="006F767E">
        <w:rPr>
          <w:color w:val="000000"/>
        </w:rPr>
        <w:fldChar w:fldCharType="begin"/>
      </w:r>
      <w:r w:rsidR="001B2EFD" w:rsidRPr="006F767E">
        <w:rPr>
          <w:color w:val="000000"/>
        </w:rPr>
        <w:instrText xml:space="preserve"> ADDIN ZOTERO_ITEM CSL_CITATION {"citationID":"OrSuZ7z0","properties":{"formattedCitation":"(Meyertons, 1975)","plainCitation":"(Meyertons, 1975)","dontUpdate":true,"noteIndex":0},"citationItems":[{"id":77,"uris":["http://zotero.org/users/17206691/items/B3WBRLXM"],"itemData":{"id":77,"type":"report","page":"1-11","title":"A Preliminary Estimate of Tungsten Content of Tungsten Queen Tailing for Ranchers Exploration &amp; Development Corporation","author":[{"family":"Meyertons","given":"Ralph"}],"issued":{"date-parts":[["1975"]]}}}],"schema":"https://github.com/citation-style-language/schema/raw/master/csl-citation.json"} </w:instrText>
      </w:r>
      <w:r w:rsidR="00FE277D" w:rsidRPr="006F767E">
        <w:rPr>
          <w:color w:val="000000"/>
        </w:rPr>
        <w:fldChar w:fldCharType="separate"/>
      </w:r>
      <w:r w:rsidR="00FE277D" w:rsidRPr="006F767E">
        <w:t xml:space="preserve">Meyertons </w:t>
      </w:r>
      <w:r w:rsidR="00FF429B" w:rsidRPr="006F767E">
        <w:t>(</w:t>
      </w:r>
      <w:r w:rsidR="00FE277D" w:rsidRPr="006F767E">
        <w:t>1975)</w:t>
      </w:r>
      <w:r w:rsidR="00FE277D" w:rsidRPr="006F767E">
        <w:rPr>
          <w:color w:val="000000"/>
        </w:rPr>
        <w:fldChar w:fldCharType="end"/>
      </w:r>
      <w:r w:rsidR="00D83700" w:rsidRPr="006F767E">
        <w:rPr>
          <w:color w:val="000000"/>
        </w:rPr>
        <w:t xml:space="preserve"> </w:t>
      </w:r>
      <w:r w:rsidR="00FF429B" w:rsidRPr="006F767E">
        <w:rPr>
          <w:color w:val="000000"/>
        </w:rPr>
        <w:t>despite a larger estimated tailings volume</w:t>
      </w:r>
      <w:r w:rsidR="00FA76D3">
        <w:rPr>
          <w:color w:val="000000"/>
        </w:rPr>
        <w:t xml:space="preserve">. This could be due to many factors, including </w:t>
      </w:r>
      <w:r w:rsidR="00EE5ADC">
        <w:rPr>
          <w:color w:val="000000"/>
        </w:rPr>
        <w:t xml:space="preserve">(a) </w:t>
      </w:r>
      <w:r w:rsidR="008937E3" w:rsidRPr="006F767E">
        <w:rPr>
          <w:color w:val="000000"/>
        </w:rPr>
        <w:t xml:space="preserve">the lower </w:t>
      </w:r>
      <w:r w:rsidR="0065240D" w:rsidRPr="006F767E">
        <w:rPr>
          <w:color w:val="000000"/>
        </w:rPr>
        <w:t>weighted mean WO</w:t>
      </w:r>
      <w:r w:rsidR="0065240D" w:rsidRPr="006F767E">
        <w:rPr>
          <w:color w:val="000000"/>
          <w:vertAlign w:val="subscript"/>
        </w:rPr>
        <w:t>3</w:t>
      </w:r>
      <w:r w:rsidR="0065240D" w:rsidRPr="006F767E">
        <w:rPr>
          <w:color w:val="000000"/>
        </w:rPr>
        <w:t xml:space="preserve"> calculated by this study, which was </w:t>
      </w:r>
      <w:r w:rsidR="004D011E" w:rsidRPr="006F767E">
        <w:rPr>
          <w:color w:val="000000"/>
        </w:rPr>
        <w:t xml:space="preserve">0.139 wt% </w:t>
      </w:r>
      <w:r w:rsidR="00925662" w:rsidRPr="006F767E">
        <w:rPr>
          <w:color w:val="000000"/>
        </w:rPr>
        <w:t xml:space="preserve">versus 0.218 wt% </w:t>
      </w:r>
      <w:r w:rsidR="00367061" w:rsidRPr="006F767E">
        <w:rPr>
          <w:color w:val="000000"/>
        </w:rPr>
        <w:t>for</w:t>
      </w:r>
      <w:r w:rsidR="00925662" w:rsidRPr="006F767E">
        <w:rPr>
          <w:color w:val="000000"/>
        </w:rPr>
        <w:t xml:space="preserve"> </w:t>
      </w:r>
      <w:r w:rsidR="000F6897" w:rsidRPr="006F767E">
        <w:rPr>
          <w:color w:val="000000"/>
        </w:rPr>
        <w:fldChar w:fldCharType="begin"/>
      </w:r>
      <w:r w:rsidR="006D243F" w:rsidRPr="006F767E">
        <w:rPr>
          <w:color w:val="000000"/>
        </w:rPr>
        <w:instrText xml:space="preserve"> ADDIN ZOTERO_ITEM CSL_CITATION {"citationID":"526MuJN5","properties":{"formattedCitation":"(Meyertons, 1975)","plainCitation":"(Meyertons, 1975)","dontUpdate":true,"noteIndex":0},"citationItems":[{"id":77,"uris":["http://zotero.org/users/17206691/items/B3WBRLXM"],"itemData":{"id":77,"type":"report","page":"1-11","title":"A Preliminary Estimate of Tungsten Content of Tungsten Queen Tailing for Ranchers Exploration &amp; Development Corporation","author":[{"family":"Meyertons","given":"Ralph"}],"issued":{"date-parts":[["1975"]]}}}],"schema":"https://github.com/citation-style-language/schema/raw/master/csl-citation.json"} </w:instrText>
      </w:r>
      <w:r w:rsidR="000F6897" w:rsidRPr="006F767E">
        <w:rPr>
          <w:color w:val="000000"/>
        </w:rPr>
        <w:fldChar w:fldCharType="separate"/>
      </w:r>
      <w:r w:rsidR="000F6897" w:rsidRPr="006F767E">
        <w:t>Meyertons (1975)</w:t>
      </w:r>
      <w:r w:rsidR="000F6897" w:rsidRPr="006F767E">
        <w:rPr>
          <w:color w:val="000000"/>
        </w:rPr>
        <w:fldChar w:fldCharType="end"/>
      </w:r>
      <w:r w:rsidR="00175C5A">
        <w:rPr>
          <w:color w:val="000000"/>
        </w:rPr>
        <w:t xml:space="preserve"> </w:t>
      </w:r>
      <w:r w:rsidR="00D544FE">
        <w:rPr>
          <w:color w:val="000000"/>
        </w:rPr>
        <w:t>or</w:t>
      </w:r>
      <w:r w:rsidR="00FA76D3">
        <w:rPr>
          <w:color w:val="000000"/>
        </w:rPr>
        <w:t xml:space="preserve"> </w:t>
      </w:r>
      <w:r w:rsidR="00EE5ADC">
        <w:rPr>
          <w:color w:val="000000"/>
        </w:rPr>
        <w:t xml:space="preserve">(b) </w:t>
      </w:r>
      <w:r w:rsidR="000F6897" w:rsidRPr="006F767E">
        <w:rPr>
          <w:color w:val="000000"/>
        </w:rPr>
        <w:t xml:space="preserve">this study’s sampling limitations </w:t>
      </w:r>
      <w:r w:rsidR="007D3C50" w:rsidRPr="006F767E">
        <w:rPr>
          <w:color w:val="000000"/>
        </w:rPr>
        <w:t xml:space="preserve">since </w:t>
      </w:r>
      <w:r w:rsidR="00B234E6" w:rsidRPr="006F767E">
        <w:rPr>
          <w:color w:val="000000"/>
        </w:rPr>
        <w:t>the highest wt% WO</w:t>
      </w:r>
      <w:r w:rsidR="00B234E6" w:rsidRPr="006F767E">
        <w:rPr>
          <w:color w:val="000000"/>
          <w:vertAlign w:val="subscript"/>
        </w:rPr>
        <w:t>3</w:t>
      </w:r>
      <w:r w:rsidR="00B234E6" w:rsidRPr="006F767E">
        <w:rPr>
          <w:color w:val="000000"/>
        </w:rPr>
        <w:t xml:space="preserve"> values reported by </w:t>
      </w:r>
      <w:r w:rsidR="000F6897" w:rsidRPr="006F767E">
        <w:rPr>
          <w:color w:val="000000"/>
        </w:rPr>
        <w:fldChar w:fldCharType="begin"/>
      </w:r>
      <w:r w:rsidR="006D243F" w:rsidRPr="006F767E">
        <w:rPr>
          <w:color w:val="000000"/>
        </w:rPr>
        <w:instrText xml:space="preserve"> ADDIN ZOTERO_ITEM CSL_CITATION {"citationID":"6lh6Luoc","properties":{"formattedCitation":"(Meyertons, 1975)","plainCitation":"(Meyertons, 1975)","dontUpdate":true,"noteIndex":0},"citationItems":[{"id":77,"uris":["http://zotero.org/users/17206691/items/B3WBRLXM"],"itemData":{"id":77,"type":"report","page":"1-11","title":"A Preliminary Estimate of Tungsten Content of Tungsten Queen Tailing for Ranchers Exploration &amp; Development Corporation","author":[{"family":"Meyertons","given":"Ralph"}],"issued":{"date-parts":[["1975"]]}}}],"schema":"https://github.com/citation-style-language/schema/raw/master/csl-citation.json"} </w:instrText>
      </w:r>
      <w:r w:rsidR="000F6897" w:rsidRPr="006F767E">
        <w:rPr>
          <w:color w:val="000000"/>
        </w:rPr>
        <w:fldChar w:fldCharType="separate"/>
      </w:r>
      <w:r w:rsidR="000F6897" w:rsidRPr="006F767E">
        <w:t>Meyertons (1975)</w:t>
      </w:r>
      <w:r w:rsidR="000F6897" w:rsidRPr="006F767E">
        <w:rPr>
          <w:color w:val="000000"/>
        </w:rPr>
        <w:fldChar w:fldCharType="end"/>
      </w:r>
      <w:r w:rsidR="00B234E6" w:rsidRPr="006F767E">
        <w:rPr>
          <w:color w:val="000000"/>
        </w:rPr>
        <w:t xml:space="preserve"> were in a section of </w:t>
      </w:r>
      <w:r w:rsidR="00F82AD4" w:rsidRPr="006F767E">
        <w:rPr>
          <w:color w:val="000000"/>
        </w:rPr>
        <w:t>tailings pond 3</w:t>
      </w:r>
      <w:r w:rsidR="00B234E6" w:rsidRPr="006F767E">
        <w:rPr>
          <w:color w:val="000000"/>
        </w:rPr>
        <w:t xml:space="preserve"> this study did not have permission to access</w:t>
      </w:r>
      <w:r w:rsidR="00175C5A">
        <w:rPr>
          <w:color w:val="000000"/>
        </w:rPr>
        <w:t>.</w:t>
      </w:r>
      <w:r w:rsidR="00D544FE">
        <w:rPr>
          <w:color w:val="000000"/>
        </w:rPr>
        <w:t xml:space="preserve"> However,</w:t>
      </w:r>
      <w:r w:rsidR="00F650FD">
        <w:rPr>
          <w:color w:val="000000"/>
        </w:rPr>
        <w:t xml:space="preserve"> it is hard to reconcile two orders of magnitude difference between these estimates based on those factors. </w:t>
      </w:r>
      <w:r w:rsidR="0073763C">
        <w:rPr>
          <w:color w:val="000000"/>
        </w:rPr>
        <w:t xml:space="preserve">Given the </w:t>
      </w:r>
      <w:r w:rsidR="002A0050">
        <w:rPr>
          <w:color w:val="000000"/>
        </w:rPr>
        <w:t xml:space="preserve">input </w:t>
      </w:r>
      <w:r w:rsidR="00424C0A">
        <w:rPr>
          <w:color w:val="000000"/>
        </w:rPr>
        <w:t xml:space="preserve">data of </w:t>
      </w:r>
      <w:r w:rsidR="002A0050" w:rsidRPr="006F767E">
        <w:rPr>
          <w:color w:val="000000"/>
        </w:rPr>
        <w:fldChar w:fldCharType="begin"/>
      </w:r>
      <w:r w:rsidR="002A0050" w:rsidRPr="006F767E">
        <w:rPr>
          <w:color w:val="000000"/>
        </w:rPr>
        <w:instrText xml:space="preserve"> ADDIN ZOTERO_ITEM CSL_CITATION {"citationID":"6lh6Luoc","properties":{"formattedCitation":"(Meyertons, 1975)","plainCitation":"(Meyertons, 1975)","dontUpdate":true,"noteIndex":0},"citationItems":[{"id":77,"uris":["http://zotero.org/users/17206691/items/B3WBRLXM"],"itemData":{"id":77,"type":"report","page":"1-11","title":"A Preliminary Estimate of Tungsten Content of Tungsten Queen Tailing for Ranchers Exploration &amp; Development Corporation","author":[{"family":"Meyertons","given":"Ralph"}],"issued":{"date-parts":[["1975"]]}}}],"schema":"https://github.com/citation-style-language/schema/raw/master/csl-citation.json"} </w:instrText>
      </w:r>
      <w:r w:rsidR="002A0050" w:rsidRPr="006F767E">
        <w:rPr>
          <w:color w:val="000000"/>
        </w:rPr>
        <w:fldChar w:fldCharType="separate"/>
      </w:r>
      <w:r w:rsidR="002A0050" w:rsidRPr="006F767E">
        <w:t>Meyertons (1975)</w:t>
      </w:r>
      <w:r w:rsidR="002A0050" w:rsidRPr="006F767E">
        <w:rPr>
          <w:color w:val="000000"/>
        </w:rPr>
        <w:fldChar w:fldCharType="end"/>
      </w:r>
      <w:r w:rsidR="00424C0A">
        <w:rPr>
          <w:color w:val="000000"/>
        </w:rPr>
        <w:t xml:space="preserve"> used to calculate the resource estimate of WO</w:t>
      </w:r>
      <w:r w:rsidR="00424C0A" w:rsidRPr="00424C0A">
        <w:rPr>
          <w:color w:val="000000"/>
          <w:vertAlign w:val="subscript"/>
        </w:rPr>
        <w:t>3</w:t>
      </w:r>
      <w:r w:rsidR="00424C0A" w:rsidRPr="00424C0A">
        <w:rPr>
          <w:color w:val="000000"/>
          <w:vertAlign w:val="superscript"/>
        </w:rPr>
        <w:t xml:space="preserve"> </w:t>
      </w:r>
      <w:r w:rsidR="00424C0A">
        <w:rPr>
          <w:color w:val="000000"/>
        </w:rPr>
        <w:t>(</w:t>
      </w:r>
      <w:r w:rsidR="004D390D">
        <w:rPr>
          <w:color w:val="000000"/>
        </w:rPr>
        <w:t>including</w:t>
      </w:r>
      <w:r w:rsidR="002A0050">
        <w:rPr>
          <w:color w:val="000000"/>
        </w:rPr>
        <w:t xml:space="preserve"> </w:t>
      </w:r>
      <w:r w:rsidR="002A0050" w:rsidRPr="006F767E">
        <w:rPr>
          <w:color w:val="000000"/>
        </w:rPr>
        <w:t>0.218 wt%</w:t>
      </w:r>
      <w:r w:rsidR="004D390D">
        <w:rPr>
          <w:color w:val="000000"/>
        </w:rPr>
        <w:t xml:space="preserve"> WO</w:t>
      </w:r>
      <w:r w:rsidR="004D390D" w:rsidRPr="004D390D">
        <w:rPr>
          <w:color w:val="000000"/>
          <w:vertAlign w:val="subscript"/>
        </w:rPr>
        <w:t>3</w:t>
      </w:r>
      <w:r w:rsidR="00424C0A">
        <w:rPr>
          <w:color w:val="000000"/>
        </w:rPr>
        <w:t xml:space="preserve"> and</w:t>
      </w:r>
      <w:r w:rsidR="004D390D">
        <w:rPr>
          <w:color w:val="000000"/>
        </w:rPr>
        <w:t xml:space="preserve">  </w:t>
      </w:r>
      <w:r w:rsidR="00BD289B">
        <w:rPr>
          <w:color w:val="000000"/>
        </w:rPr>
        <w:t>2,038,000 “tons” of tailings</w:t>
      </w:r>
      <w:r w:rsidR="00424C0A">
        <w:rPr>
          <w:color w:val="000000"/>
        </w:rPr>
        <w:t>)</w:t>
      </w:r>
      <w:r w:rsidR="00BD289B">
        <w:rPr>
          <w:color w:val="000000"/>
        </w:rPr>
        <w:t xml:space="preserve"> </w:t>
      </w:r>
      <w:r w:rsidR="007E7FEE">
        <w:rPr>
          <w:color w:val="000000"/>
        </w:rPr>
        <w:t>it seems possible that a decimal place error was involved during conversion and/or calculation of STU of WO</w:t>
      </w:r>
      <w:r w:rsidR="007E7FEE" w:rsidRPr="007E7FEE">
        <w:rPr>
          <w:color w:val="000000"/>
          <w:vertAlign w:val="subscript"/>
        </w:rPr>
        <w:t>3</w:t>
      </w:r>
      <w:r w:rsidR="007E7FEE">
        <w:rPr>
          <w:color w:val="000000"/>
        </w:rPr>
        <w:t xml:space="preserve"> in that report. </w:t>
      </w:r>
    </w:p>
    <w:p w14:paraId="093A9DD9" w14:textId="77777777" w:rsidR="001E6326" w:rsidRPr="007E7FEE" w:rsidRDefault="001E6326" w:rsidP="002C492A">
      <w:pPr>
        <w:rPr>
          <w:color w:val="000000"/>
        </w:rPr>
      </w:pPr>
    </w:p>
    <w:tbl>
      <w:tblPr>
        <w:tblW w:w="6143" w:type="dxa"/>
        <w:tblLook w:val="04A0" w:firstRow="1" w:lastRow="0" w:firstColumn="1" w:lastColumn="0" w:noHBand="0" w:noVBand="1"/>
      </w:tblPr>
      <w:tblGrid>
        <w:gridCol w:w="1335"/>
        <w:gridCol w:w="1486"/>
        <w:gridCol w:w="1836"/>
        <w:gridCol w:w="1733"/>
      </w:tblGrid>
      <w:tr w:rsidR="00F864B7" w:rsidRPr="00F864B7" w14:paraId="6496AD4B" w14:textId="77777777" w:rsidTr="00731586">
        <w:trPr>
          <w:trHeight w:val="432"/>
        </w:trPr>
        <w:tc>
          <w:tcPr>
            <w:tcW w:w="6140" w:type="dxa"/>
            <w:gridSpan w:val="4"/>
            <w:tcBorders>
              <w:top w:val="nil"/>
              <w:left w:val="nil"/>
              <w:bottom w:val="single" w:sz="4" w:space="0" w:color="auto"/>
              <w:right w:val="nil"/>
            </w:tcBorders>
            <w:vAlign w:val="bottom"/>
            <w:hideMark/>
          </w:tcPr>
          <w:p w14:paraId="2F4C55E6" w14:textId="77777777" w:rsidR="002C492A" w:rsidRDefault="00F864B7" w:rsidP="00126239">
            <w:pPr>
              <w:spacing w:after="0"/>
              <w:ind w:firstLine="0"/>
              <w:rPr>
                <w:rFonts w:eastAsia="Times New Roman" w:cs="Times New Roman"/>
                <w:color w:val="000000"/>
                <w:sz w:val="20"/>
                <w:szCs w:val="20"/>
              </w:rPr>
            </w:pPr>
            <w:r w:rsidRPr="0067561A">
              <w:rPr>
                <w:rFonts w:eastAsia="Times New Roman" w:cs="Times New Roman"/>
                <w:color w:val="000000"/>
                <w:sz w:val="20"/>
                <w:szCs w:val="20"/>
              </w:rPr>
              <w:t>Table 4. Weighted Mean Concentrations and Resource Estimates for</w:t>
            </w:r>
          </w:p>
          <w:p w14:paraId="06757F06" w14:textId="56F82D1A" w:rsidR="00F864B7" w:rsidRPr="0067561A" w:rsidRDefault="00F864B7" w:rsidP="00F864B7">
            <w:pPr>
              <w:spacing w:after="0"/>
              <w:rPr>
                <w:rFonts w:eastAsia="Times New Roman" w:cs="Times New Roman"/>
                <w:color w:val="000000"/>
                <w:sz w:val="20"/>
                <w:szCs w:val="20"/>
              </w:rPr>
            </w:pPr>
            <w:r w:rsidRPr="0067561A">
              <w:rPr>
                <w:rFonts w:eastAsia="Times New Roman" w:cs="Times New Roman"/>
                <w:color w:val="000000"/>
                <w:sz w:val="20"/>
                <w:szCs w:val="20"/>
              </w:rPr>
              <w:t>Tungsten Queen Tailings</w:t>
            </w:r>
          </w:p>
        </w:tc>
      </w:tr>
      <w:tr w:rsidR="00F864B7" w:rsidRPr="00F864B7" w14:paraId="17C068B8" w14:textId="77777777" w:rsidTr="00731586">
        <w:trPr>
          <w:trHeight w:val="710"/>
        </w:trPr>
        <w:tc>
          <w:tcPr>
            <w:tcW w:w="1335" w:type="dxa"/>
            <w:tcBorders>
              <w:top w:val="nil"/>
              <w:left w:val="nil"/>
              <w:bottom w:val="double" w:sz="6" w:space="0" w:color="auto"/>
              <w:right w:val="nil"/>
            </w:tcBorders>
            <w:vAlign w:val="bottom"/>
            <w:hideMark/>
          </w:tcPr>
          <w:p w14:paraId="03830538" w14:textId="77777777" w:rsidR="00F864B7" w:rsidRPr="00F864B7" w:rsidRDefault="00F864B7" w:rsidP="00B649ED">
            <w:pPr>
              <w:spacing w:after="0"/>
              <w:ind w:firstLine="0"/>
              <w:jc w:val="center"/>
              <w:rPr>
                <w:rFonts w:eastAsia="Times New Roman" w:cs="Times New Roman"/>
                <w:b/>
                <w:bCs/>
                <w:color w:val="000000"/>
                <w:sz w:val="20"/>
                <w:szCs w:val="20"/>
              </w:rPr>
            </w:pPr>
            <w:r w:rsidRPr="00F864B7">
              <w:rPr>
                <w:rFonts w:eastAsia="Times New Roman" w:cs="Times New Roman"/>
                <w:b/>
                <w:bCs/>
                <w:color w:val="000000"/>
                <w:sz w:val="20"/>
                <w:szCs w:val="20"/>
              </w:rPr>
              <w:t>Critical Mineral</w:t>
            </w:r>
          </w:p>
        </w:tc>
        <w:tc>
          <w:tcPr>
            <w:tcW w:w="1486" w:type="dxa"/>
            <w:tcBorders>
              <w:top w:val="nil"/>
              <w:left w:val="nil"/>
              <w:bottom w:val="double" w:sz="6" w:space="0" w:color="auto"/>
              <w:right w:val="nil"/>
            </w:tcBorders>
            <w:vAlign w:val="bottom"/>
            <w:hideMark/>
          </w:tcPr>
          <w:p w14:paraId="546BE931" w14:textId="77777777" w:rsidR="00F864B7" w:rsidRPr="00F864B7" w:rsidRDefault="00F864B7" w:rsidP="00B649ED">
            <w:pPr>
              <w:spacing w:after="0"/>
              <w:ind w:firstLine="0"/>
              <w:jc w:val="center"/>
              <w:rPr>
                <w:rFonts w:eastAsia="Times New Roman" w:cs="Times New Roman"/>
                <w:b/>
                <w:bCs/>
                <w:color w:val="000000"/>
                <w:sz w:val="20"/>
                <w:szCs w:val="20"/>
              </w:rPr>
            </w:pPr>
            <w:r w:rsidRPr="00F864B7">
              <w:rPr>
                <w:rFonts w:eastAsia="Times New Roman" w:cs="Times New Roman"/>
                <w:b/>
                <w:bCs/>
                <w:color w:val="000000"/>
                <w:sz w:val="20"/>
                <w:szCs w:val="20"/>
              </w:rPr>
              <w:t>Weighted mean (ppm)</w:t>
            </w:r>
          </w:p>
        </w:tc>
        <w:tc>
          <w:tcPr>
            <w:tcW w:w="1589" w:type="dxa"/>
            <w:tcBorders>
              <w:top w:val="nil"/>
              <w:left w:val="nil"/>
              <w:bottom w:val="double" w:sz="6" w:space="0" w:color="auto"/>
              <w:right w:val="nil"/>
            </w:tcBorders>
            <w:vAlign w:val="bottom"/>
            <w:hideMark/>
          </w:tcPr>
          <w:p w14:paraId="4ADDF150" w14:textId="77777777" w:rsidR="00F864B7" w:rsidRPr="00F864B7" w:rsidRDefault="00F864B7" w:rsidP="00B649ED">
            <w:pPr>
              <w:spacing w:after="0"/>
              <w:ind w:firstLine="0"/>
              <w:jc w:val="center"/>
              <w:rPr>
                <w:rFonts w:eastAsia="Times New Roman" w:cs="Times New Roman"/>
                <w:b/>
                <w:bCs/>
                <w:color w:val="000000"/>
                <w:sz w:val="20"/>
                <w:szCs w:val="20"/>
              </w:rPr>
            </w:pPr>
            <w:r w:rsidRPr="00F864B7">
              <w:rPr>
                <w:rFonts w:eastAsia="Times New Roman" w:cs="Times New Roman"/>
                <w:b/>
                <w:bCs/>
                <w:color w:val="000000"/>
                <w:sz w:val="20"/>
                <w:szCs w:val="20"/>
              </w:rPr>
              <w:t>Resource Estimate (kg)</w:t>
            </w:r>
          </w:p>
        </w:tc>
        <w:tc>
          <w:tcPr>
            <w:tcW w:w="1733" w:type="dxa"/>
            <w:tcBorders>
              <w:top w:val="nil"/>
              <w:left w:val="nil"/>
              <w:bottom w:val="double" w:sz="6" w:space="0" w:color="auto"/>
              <w:right w:val="nil"/>
            </w:tcBorders>
            <w:vAlign w:val="bottom"/>
            <w:hideMark/>
          </w:tcPr>
          <w:p w14:paraId="3F7F7536" w14:textId="02E19CB8" w:rsidR="00F864B7" w:rsidRPr="00F864B7" w:rsidRDefault="00F864B7" w:rsidP="00B649ED">
            <w:pPr>
              <w:spacing w:after="0"/>
              <w:ind w:firstLine="0"/>
              <w:jc w:val="center"/>
              <w:rPr>
                <w:rFonts w:eastAsia="Times New Roman" w:cs="Times New Roman"/>
                <w:b/>
                <w:bCs/>
                <w:color w:val="000000"/>
                <w:sz w:val="20"/>
                <w:szCs w:val="20"/>
              </w:rPr>
            </w:pPr>
            <w:r w:rsidRPr="00F864B7">
              <w:rPr>
                <w:rFonts w:eastAsia="Times New Roman" w:cs="Times New Roman"/>
                <w:b/>
                <w:bCs/>
                <w:color w:val="000000"/>
                <w:sz w:val="20"/>
                <w:szCs w:val="20"/>
              </w:rPr>
              <w:t>Resource Estimate (</w:t>
            </w:r>
            <w:r w:rsidR="00BD1506">
              <w:rPr>
                <w:rFonts w:eastAsia="Times New Roman" w:cs="Times New Roman"/>
                <w:b/>
                <w:bCs/>
                <w:color w:val="000000"/>
                <w:sz w:val="20"/>
                <w:szCs w:val="20"/>
              </w:rPr>
              <w:t>metric ton</w:t>
            </w:r>
            <w:r w:rsidRPr="00F864B7">
              <w:rPr>
                <w:rFonts w:eastAsia="Times New Roman" w:cs="Times New Roman"/>
                <w:b/>
                <w:bCs/>
                <w:color w:val="000000"/>
                <w:sz w:val="20"/>
                <w:szCs w:val="20"/>
              </w:rPr>
              <w:t>)</w:t>
            </w:r>
          </w:p>
        </w:tc>
      </w:tr>
      <w:tr w:rsidR="00F864B7" w:rsidRPr="00F864B7" w14:paraId="6B2BDD7B" w14:textId="77777777" w:rsidTr="00731586">
        <w:trPr>
          <w:trHeight w:val="245"/>
        </w:trPr>
        <w:tc>
          <w:tcPr>
            <w:tcW w:w="1335" w:type="dxa"/>
            <w:tcBorders>
              <w:top w:val="nil"/>
              <w:left w:val="nil"/>
              <w:bottom w:val="nil"/>
              <w:right w:val="nil"/>
            </w:tcBorders>
            <w:noWrap/>
            <w:vAlign w:val="bottom"/>
            <w:hideMark/>
          </w:tcPr>
          <w:p w14:paraId="4B7E14FD" w14:textId="77777777" w:rsidR="00F864B7" w:rsidRPr="00F864B7" w:rsidRDefault="00F864B7" w:rsidP="00B649ED">
            <w:pPr>
              <w:spacing w:after="0"/>
              <w:rPr>
                <w:rFonts w:eastAsia="Times New Roman" w:cs="Times New Roman"/>
                <w:color w:val="000000"/>
                <w:sz w:val="20"/>
                <w:szCs w:val="20"/>
              </w:rPr>
            </w:pPr>
            <w:r w:rsidRPr="00F864B7">
              <w:rPr>
                <w:rFonts w:eastAsia="Times New Roman" w:cs="Times New Roman"/>
                <w:color w:val="000000"/>
                <w:sz w:val="20"/>
                <w:szCs w:val="20"/>
              </w:rPr>
              <w:t>F</w:t>
            </w:r>
          </w:p>
        </w:tc>
        <w:tc>
          <w:tcPr>
            <w:tcW w:w="1486" w:type="dxa"/>
            <w:tcBorders>
              <w:top w:val="nil"/>
              <w:left w:val="nil"/>
              <w:bottom w:val="nil"/>
              <w:right w:val="nil"/>
            </w:tcBorders>
            <w:noWrap/>
            <w:vAlign w:val="bottom"/>
            <w:hideMark/>
          </w:tcPr>
          <w:p w14:paraId="3EF805F4" w14:textId="3AF46BB1" w:rsidR="00F864B7" w:rsidRPr="00F864B7" w:rsidRDefault="00F864B7" w:rsidP="00B649ED">
            <w:pPr>
              <w:spacing w:after="0"/>
              <w:rPr>
                <w:rFonts w:eastAsia="Times New Roman" w:cs="Times New Roman"/>
                <w:color w:val="000000"/>
                <w:sz w:val="20"/>
                <w:szCs w:val="20"/>
              </w:rPr>
            </w:pPr>
            <w:r w:rsidRPr="00F864B7">
              <w:rPr>
                <w:rFonts w:eastAsia="Times New Roman" w:cs="Times New Roman"/>
                <w:color w:val="000000"/>
                <w:sz w:val="20"/>
                <w:szCs w:val="20"/>
              </w:rPr>
              <w:t>27</w:t>
            </w:r>
            <w:r w:rsidR="003D2A38">
              <w:rPr>
                <w:rFonts w:eastAsia="Times New Roman" w:cs="Times New Roman"/>
                <w:color w:val="000000"/>
                <w:sz w:val="20"/>
                <w:szCs w:val="20"/>
              </w:rPr>
              <w:t>,</w:t>
            </w:r>
            <w:r w:rsidRPr="00F864B7">
              <w:rPr>
                <w:rFonts w:eastAsia="Times New Roman" w:cs="Times New Roman"/>
                <w:color w:val="000000"/>
                <w:sz w:val="20"/>
                <w:szCs w:val="20"/>
              </w:rPr>
              <w:t>106</w:t>
            </w:r>
          </w:p>
        </w:tc>
        <w:tc>
          <w:tcPr>
            <w:tcW w:w="1589" w:type="dxa"/>
            <w:tcBorders>
              <w:top w:val="nil"/>
              <w:left w:val="nil"/>
              <w:bottom w:val="nil"/>
              <w:right w:val="nil"/>
            </w:tcBorders>
            <w:noWrap/>
            <w:vAlign w:val="bottom"/>
            <w:hideMark/>
          </w:tcPr>
          <w:p w14:paraId="4C092586" w14:textId="3A9D3221" w:rsidR="00F864B7" w:rsidRPr="00F864B7" w:rsidRDefault="00F864B7" w:rsidP="00B649ED">
            <w:pPr>
              <w:spacing w:after="0"/>
              <w:rPr>
                <w:rFonts w:eastAsia="Times New Roman" w:cs="Times New Roman"/>
                <w:color w:val="000000"/>
                <w:sz w:val="20"/>
                <w:szCs w:val="20"/>
              </w:rPr>
            </w:pPr>
            <w:r w:rsidRPr="00F864B7">
              <w:rPr>
                <w:rFonts w:eastAsia="Times New Roman" w:cs="Times New Roman"/>
                <w:color w:val="000000"/>
                <w:sz w:val="20"/>
                <w:szCs w:val="20"/>
              </w:rPr>
              <w:t>66</w:t>
            </w:r>
            <w:r w:rsidR="00FC0864">
              <w:rPr>
                <w:rFonts w:eastAsia="Times New Roman" w:cs="Times New Roman"/>
                <w:color w:val="000000"/>
                <w:sz w:val="20"/>
                <w:szCs w:val="20"/>
              </w:rPr>
              <w:t>,</w:t>
            </w:r>
            <w:r w:rsidRPr="00F864B7">
              <w:rPr>
                <w:rFonts w:eastAsia="Times New Roman" w:cs="Times New Roman"/>
                <w:color w:val="000000"/>
                <w:sz w:val="20"/>
                <w:szCs w:val="20"/>
              </w:rPr>
              <w:t>695</w:t>
            </w:r>
            <w:r w:rsidR="00FC0864">
              <w:rPr>
                <w:rFonts w:eastAsia="Times New Roman" w:cs="Times New Roman"/>
                <w:color w:val="000000"/>
                <w:sz w:val="20"/>
                <w:szCs w:val="20"/>
              </w:rPr>
              <w:t>,</w:t>
            </w:r>
            <w:r w:rsidRPr="00F864B7">
              <w:rPr>
                <w:rFonts w:eastAsia="Times New Roman" w:cs="Times New Roman"/>
                <w:color w:val="000000"/>
                <w:sz w:val="20"/>
                <w:szCs w:val="20"/>
              </w:rPr>
              <w:t>404</w:t>
            </w:r>
          </w:p>
        </w:tc>
        <w:tc>
          <w:tcPr>
            <w:tcW w:w="1733" w:type="dxa"/>
            <w:tcBorders>
              <w:top w:val="nil"/>
              <w:left w:val="nil"/>
              <w:bottom w:val="nil"/>
              <w:right w:val="nil"/>
            </w:tcBorders>
            <w:noWrap/>
            <w:vAlign w:val="bottom"/>
            <w:hideMark/>
          </w:tcPr>
          <w:p w14:paraId="15F17540" w14:textId="4B40DCF1" w:rsidR="00F864B7" w:rsidRPr="00F864B7" w:rsidRDefault="002C36F5" w:rsidP="00B649ED">
            <w:pPr>
              <w:spacing w:after="0"/>
              <w:rPr>
                <w:rFonts w:eastAsia="Times New Roman" w:cs="Times New Roman"/>
                <w:color w:val="000000"/>
                <w:sz w:val="20"/>
                <w:szCs w:val="20"/>
              </w:rPr>
            </w:pPr>
            <w:r>
              <w:rPr>
                <w:rFonts w:eastAsia="Times New Roman" w:cs="Times New Roman"/>
                <w:color w:val="000000"/>
                <w:sz w:val="20"/>
                <w:szCs w:val="20"/>
              </w:rPr>
              <w:t>66,695</w:t>
            </w:r>
          </w:p>
        </w:tc>
      </w:tr>
      <w:tr w:rsidR="00F864B7" w:rsidRPr="00F864B7" w14:paraId="369E0495" w14:textId="77777777" w:rsidTr="00731586">
        <w:trPr>
          <w:trHeight w:val="245"/>
        </w:trPr>
        <w:tc>
          <w:tcPr>
            <w:tcW w:w="1335" w:type="dxa"/>
            <w:tcBorders>
              <w:top w:val="nil"/>
              <w:left w:val="nil"/>
              <w:bottom w:val="nil"/>
              <w:right w:val="nil"/>
            </w:tcBorders>
            <w:noWrap/>
            <w:vAlign w:val="bottom"/>
            <w:hideMark/>
          </w:tcPr>
          <w:p w14:paraId="4119C963" w14:textId="77777777" w:rsidR="00F864B7" w:rsidRPr="00F864B7" w:rsidRDefault="00F864B7" w:rsidP="00B649ED">
            <w:pPr>
              <w:spacing w:after="0"/>
              <w:rPr>
                <w:rFonts w:eastAsia="Times New Roman" w:cs="Times New Roman"/>
                <w:color w:val="000000"/>
                <w:sz w:val="20"/>
                <w:szCs w:val="20"/>
              </w:rPr>
            </w:pPr>
            <w:r w:rsidRPr="00F864B7">
              <w:rPr>
                <w:rFonts w:eastAsia="Times New Roman" w:cs="Times New Roman"/>
                <w:color w:val="000000"/>
                <w:sz w:val="20"/>
                <w:szCs w:val="20"/>
              </w:rPr>
              <w:t>W</w:t>
            </w:r>
          </w:p>
        </w:tc>
        <w:tc>
          <w:tcPr>
            <w:tcW w:w="1486" w:type="dxa"/>
            <w:tcBorders>
              <w:top w:val="nil"/>
              <w:left w:val="nil"/>
              <w:bottom w:val="nil"/>
              <w:right w:val="nil"/>
            </w:tcBorders>
            <w:noWrap/>
            <w:vAlign w:val="bottom"/>
            <w:hideMark/>
          </w:tcPr>
          <w:p w14:paraId="154FA36C" w14:textId="628439E1" w:rsidR="00F864B7" w:rsidRPr="00F864B7" w:rsidRDefault="00F864B7" w:rsidP="00B649ED">
            <w:pPr>
              <w:spacing w:after="0"/>
              <w:rPr>
                <w:rFonts w:eastAsia="Times New Roman" w:cs="Times New Roman"/>
                <w:color w:val="000000"/>
                <w:sz w:val="20"/>
                <w:szCs w:val="20"/>
              </w:rPr>
            </w:pPr>
            <w:r w:rsidRPr="00F864B7">
              <w:rPr>
                <w:rFonts w:eastAsia="Times New Roman" w:cs="Times New Roman"/>
                <w:color w:val="000000"/>
                <w:sz w:val="20"/>
                <w:szCs w:val="20"/>
              </w:rPr>
              <w:t>1</w:t>
            </w:r>
            <w:r w:rsidR="003D2A38">
              <w:rPr>
                <w:rFonts w:eastAsia="Times New Roman" w:cs="Times New Roman"/>
                <w:color w:val="000000"/>
                <w:sz w:val="20"/>
                <w:szCs w:val="20"/>
              </w:rPr>
              <w:t>,</w:t>
            </w:r>
            <w:r w:rsidRPr="00F864B7">
              <w:rPr>
                <w:rFonts w:eastAsia="Times New Roman" w:cs="Times New Roman"/>
                <w:color w:val="000000"/>
                <w:sz w:val="20"/>
                <w:szCs w:val="20"/>
              </w:rPr>
              <w:t>100</w:t>
            </w:r>
          </w:p>
        </w:tc>
        <w:tc>
          <w:tcPr>
            <w:tcW w:w="1589" w:type="dxa"/>
            <w:tcBorders>
              <w:top w:val="nil"/>
              <w:left w:val="nil"/>
              <w:bottom w:val="nil"/>
              <w:right w:val="nil"/>
            </w:tcBorders>
            <w:noWrap/>
            <w:vAlign w:val="bottom"/>
            <w:hideMark/>
          </w:tcPr>
          <w:p w14:paraId="2B3D3283" w14:textId="2740F34A" w:rsidR="00F864B7" w:rsidRPr="00F864B7" w:rsidRDefault="00F864B7" w:rsidP="00B649ED">
            <w:pPr>
              <w:spacing w:after="0"/>
              <w:rPr>
                <w:rFonts w:eastAsia="Times New Roman" w:cs="Times New Roman"/>
                <w:color w:val="000000"/>
                <w:sz w:val="20"/>
                <w:szCs w:val="20"/>
              </w:rPr>
            </w:pPr>
            <w:r w:rsidRPr="00F864B7">
              <w:rPr>
                <w:rFonts w:eastAsia="Times New Roman" w:cs="Times New Roman"/>
                <w:color w:val="000000"/>
                <w:sz w:val="20"/>
                <w:szCs w:val="20"/>
              </w:rPr>
              <w:t>2</w:t>
            </w:r>
            <w:r w:rsidR="00FC0864">
              <w:rPr>
                <w:rFonts w:eastAsia="Times New Roman" w:cs="Times New Roman"/>
                <w:color w:val="000000"/>
                <w:sz w:val="20"/>
                <w:szCs w:val="20"/>
              </w:rPr>
              <w:t>,</w:t>
            </w:r>
            <w:r w:rsidRPr="00F864B7">
              <w:rPr>
                <w:rFonts w:eastAsia="Times New Roman" w:cs="Times New Roman"/>
                <w:color w:val="000000"/>
                <w:sz w:val="20"/>
                <w:szCs w:val="20"/>
              </w:rPr>
              <w:t>706</w:t>
            </w:r>
            <w:r w:rsidR="00FC0864">
              <w:rPr>
                <w:rFonts w:eastAsia="Times New Roman" w:cs="Times New Roman"/>
                <w:color w:val="000000"/>
                <w:sz w:val="20"/>
                <w:szCs w:val="20"/>
              </w:rPr>
              <w:t>,</w:t>
            </w:r>
            <w:r w:rsidRPr="00F864B7">
              <w:rPr>
                <w:rFonts w:eastAsia="Times New Roman" w:cs="Times New Roman"/>
                <w:color w:val="000000"/>
                <w:sz w:val="20"/>
                <w:szCs w:val="20"/>
              </w:rPr>
              <w:t>355</w:t>
            </w:r>
          </w:p>
        </w:tc>
        <w:tc>
          <w:tcPr>
            <w:tcW w:w="1733" w:type="dxa"/>
            <w:tcBorders>
              <w:top w:val="nil"/>
              <w:left w:val="nil"/>
              <w:bottom w:val="nil"/>
              <w:right w:val="nil"/>
            </w:tcBorders>
            <w:noWrap/>
            <w:vAlign w:val="bottom"/>
            <w:hideMark/>
          </w:tcPr>
          <w:p w14:paraId="65C7A1FB" w14:textId="2F6A4119" w:rsidR="00F864B7" w:rsidRPr="00F864B7" w:rsidRDefault="00F864B7" w:rsidP="00B649ED">
            <w:pPr>
              <w:spacing w:after="0"/>
              <w:rPr>
                <w:rFonts w:eastAsia="Times New Roman" w:cs="Times New Roman"/>
                <w:color w:val="000000"/>
                <w:sz w:val="20"/>
                <w:szCs w:val="20"/>
              </w:rPr>
            </w:pPr>
            <w:r w:rsidRPr="00F864B7">
              <w:rPr>
                <w:rFonts w:eastAsia="Times New Roman" w:cs="Times New Roman"/>
                <w:color w:val="000000"/>
                <w:sz w:val="20"/>
                <w:szCs w:val="20"/>
              </w:rPr>
              <w:t>2</w:t>
            </w:r>
            <w:r w:rsidR="00BC73E8">
              <w:rPr>
                <w:rFonts w:eastAsia="Times New Roman" w:cs="Times New Roman"/>
                <w:color w:val="000000"/>
                <w:sz w:val="20"/>
                <w:szCs w:val="20"/>
              </w:rPr>
              <w:t>,</w:t>
            </w:r>
            <w:r w:rsidR="000B16A3">
              <w:rPr>
                <w:rFonts w:eastAsia="Times New Roman" w:cs="Times New Roman"/>
                <w:color w:val="000000"/>
                <w:sz w:val="20"/>
                <w:szCs w:val="20"/>
              </w:rPr>
              <w:t>706</w:t>
            </w:r>
          </w:p>
        </w:tc>
      </w:tr>
      <w:tr w:rsidR="00B649ED" w:rsidRPr="00F864B7" w14:paraId="58D12725" w14:textId="77777777" w:rsidTr="00731586">
        <w:trPr>
          <w:trHeight w:val="245"/>
        </w:trPr>
        <w:tc>
          <w:tcPr>
            <w:tcW w:w="1335" w:type="dxa"/>
            <w:tcBorders>
              <w:top w:val="nil"/>
              <w:left w:val="nil"/>
              <w:bottom w:val="nil"/>
              <w:right w:val="nil"/>
            </w:tcBorders>
            <w:noWrap/>
            <w:vAlign w:val="bottom"/>
            <w:hideMark/>
          </w:tcPr>
          <w:p w14:paraId="720005B9" w14:textId="531331D7" w:rsidR="00B649ED" w:rsidRPr="00F864B7" w:rsidRDefault="00B649ED" w:rsidP="000A1905">
            <w:pPr>
              <w:spacing w:after="0"/>
              <w:rPr>
                <w:rFonts w:eastAsia="Times New Roman" w:cs="Times New Roman"/>
                <w:color w:val="000000"/>
                <w:sz w:val="20"/>
                <w:szCs w:val="20"/>
              </w:rPr>
            </w:pPr>
            <w:r w:rsidRPr="00F864B7">
              <w:rPr>
                <w:rFonts w:eastAsia="Times New Roman" w:cs="Times New Roman"/>
                <w:color w:val="000000"/>
                <w:sz w:val="20"/>
                <w:szCs w:val="20"/>
              </w:rPr>
              <w:t>W</w:t>
            </w:r>
            <w:r w:rsidR="000556B5">
              <w:rPr>
                <w:rFonts w:eastAsia="Times New Roman" w:cs="Times New Roman"/>
                <w:color w:val="000000"/>
                <w:sz w:val="20"/>
                <w:szCs w:val="20"/>
              </w:rPr>
              <w:t>O</w:t>
            </w:r>
            <w:r w:rsidR="000556B5" w:rsidRPr="000556B5">
              <w:rPr>
                <w:rFonts w:eastAsia="Times New Roman" w:cs="Times New Roman"/>
                <w:color w:val="000000"/>
                <w:sz w:val="20"/>
                <w:szCs w:val="20"/>
                <w:vertAlign w:val="subscript"/>
              </w:rPr>
              <w:t>3</w:t>
            </w:r>
          </w:p>
        </w:tc>
        <w:tc>
          <w:tcPr>
            <w:tcW w:w="1486" w:type="dxa"/>
            <w:tcBorders>
              <w:top w:val="nil"/>
              <w:left w:val="nil"/>
              <w:bottom w:val="nil"/>
              <w:right w:val="nil"/>
            </w:tcBorders>
            <w:noWrap/>
            <w:vAlign w:val="bottom"/>
            <w:hideMark/>
          </w:tcPr>
          <w:p w14:paraId="05E874D5" w14:textId="03FBFF83" w:rsidR="00B649ED" w:rsidRPr="00F864B7" w:rsidRDefault="00B649ED" w:rsidP="000A1905">
            <w:pPr>
              <w:spacing w:after="0"/>
              <w:rPr>
                <w:rFonts w:eastAsia="Times New Roman" w:cs="Times New Roman"/>
                <w:color w:val="000000"/>
                <w:sz w:val="20"/>
                <w:szCs w:val="20"/>
              </w:rPr>
            </w:pPr>
            <w:r w:rsidRPr="00F864B7">
              <w:rPr>
                <w:rFonts w:eastAsia="Times New Roman" w:cs="Times New Roman"/>
                <w:color w:val="000000"/>
                <w:sz w:val="20"/>
                <w:szCs w:val="20"/>
              </w:rPr>
              <w:t>1</w:t>
            </w:r>
            <w:r>
              <w:rPr>
                <w:rFonts w:eastAsia="Times New Roman" w:cs="Times New Roman"/>
                <w:color w:val="000000"/>
                <w:sz w:val="20"/>
                <w:szCs w:val="20"/>
              </w:rPr>
              <w:t>,</w:t>
            </w:r>
            <w:r w:rsidR="000556B5">
              <w:rPr>
                <w:rFonts w:eastAsia="Times New Roman" w:cs="Times New Roman"/>
                <w:color w:val="000000"/>
                <w:sz w:val="20"/>
                <w:szCs w:val="20"/>
              </w:rPr>
              <w:t>387</w:t>
            </w:r>
          </w:p>
        </w:tc>
        <w:tc>
          <w:tcPr>
            <w:tcW w:w="1589" w:type="dxa"/>
            <w:tcBorders>
              <w:top w:val="nil"/>
              <w:left w:val="nil"/>
              <w:bottom w:val="nil"/>
              <w:right w:val="nil"/>
            </w:tcBorders>
            <w:noWrap/>
            <w:vAlign w:val="bottom"/>
            <w:hideMark/>
          </w:tcPr>
          <w:p w14:paraId="41D6D523" w14:textId="5B0F5493" w:rsidR="00B649ED" w:rsidRPr="00F864B7" w:rsidRDefault="000556B5" w:rsidP="000A1905">
            <w:pPr>
              <w:spacing w:after="0"/>
              <w:rPr>
                <w:rFonts w:eastAsia="Times New Roman" w:cs="Times New Roman"/>
                <w:color w:val="000000"/>
                <w:sz w:val="20"/>
                <w:szCs w:val="20"/>
              </w:rPr>
            </w:pPr>
            <w:r>
              <w:rPr>
                <w:rFonts w:eastAsia="Times New Roman" w:cs="Times New Roman"/>
                <w:color w:val="000000"/>
                <w:sz w:val="20"/>
                <w:szCs w:val="20"/>
              </w:rPr>
              <w:t>3,</w:t>
            </w:r>
            <w:r w:rsidR="007E4E17">
              <w:rPr>
                <w:rFonts w:eastAsia="Times New Roman" w:cs="Times New Roman"/>
                <w:color w:val="000000"/>
                <w:sz w:val="20"/>
                <w:szCs w:val="20"/>
              </w:rPr>
              <w:t>412,931</w:t>
            </w:r>
          </w:p>
        </w:tc>
        <w:tc>
          <w:tcPr>
            <w:tcW w:w="1733" w:type="dxa"/>
            <w:tcBorders>
              <w:top w:val="nil"/>
              <w:left w:val="nil"/>
              <w:bottom w:val="nil"/>
              <w:right w:val="nil"/>
            </w:tcBorders>
            <w:noWrap/>
            <w:vAlign w:val="bottom"/>
            <w:hideMark/>
          </w:tcPr>
          <w:p w14:paraId="69BB7DAC" w14:textId="1B709490" w:rsidR="00B649ED" w:rsidRPr="00F864B7" w:rsidRDefault="007E4E17" w:rsidP="000A1905">
            <w:pPr>
              <w:spacing w:after="0"/>
              <w:rPr>
                <w:rFonts w:eastAsia="Times New Roman" w:cs="Times New Roman"/>
                <w:color w:val="000000"/>
                <w:sz w:val="20"/>
                <w:szCs w:val="20"/>
              </w:rPr>
            </w:pPr>
            <w:r>
              <w:rPr>
                <w:rFonts w:eastAsia="Times New Roman" w:cs="Times New Roman"/>
                <w:color w:val="000000"/>
                <w:sz w:val="20"/>
                <w:szCs w:val="20"/>
              </w:rPr>
              <w:t>3,413</w:t>
            </w:r>
          </w:p>
        </w:tc>
      </w:tr>
      <w:tr w:rsidR="00F864B7" w:rsidRPr="00F864B7" w14:paraId="4F2708E2" w14:textId="77777777" w:rsidTr="00731586">
        <w:trPr>
          <w:trHeight w:val="245"/>
        </w:trPr>
        <w:tc>
          <w:tcPr>
            <w:tcW w:w="1335" w:type="dxa"/>
            <w:tcBorders>
              <w:top w:val="nil"/>
              <w:left w:val="nil"/>
              <w:bottom w:val="nil"/>
              <w:right w:val="nil"/>
            </w:tcBorders>
            <w:noWrap/>
            <w:vAlign w:val="bottom"/>
            <w:hideMark/>
          </w:tcPr>
          <w:p w14:paraId="67229F45" w14:textId="2F945DAB" w:rsidR="00F864B7" w:rsidRPr="00F864B7" w:rsidRDefault="00F864B7" w:rsidP="00B649ED">
            <w:pPr>
              <w:spacing w:after="0"/>
              <w:rPr>
                <w:rFonts w:eastAsia="Times New Roman" w:cs="Times New Roman"/>
                <w:color w:val="000000"/>
                <w:sz w:val="20"/>
                <w:szCs w:val="20"/>
              </w:rPr>
            </w:pPr>
            <w:r w:rsidRPr="00F864B7">
              <w:rPr>
                <w:rFonts w:eastAsia="Times New Roman" w:cs="Times New Roman"/>
                <w:color w:val="000000"/>
                <w:sz w:val="20"/>
                <w:szCs w:val="20"/>
              </w:rPr>
              <w:t>Mn</w:t>
            </w:r>
          </w:p>
        </w:tc>
        <w:tc>
          <w:tcPr>
            <w:tcW w:w="1486" w:type="dxa"/>
            <w:tcBorders>
              <w:top w:val="nil"/>
              <w:left w:val="nil"/>
              <w:bottom w:val="nil"/>
              <w:right w:val="nil"/>
            </w:tcBorders>
            <w:noWrap/>
            <w:vAlign w:val="bottom"/>
            <w:hideMark/>
          </w:tcPr>
          <w:p w14:paraId="3644FD6C" w14:textId="77777777" w:rsidR="00F864B7" w:rsidRPr="00F864B7" w:rsidRDefault="00F864B7" w:rsidP="00B649ED">
            <w:pPr>
              <w:spacing w:after="0"/>
              <w:rPr>
                <w:rFonts w:eastAsia="Times New Roman" w:cs="Times New Roman"/>
                <w:color w:val="000000"/>
                <w:sz w:val="20"/>
                <w:szCs w:val="20"/>
              </w:rPr>
            </w:pPr>
            <w:r w:rsidRPr="00F864B7">
              <w:rPr>
                <w:rFonts w:eastAsia="Times New Roman" w:cs="Times New Roman"/>
                <w:color w:val="000000"/>
                <w:sz w:val="20"/>
                <w:szCs w:val="20"/>
              </w:rPr>
              <w:t>704</w:t>
            </w:r>
          </w:p>
        </w:tc>
        <w:tc>
          <w:tcPr>
            <w:tcW w:w="1589" w:type="dxa"/>
            <w:tcBorders>
              <w:top w:val="nil"/>
              <w:left w:val="nil"/>
              <w:bottom w:val="nil"/>
              <w:right w:val="nil"/>
            </w:tcBorders>
            <w:noWrap/>
            <w:vAlign w:val="bottom"/>
            <w:hideMark/>
          </w:tcPr>
          <w:p w14:paraId="0FBAEC88" w14:textId="0D68A4DD" w:rsidR="00F864B7" w:rsidRPr="00F864B7" w:rsidRDefault="00F864B7" w:rsidP="00B649ED">
            <w:pPr>
              <w:spacing w:after="0"/>
              <w:rPr>
                <w:rFonts w:eastAsia="Times New Roman" w:cs="Times New Roman"/>
                <w:color w:val="000000"/>
                <w:sz w:val="20"/>
                <w:szCs w:val="20"/>
              </w:rPr>
            </w:pPr>
            <w:r w:rsidRPr="00F864B7">
              <w:rPr>
                <w:rFonts w:eastAsia="Times New Roman" w:cs="Times New Roman"/>
                <w:color w:val="000000"/>
                <w:sz w:val="20"/>
                <w:szCs w:val="20"/>
              </w:rPr>
              <w:t>1</w:t>
            </w:r>
            <w:r w:rsidR="00FC0864">
              <w:rPr>
                <w:rFonts w:eastAsia="Times New Roman" w:cs="Times New Roman"/>
                <w:color w:val="000000"/>
                <w:sz w:val="20"/>
                <w:szCs w:val="20"/>
              </w:rPr>
              <w:t>,</w:t>
            </w:r>
            <w:r w:rsidRPr="00F864B7">
              <w:rPr>
                <w:rFonts w:eastAsia="Times New Roman" w:cs="Times New Roman"/>
                <w:color w:val="000000"/>
                <w:sz w:val="20"/>
                <w:szCs w:val="20"/>
              </w:rPr>
              <w:t>732</w:t>
            </w:r>
            <w:r w:rsidR="00FC0864">
              <w:rPr>
                <w:rFonts w:eastAsia="Times New Roman" w:cs="Times New Roman"/>
                <w:color w:val="000000"/>
                <w:sz w:val="20"/>
                <w:szCs w:val="20"/>
              </w:rPr>
              <w:t>,</w:t>
            </w:r>
            <w:r w:rsidRPr="00F864B7">
              <w:rPr>
                <w:rFonts w:eastAsia="Times New Roman" w:cs="Times New Roman"/>
                <w:color w:val="000000"/>
                <w:sz w:val="20"/>
                <w:szCs w:val="20"/>
              </w:rPr>
              <w:t>457</w:t>
            </w:r>
          </w:p>
        </w:tc>
        <w:tc>
          <w:tcPr>
            <w:tcW w:w="1733" w:type="dxa"/>
            <w:tcBorders>
              <w:top w:val="nil"/>
              <w:left w:val="nil"/>
              <w:bottom w:val="nil"/>
              <w:right w:val="nil"/>
            </w:tcBorders>
            <w:noWrap/>
            <w:vAlign w:val="bottom"/>
            <w:hideMark/>
          </w:tcPr>
          <w:p w14:paraId="1110DE26" w14:textId="56C1FA8C" w:rsidR="00F864B7" w:rsidRPr="00F864B7" w:rsidRDefault="000B16A3" w:rsidP="00B649ED">
            <w:pPr>
              <w:spacing w:after="0"/>
              <w:rPr>
                <w:rFonts w:eastAsia="Times New Roman" w:cs="Times New Roman"/>
                <w:color w:val="000000"/>
                <w:sz w:val="20"/>
                <w:szCs w:val="20"/>
              </w:rPr>
            </w:pPr>
            <w:r>
              <w:rPr>
                <w:rFonts w:eastAsia="Times New Roman" w:cs="Times New Roman"/>
                <w:color w:val="000000"/>
                <w:sz w:val="20"/>
                <w:szCs w:val="20"/>
              </w:rPr>
              <w:t>1,732</w:t>
            </w:r>
          </w:p>
        </w:tc>
      </w:tr>
      <w:tr w:rsidR="00F864B7" w:rsidRPr="00F864B7" w14:paraId="36F1E9A8" w14:textId="77777777" w:rsidTr="00731586">
        <w:trPr>
          <w:trHeight w:val="245"/>
        </w:trPr>
        <w:tc>
          <w:tcPr>
            <w:tcW w:w="1335" w:type="dxa"/>
            <w:tcBorders>
              <w:top w:val="nil"/>
              <w:left w:val="nil"/>
              <w:bottom w:val="nil"/>
              <w:right w:val="nil"/>
            </w:tcBorders>
            <w:noWrap/>
            <w:vAlign w:val="bottom"/>
            <w:hideMark/>
          </w:tcPr>
          <w:p w14:paraId="278C9EF8" w14:textId="77777777" w:rsidR="00F864B7" w:rsidRPr="00F864B7" w:rsidRDefault="00F864B7" w:rsidP="00B649ED">
            <w:pPr>
              <w:spacing w:after="0"/>
              <w:rPr>
                <w:rFonts w:eastAsia="Times New Roman" w:cs="Times New Roman"/>
                <w:color w:val="000000"/>
                <w:sz w:val="20"/>
                <w:szCs w:val="20"/>
              </w:rPr>
            </w:pPr>
            <w:r w:rsidRPr="00F864B7">
              <w:rPr>
                <w:rFonts w:eastAsia="Times New Roman" w:cs="Times New Roman"/>
                <w:color w:val="000000"/>
                <w:sz w:val="20"/>
                <w:szCs w:val="20"/>
              </w:rPr>
              <w:t>Zn</w:t>
            </w:r>
          </w:p>
        </w:tc>
        <w:tc>
          <w:tcPr>
            <w:tcW w:w="1486" w:type="dxa"/>
            <w:tcBorders>
              <w:top w:val="nil"/>
              <w:left w:val="nil"/>
              <w:bottom w:val="nil"/>
              <w:right w:val="nil"/>
            </w:tcBorders>
            <w:noWrap/>
            <w:vAlign w:val="bottom"/>
            <w:hideMark/>
          </w:tcPr>
          <w:p w14:paraId="58BB53E7" w14:textId="77777777" w:rsidR="00F864B7" w:rsidRPr="00F864B7" w:rsidRDefault="00F864B7" w:rsidP="00B649ED">
            <w:pPr>
              <w:spacing w:after="0"/>
              <w:rPr>
                <w:rFonts w:eastAsia="Times New Roman" w:cs="Times New Roman"/>
                <w:color w:val="000000"/>
                <w:sz w:val="20"/>
                <w:szCs w:val="20"/>
              </w:rPr>
            </w:pPr>
            <w:r w:rsidRPr="00F864B7">
              <w:rPr>
                <w:rFonts w:eastAsia="Times New Roman" w:cs="Times New Roman"/>
                <w:color w:val="000000"/>
                <w:sz w:val="20"/>
                <w:szCs w:val="20"/>
              </w:rPr>
              <w:t>600</w:t>
            </w:r>
          </w:p>
        </w:tc>
        <w:tc>
          <w:tcPr>
            <w:tcW w:w="1589" w:type="dxa"/>
            <w:tcBorders>
              <w:top w:val="nil"/>
              <w:left w:val="nil"/>
              <w:bottom w:val="nil"/>
              <w:right w:val="nil"/>
            </w:tcBorders>
            <w:noWrap/>
            <w:vAlign w:val="bottom"/>
            <w:hideMark/>
          </w:tcPr>
          <w:p w14:paraId="258EAD85" w14:textId="6DCF5E77" w:rsidR="00F864B7" w:rsidRPr="00F864B7" w:rsidRDefault="00F864B7" w:rsidP="00B649ED">
            <w:pPr>
              <w:spacing w:after="0"/>
              <w:rPr>
                <w:rFonts w:eastAsia="Times New Roman" w:cs="Times New Roman"/>
                <w:color w:val="000000"/>
                <w:sz w:val="20"/>
                <w:szCs w:val="20"/>
              </w:rPr>
            </w:pPr>
            <w:r w:rsidRPr="00F864B7">
              <w:rPr>
                <w:rFonts w:eastAsia="Times New Roman" w:cs="Times New Roman"/>
                <w:color w:val="000000"/>
                <w:sz w:val="20"/>
                <w:szCs w:val="20"/>
              </w:rPr>
              <w:t>1</w:t>
            </w:r>
            <w:r w:rsidR="00FC0864">
              <w:rPr>
                <w:rFonts w:eastAsia="Times New Roman" w:cs="Times New Roman"/>
                <w:color w:val="000000"/>
                <w:sz w:val="20"/>
                <w:szCs w:val="20"/>
              </w:rPr>
              <w:t>,</w:t>
            </w:r>
            <w:r w:rsidRPr="00F864B7">
              <w:rPr>
                <w:rFonts w:eastAsia="Times New Roman" w:cs="Times New Roman"/>
                <w:color w:val="000000"/>
                <w:sz w:val="20"/>
                <w:szCs w:val="20"/>
              </w:rPr>
              <w:t>476</w:t>
            </w:r>
            <w:r w:rsidR="00FC0864">
              <w:rPr>
                <w:rFonts w:eastAsia="Times New Roman" w:cs="Times New Roman"/>
                <w:color w:val="000000"/>
                <w:sz w:val="20"/>
                <w:szCs w:val="20"/>
              </w:rPr>
              <w:t>,</w:t>
            </w:r>
            <w:r w:rsidRPr="00F864B7">
              <w:rPr>
                <w:rFonts w:eastAsia="Times New Roman" w:cs="Times New Roman"/>
                <w:color w:val="000000"/>
                <w:sz w:val="20"/>
                <w:szCs w:val="20"/>
              </w:rPr>
              <w:t>222</w:t>
            </w:r>
          </w:p>
        </w:tc>
        <w:tc>
          <w:tcPr>
            <w:tcW w:w="1733" w:type="dxa"/>
            <w:tcBorders>
              <w:top w:val="nil"/>
              <w:left w:val="nil"/>
              <w:bottom w:val="nil"/>
              <w:right w:val="nil"/>
            </w:tcBorders>
            <w:noWrap/>
            <w:vAlign w:val="bottom"/>
            <w:hideMark/>
          </w:tcPr>
          <w:p w14:paraId="6DA390AB" w14:textId="29BB6AE0" w:rsidR="00F864B7" w:rsidRPr="00F864B7" w:rsidRDefault="00F864B7" w:rsidP="00B649ED">
            <w:pPr>
              <w:spacing w:after="0"/>
              <w:rPr>
                <w:rFonts w:eastAsia="Times New Roman" w:cs="Times New Roman"/>
                <w:color w:val="000000"/>
                <w:sz w:val="20"/>
                <w:szCs w:val="20"/>
              </w:rPr>
            </w:pPr>
            <w:r w:rsidRPr="00F864B7">
              <w:rPr>
                <w:rFonts w:eastAsia="Times New Roman" w:cs="Times New Roman"/>
                <w:color w:val="000000"/>
                <w:sz w:val="20"/>
                <w:szCs w:val="20"/>
              </w:rPr>
              <w:t>1</w:t>
            </w:r>
            <w:r w:rsidR="00AD239E">
              <w:rPr>
                <w:rFonts w:eastAsia="Times New Roman" w:cs="Times New Roman"/>
                <w:color w:val="000000"/>
                <w:sz w:val="20"/>
                <w:szCs w:val="20"/>
              </w:rPr>
              <w:t>,</w:t>
            </w:r>
            <w:r w:rsidR="000B16A3">
              <w:rPr>
                <w:rFonts w:eastAsia="Times New Roman" w:cs="Times New Roman"/>
                <w:color w:val="000000"/>
                <w:sz w:val="20"/>
                <w:szCs w:val="20"/>
              </w:rPr>
              <w:t>476</w:t>
            </w:r>
          </w:p>
        </w:tc>
      </w:tr>
      <w:tr w:rsidR="00F864B7" w:rsidRPr="00F864B7" w14:paraId="117FA5B2" w14:textId="77777777" w:rsidTr="00731586">
        <w:trPr>
          <w:trHeight w:val="245"/>
        </w:trPr>
        <w:tc>
          <w:tcPr>
            <w:tcW w:w="1335" w:type="dxa"/>
            <w:tcBorders>
              <w:top w:val="nil"/>
              <w:left w:val="nil"/>
              <w:bottom w:val="nil"/>
              <w:right w:val="nil"/>
            </w:tcBorders>
            <w:noWrap/>
            <w:vAlign w:val="bottom"/>
            <w:hideMark/>
          </w:tcPr>
          <w:p w14:paraId="799D9D7B" w14:textId="77777777" w:rsidR="00F864B7" w:rsidRPr="00F864B7" w:rsidRDefault="00F864B7" w:rsidP="00B649ED">
            <w:pPr>
              <w:spacing w:after="0"/>
              <w:rPr>
                <w:rFonts w:eastAsia="Times New Roman" w:cs="Times New Roman"/>
                <w:color w:val="000000"/>
                <w:sz w:val="20"/>
                <w:szCs w:val="20"/>
              </w:rPr>
            </w:pPr>
            <w:r w:rsidRPr="00F864B7">
              <w:rPr>
                <w:rFonts w:eastAsia="Times New Roman" w:cs="Times New Roman"/>
                <w:color w:val="000000"/>
                <w:sz w:val="20"/>
                <w:szCs w:val="20"/>
              </w:rPr>
              <w:t>Sb</w:t>
            </w:r>
          </w:p>
        </w:tc>
        <w:tc>
          <w:tcPr>
            <w:tcW w:w="1486" w:type="dxa"/>
            <w:tcBorders>
              <w:top w:val="nil"/>
              <w:left w:val="nil"/>
              <w:bottom w:val="nil"/>
              <w:right w:val="nil"/>
            </w:tcBorders>
            <w:noWrap/>
            <w:vAlign w:val="bottom"/>
            <w:hideMark/>
          </w:tcPr>
          <w:p w14:paraId="2EAF7484" w14:textId="77777777" w:rsidR="00F864B7" w:rsidRPr="00F864B7" w:rsidRDefault="00F864B7" w:rsidP="00B649ED">
            <w:pPr>
              <w:spacing w:after="0"/>
              <w:rPr>
                <w:rFonts w:eastAsia="Times New Roman" w:cs="Times New Roman"/>
                <w:color w:val="000000"/>
                <w:sz w:val="20"/>
                <w:szCs w:val="20"/>
              </w:rPr>
            </w:pPr>
            <w:r w:rsidRPr="00F864B7">
              <w:rPr>
                <w:rFonts w:eastAsia="Times New Roman" w:cs="Times New Roman"/>
                <w:color w:val="000000"/>
                <w:sz w:val="20"/>
                <w:szCs w:val="20"/>
              </w:rPr>
              <w:t>100</w:t>
            </w:r>
          </w:p>
        </w:tc>
        <w:tc>
          <w:tcPr>
            <w:tcW w:w="1589" w:type="dxa"/>
            <w:tcBorders>
              <w:top w:val="nil"/>
              <w:left w:val="nil"/>
              <w:bottom w:val="nil"/>
              <w:right w:val="nil"/>
            </w:tcBorders>
            <w:noWrap/>
            <w:vAlign w:val="bottom"/>
            <w:hideMark/>
          </w:tcPr>
          <w:p w14:paraId="1C15B71C" w14:textId="4767FF55" w:rsidR="00F864B7" w:rsidRPr="00F864B7" w:rsidRDefault="00F864B7" w:rsidP="00B649ED">
            <w:pPr>
              <w:spacing w:after="0"/>
              <w:rPr>
                <w:rFonts w:eastAsia="Times New Roman" w:cs="Times New Roman"/>
                <w:color w:val="000000"/>
                <w:sz w:val="20"/>
                <w:szCs w:val="20"/>
              </w:rPr>
            </w:pPr>
            <w:r w:rsidRPr="00F864B7">
              <w:rPr>
                <w:rFonts w:eastAsia="Times New Roman" w:cs="Times New Roman"/>
                <w:color w:val="000000"/>
                <w:sz w:val="20"/>
                <w:szCs w:val="20"/>
              </w:rPr>
              <w:t>245</w:t>
            </w:r>
            <w:r w:rsidR="00FC0864">
              <w:rPr>
                <w:rFonts w:eastAsia="Times New Roman" w:cs="Times New Roman"/>
                <w:color w:val="000000"/>
                <w:sz w:val="20"/>
                <w:szCs w:val="20"/>
              </w:rPr>
              <w:t>,</w:t>
            </w:r>
            <w:r w:rsidRPr="00F864B7">
              <w:rPr>
                <w:rFonts w:eastAsia="Times New Roman" w:cs="Times New Roman"/>
                <w:color w:val="000000"/>
                <w:sz w:val="20"/>
                <w:szCs w:val="20"/>
              </w:rPr>
              <w:t>367</w:t>
            </w:r>
          </w:p>
        </w:tc>
        <w:tc>
          <w:tcPr>
            <w:tcW w:w="1733" w:type="dxa"/>
            <w:tcBorders>
              <w:top w:val="nil"/>
              <w:left w:val="nil"/>
              <w:bottom w:val="nil"/>
              <w:right w:val="nil"/>
            </w:tcBorders>
            <w:noWrap/>
            <w:vAlign w:val="bottom"/>
            <w:hideMark/>
          </w:tcPr>
          <w:p w14:paraId="081E67C5" w14:textId="36D3782C" w:rsidR="00F864B7" w:rsidRPr="00F864B7" w:rsidRDefault="00F864B7" w:rsidP="00B649ED">
            <w:pPr>
              <w:spacing w:after="0"/>
              <w:rPr>
                <w:rFonts w:eastAsia="Times New Roman" w:cs="Times New Roman"/>
                <w:color w:val="000000"/>
                <w:sz w:val="20"/>
                <w:szCs w:val="20"/>
              </w:rPr>
            </w:pPr>
            <w:r w:rsidRPr="00F864B7">
              <w:rPr>
                <w:rFonts w:eastAsia="Times New Roman" w:cs="Times New Roman"/>
                <w:color w:val="000000"/>
                <w:sz w:val="20"/>
                <w:szCs w:val="20"/>
              </w:rPr>
              <w:t>2</w:t>
            </w:r>
            <w:r w:rsidR="00685F4D">
              <w:rPr>
                <w:rFonts w:eastAsia="Times New Roman" w:cs="Times New Roman"/>
                <w:color w:val="000000"/>
                <w:sz w:val="20"/>
                <w:szCs w:val="20"/>
              </w:rPr>
              <w:t>45</w:t>
            </w:r>
          </w:p>
        </w:tc>
      </w:tr>
      <w:tr w:rsidR="00F864B7" w:rsidRPr="00F864B7" w14:paraId="5042A721" w14:textId="77777777" w:rsidTr="00731586">
        <w:trPr>
          <w:trHeight w:val="245"/>
        </w:trPr>
        <w:tc>
          <w:tcPr>
            <w:tcW w:w="1335" w:type="dxa"/>
            <w:tcBorders>
              <w:top w:val="nil"/>
              <w:left w:val="nil"/>
              <w:bottom w:val="nil"/>
              <w:right w:val="nil"/>
            </w:tcBorders>
            <w:noWrap/>
            <w:vAlign w:val="bottom"/>
            <w:hideMark/>
          </w:tcPr>
          <w:p w14:paraId="690448D2" w14:textId="77777777" w:rsidR="00F864B7" w:rsidRPr="00F864B7" w:rsidRDefault="00F864B7" w:rsidP="00B649ED">
            <w:pPr>
              <w:spacing w:after="0"/>
              <w:rPr>
                <w:rFonts w:eastAsia="Times New Roman" w:cs="Times New Roman"/>
                <w:color w:val="000000"/>
                <w:sz w:val="20"/>
                <w:szCs w:val="20"/>
              </w:rPr>
            </w:pPr>
            <w:r w:rsidRPr="00F864B7">
              <w:rPr>
                <w:rFonts w:eastAsia="Times New Roman" w:cs="Times New Roman"/>
                <w:color w:val="000000"/>
                <w:sz w:val="20"/>
                <w:szCs w:val="20"/>
              </w:rPr>
              <w:t>As</w:t>
            </w:r>
          </w:p>
        </w:tc>
        <w:tc>
          <w:tcPr>
            <w:tcW w:w="1486" w:type="dxa"/>
            <w:tcBorders>
              <w:top w:val="nil"/>
              <w:left w:val="nil"/>
              <w:bottom w:val="nil"/>
              <w:right w:val="nil"/>
            </w:tcBorders>
            <w:noWrap/>
            <w:vAlign w:val="bottom"/>
            <w:hideMark/>
          </w:tcPr>
          <w:p w14:paraId="646A921A" w14:textId="77777777" w:rsidR="00F864B7" w:rsidRPr="00F864B7" w:rsidRDefault="00F864B7" w:rsidP="00B649ED">
            <w:pPr>
              <w:spacing w:after="0"/>
              <w:rPr>
                <w:rFonts w:eastAsia="Times New Roman" w:cs="Times New Roman"/>
                <w:color w:val="000000"/>
                <w:sz w:val="20"/>
                <w:szCs w:val="20"/>
              </w:rPr>
            </w:pPr>
            <w:r w:rsidRPr="00F864B7">
              <w:rPr>
                <w:rFonts w:eastAsia="Times New Roman" w:cs="Times New Roman"/>
                <w:color w:val="000000"/>
                <w:sz w:val="20"/>
                <w:szCs w:val="20"/>
              </w:rPr>
              <w:t>37</w:t>
            </w:r>
          </w:p>
        </w:tc>
        <w:tc>
          <w:tcPr>
            <w:tcW w:w="1589" w:type="dxa"/>
            <w:tcBorders>
              <w:top w:val="nil"/>
              <w:left w:val="nil"/>
              <w:bottom w:val="nil"/>
              <w:right w:val="nil"/>
            </w:tcBorders>
            <w:noWrap/>
            <w:vAlign w:val="bottom"/>
            <w:hideMark/>
          </w:tcPr>
          <w:p w14:paraId="6773EC46" w14:textId="7BBB3345" w:rsidR="00F864B7" w:rsidRPr="00F864B7" w:rsidRDefault="00F864B7" w:rsidP="00B649ED">
            <w:pPr>
              <w:spacing w:after="0"/>
              <w:rPr>
                <w:rFonts w:eastAsia="Times New Roman" w:cs="Times New Roman"/>
                <w:color w:val="000000"/>
                <w:sz w:val="20"/>
                <w:szCs w:val="20"/>
              </w:rPr>
            </w:pPr>
            <w:r w:rsidRPr="00F864B7">
              <w:rPr>
                <w:rFonts w:eastAsia="Times New Roman" w:cs="Times New Roman"/>
                <w:color w:val="000000"/>
                <w:sz w:val="20"/>
                <w:szCs w:val="20"/>
              </w:rPr>
              <w:t>92</w:t>
            </w:r>
            <w:r w:rsidR="00FC0864">
              <w:rPr>
                <w:rFonts w:eastAsia="Times New Roman" w:cs="Times New Roman"/>
                <w:color w:val="000000"/>
                <w:sz w:val="20"/>
                <w:szCs w:val="20"/>
              </w:rPr>
              <w:t>,</w:t>
            </w:r>
            <w:r w:rsidRPr="00F864B7">
              <w:rPr>
                <w:rFonts w:eastAsia="Times New Roman" w:cs="Times New Roman"/>
                <w:color w:val="000000"/>
                <w:sz w:val="20"/>
                <w:szCs w:val="20"/>
              </w:rPr>
              <w:t>183</w:t>
            </w:r>
          </w:p>
        </w:tc>
        <w:tc>
          <w:tcPr>
            <w:tcW w:w="1733" w:type="dxa"/>
            <w:tcBorders>
              <w:top w:val="nil"/>
              <w:left w:val="nil"/>
              <w:bottom w:val="nil"/>
              <w:right w:val="nil"/>
            </w:tcBorders>
            <w:noWrap/>
            <w:vAlign w:val="bottom"/>
            <w:hideMark/>
          </w:tcPr>
          <w:p w14:paraId="653C2ACB" w14:textId="45F9A760" w:rsidR="00F864B7" w:rsidRPr="00F864B7" w:rsidRDefault="00685F4D" w:rsidP="00B649ED">
            <w:pPr>
              <w:spacing w:after="0"/>
              <w:rPr>
                <w:rFonts w:eastAsia="Times New Roman" w:cs="Times New Roman"/>
                <w:color w:val="000000"/>
                <w:sz w:val="20"/>
                <w:szCs w:val="20"/>
              </w:rPr>
            </w:pPr>
            <w:r>
              <w:rPr>
                <w:rFonts w:eastAsia="Times New Roman" w:cs="Times New Roman"/>
                <w:color w:val="000000"/>
                <w:sz w:val="20"/>
                <w:szCs w:val="20"/>
              </w:rPr>
              <w:t>92</w:t>
            </w:r>
          </w:p>
        </w:tc>
      </w:tr>
      <w:tr w:rsidR="00F864B7" w:rsidRPr="00F864B7" w14:paraId="54A5AA7C" w14:textId="77777777" w:rsidTr="00731586">
        <w:trPr>
          <w:trHeight w:val="245"/>
        </w:trPr>
        <w:tc>
          <w:tcPr>
            <w:tcW w:w="1335" w:type="dxa"/>
            <w:tcBorders>
              <w:top w:val="nil"/>
              <w:left w:val="nil"/>
              <w:bottom w:val="nil"/>
              <w:right w:val="nil"/>
            </w:tcBorders>
            <w:noWrap/>
            <w:vAlign w:val="bottom"/>
            <w:hideMark/>
          </w:tcPr>
          <w:p w14:paraId="281280B8" w14:textId="77777777" w:rsidR="00F864B7" w:rsidRPr="00F864B7" w:rsidRDefault="00F864B7" w:rsidP="00B649ED">
            <w:pPr>
              <w:spacing w:after="0"/>
              <w:rPr>
                <w:rFonts w:eastAsia="Times New Roman" w:cs="Times New Roman"/>
                <w:color w:val="000000"/>
                <w:sz w:val="20"/>
                <w:szCs w:val="20"/>
              </w:rPr>
            </w:pPr>
            <w:r w:rsidRPr="00F864B7">
              <w:rPr>
                <w:rFonts w:eastAsia="Times New Roman" w:cs="Times New Roman"/>
                <w:color w:val="000000"/>
                <w:sz w:val="20"/>
                <w:szCs w:val="20"/>
              </w:rPr>
              <w:t>Te</w:t>
            </w:r>
          </w:p>
        </w:tc>
        <w:tc>
          <w:tcPr>
            <w:tcW w:w="1486" w:type="dxa"/>
            <w:tcBorders>
              <w:top w:val="nil"/>
              <w:left w:val="nil"/>
              <w:bottom w:val="nil"/>
              <w:right w:val="nil"/>
            </w:tcBorders>
            <w:noWrap/>
            <w:vAlign w:val="bottom"/>
            <w:hideMark/>
          </w:tcPr>
          <w:p w14:paraId="68E0E39D" w14:textId="77777777" w:rsidR="00F864B7" w:rsidRPr="00F864B7" w:rsidRDefault="00F864B7" w:rsidP="00B649ED">
            <w:pPr>
              <w:spacing w:after="0"/>
              <w:rPr>
                <w:rFonts w:eastAsia="Times New Roman" w:cs="Times New Roman"/>
                <w:color w:val="000000"/>
                <w:sz w:val="20"/>
                <w:szCs w:val="20"/>
              </w:rPr>
            </w:pPr>
            <w:r w:rsidRPr="00F864B7">
              <w:rPr>
                <w:rFonts w:eastAsia="Times New Roman" w:cs="Times New Roman"/>
                <w:color w:val="000000"/>
                <w:sz w:val="20"/>
                <w:szCs w:val="20"/>
              </w:rPr>
              <w:t>24</w:t>
            </w:r>
          </w:p>
        </w:tc>
        <w:tc>
          <w:tcPr>
            <w:tcW w:w="1589" w:type="dxa"/>
            <w:tcBorders>
              <w:top w:val="nil"/>
              <w:left w:val="nil"/>
              <w:bottom w:val="nil"/>
              <w:right w:val="nil"/>
            </w:tcBorders>
            <w:noWrap/>
            <w:vAlign w:val="bottom"/>
            <w:hideMark/>
          </w:tcPr>
          <w:p w14:paraId="1688F6E6" w14:textId="57AAE4A3" w:rsidR="00F864B7" w:rsidRPr="00F864B7" w:rsidRDefault="00F864B7" w:rsidP="00B649ED">
            <w:pPr>
              <w:spacing w:after="0"/>
              <w:rPr>
                <w:rFonts w:eastAsia="Times New Roman" w:cs="Times New Roman"/>
                <w:color w:val="000000"/>
                <w:sz w:val="20"/>
                <w:szCs w:val="20"/>
              </w:rPr>
            </w:pPr>
            <w:r w:rsidRPr="00F864B7">
              <w:rPr>
                <w:rFonts w:eastAsia="Times New Roman" w:cs="Times New Roman"/>
                <w:color w:val="000000"/>
                <w:sz w:val="20"/>
                <w:szCs w:val="20"/>
              </w:rPr>
              <w:t>60</w:t>
            </w:r>
            <w:r w:rsidR="00FC0864">
              <w:rPr>
                <w:rFonts w:eastAsia="Times New Roman" w:cs="Times New Roman"/>
                <w:color w:val="000000"/>
                <w:sz w:val="20"/>
                <w:szCs w:val="20"/>
              </w:rPr>
              <w:t>,</w:t>
            </w:r>
            <w:r w:rsidRPr="00F864B7">
              <w:rPr>
                <w:rFonts w:eastAsia="Times New Roman" w:cs="Times New Roman"/>
                <w:color w:val="000000"/>
                <w:sz w:val="20"/>
                <w:szCs w:val="20"/>
              </w:rPr>
              <w:t>111</w:t>
            </w:r>
          </w:p>
        </w:tc>
        <w:tc>
          <w:tcPr>
            <w:tcW w:w="1733" w:type="dxa"/>
            <w:tcBorders>
              <w:top w:val="nil"/>
              <w:left w:val="nil"/>
              <w:bottom w:val="nil"/>
              <w:right w:val="nil"/>
            </w:tcBorders>
            <w:noWrap/>
            <w:vAlign w:val="bottom"/>
            <w:hideMark/>
          </w:tcPr>
          <w:p w14:paraId="1F748882" w14:textId="67FE25B2" w:rsidR="00F864B7" w:rsidRPr="00F864B7" w:rsidRDefault="00685F4D" w:rsidP="00B649ED">
            <w:pPr>
              <w:spacing w:after="0"/>
              <w:rPr>
                <w:rFonts w:eastAsia="Times New Roman" w:cs="Times New Roman"/>
                <w:color w:val="000000"/>
                <w:sz w:val="20"/>
                <w:szCs w:val="20"/>
              </w:rPr>
            </w:pPr>
            <w:r>
              <w:rPr>
                <w:rFonts w:eastAsia="Times New Roman" w:cs="Times New Roman"/>
                <w:color w:val="000000"/>
                <w:sz w:val="20"/>
                <w:szCs w:val="20"/>
              </w:rPr>
              <w:t>60</w:t>
            </w:r>
          </w:p>
        </w:tc>
      </w:tr>
      <w:tr w:rsidR="00F864B7" w:rsidRPr="00F864B7" w14:paraId="0F6812D7" w14:textId="77777777" w:rsidTr="00731586">
        <w:trPr>
          <w:trHeight w:val="245"/>
        </w:trPr>
        <w:tc>
          <w:tcPr>
            <w:tcW w:w="1335" w:type="dxa"/>
            <w:tcBorders>
              <w:top w:val="nil"/>
              <w:left w:val="nil"/>
              <w:bottom w:val="nil"/>
              <w:right w:val="nil"/>
            </w:tcBorders>
            <w:noWrap/>
            <w:vAlign w:val="bottom"/>
            <w:hideMark/>
          </w:tcPr>
          <w:p w14:paraId="728A26EB" w14:textId="77777777" w:rsidR="00F864B7" w:rsidRPr="00F864B7" w:rsidRDefault="00F864B7" w:rsidP="00B649ED">
            <w:pPr>
              <w:spacing w:after="0"/>
              <w:rPr>
                <w:rFonts w:eastAsia="Times New Roman" w:cs="Times New Roman"/>
                <w:color w:val="000000"/>
                <w:sz w:val="20"/>
                <w:szCs w:val="20"/>
              </w:rPr>
            </w:pPr>
            <w:r w:rsidRPr="00F864B7">
              <w:rPr>
                <w:rFonts w:eastAsia="Times New Roman" w:cs="Times New Roman"/>
                <w:color w:val="000000"/>
                <w:sz w:val="20"/>
                <w:szCs w:val="20"/>
              </w:rPr>
              <w:t>V</w:t>
            </w:r>
          </w:p>
        </w:tc>
        <w:tc>
          <w:tcPr>
            <w:tcW w:w="1486" w:type="dxa"/>
            <w:tcBorders>
              <w:top w:val="nil"/>
              <w:left w:val="nil"/>
              <w:bottom w:val="nil"/>
              <w:right w:val="nil"/>
            </w:tcBorders>
            <w:noWrap/>
            <w:vAlign w:val="bottom"/>
            <w:hideMark/>
          </w:tcPr>
          <w:p w14:paraId="3903F756" w14:textId="77777777" w:rsidR="00F864B7" w:rsidRPr="00F864B7" w:rsidRDefault="00F864B7" w:rsidP="00B649ED">
            <w:pPr>
              <w:spacing w:after="0"/>
              <w:rPr>
                <w:rFonts w:eastAsia="Times New Roman" w:cs="Times New Roman"/>
                <w:color w:val="000000"/>
                <w:sz w:val="20"/>
                <w:szCs w:val="20"/>
              </w:rPr>
            </w:pPr>
            <w:r w:rsidRPr="00F864B7">
              <w:rPr>
                <w:rFonts w:eastAsia="Times New Roman" w:cs="Times New Roman"/>
                <w:color w:val="000000"/>
                <w:sz w:val="20"/>
                <w:szCs w:val="20"/>
              </w:rPr>
              <w:t>21.9</w:t>
            </w:r>
          </w:p>
        </w:tc>
        <w:tc>
          <w:tcPr>
            <w:tcW w:w="1589" w:type="dxa"/>
            <w:tcBorders>
              <w:top w:val="nil"/>
              <w:left w:val="nil"/>
              <w:bottom w:val="nil"/>
              <w:right w:val="nil"/>
            </w:tcBorders>
            <w:noWrap/>
            <w:vAlign w:val="bottom"/>
            <w:hideMark/>
          </w:tcPr>
          <w:p w14:paraId="683482B8" w14:textId="61401E87" w:rsidR="00F864B7" w:rsidRPr="00F864B7" w:rsidRDefault="00F864B7" w:rsidP="00B649ED">
            <w:pPr>
              <w:spacing w:after="0"/>
              <w:rPr>
                <w:rFonts w:eastAsia="Times New Roman" w:cs="Times New Roman"/>
                <w:color w:val="000000"/>
                <w:sz w:val="20"/>
                <w:szCs w:val="20"/>
              </w:rPr>
            </w:pPr>
            <w:r w:rsidRPr="00F864B7">
              <w:rPr>
                <w:rFonts w:eastAsia="Times New Roman" w:cs="Times New Roman"/>
                <w:color w:val="000000"/>
                <w:sz w:val="20"/>
                <w:szCs w:val="20"/>
              </w:rPr>
              <w:t>53</w:t>
            </w:r>
            <w:r w:rsidR="00FC0864">
              <w:rPr>
                <w:rFonts w:eastAsia="Times New Roman" w:cs="Times New Roman"/>
                <w:color w:val="000000"/>
                <w:sz w:val="20"/>
                <w:szCs w:val="20"/>
              </w:rPr>
              <w:t>,</w:t>
            </w:r>
            <w:r w:rsidRPr="00F864B7">
              <w:rPr>
                <w:rFonts w:eastAsia="Times New Roman" w:cs="Times New Roman"/>
                <w:color w:val="000000"/>
                <w:sz w:val="20"/>
                <w:szCs w:val="20"/>
              </w:rPr>
              <w:t>832</w:t>
            </w:r>
          </w:p>
        </w:tc>
        <w:tc>
          <w:tcPr>
            <w:tcW w:w="1733" w:type="dxa"/>
            <w:tcBorders>
              <w:top w:val="nil"/>
              <w:left w:val="nil"/>
              <w:bottom w:val="nil"/>
              <w:right w:val="nil"/>
            </w:tcBorders>
            <w:noWrap/>
            <w:vAlign w:val="bottom"/>
            <w:hideMark/>
          </w:tcPr>
          <w:p w14:paraId="4187BCF0" w14:textId="56D694D2" w:rsidR="00F864B7" w:rsidRPr="00F864B7" w:rsidRDefault="00685F4D" w:rsidP="00B649ED">
            <w:pPr>
              <w:spacing w:after="0"/>
              <w:rPr>
                <w:rFonts w:eastAsia="Times New Roman" w:cs="Times New Roman"/>
                <w:color w:val="000000"/>
                <w:sz w:val="20"/>
                <w:szCs w:val="20"/>
              </w:rPr>
            </w:pPr>
            <w:r>
              <w:rPr>
                <w:rFonts w:eastAsia="Times New Roman" w:cs="Times New Roman"/>
                <w:color w:val="000000"/>
                <w:sz w:val="20"/>
                <w:szCs w:val="20"/>
              </w:rPr>
              <w:t>54</w:t>
            </w:r>
          </w:p>
        </w:tc>
      </w:tr>
      <w:tr w:rsidR="00F864B7" w:rsidRPr="00F864B7" w14:paraId="217E8437" w14:textId="77777777" w:rsidTr="00731586">
        <w:trPr>
          <w:trHeight w:val="245"/>
        </w:trPr>
        <w:tc>
          <w:tcPr>
            <w:tcW w:w="1335" w:type="dxa"/>
            <w:tcBorders>
              <w:top w:val="nil"/>
              <w:left w:val="nil"/>
              <w:bottom w:val="nil"/>
              <w:right w:val="nil"/>
            </w:tcBorders>
            <w:noWrap/>
            <w:vAlign w:val="bottom"/>
            <w:hideMark/>
          </w:tcPr>
          <w:p w14:paraId="26A778CE" w14:textId="77777777" w:rsidR="00F864B7" w:rsidRPr="00F864B7" w:rsidRDefault="00F864B7" w:rsidP="00B649ED">
            <w:pPr>
              <w:spacing w:after="0"/>
              <w:rPr>
                <w:rFonts w:eastAsia="Times New Roman" w:cs="Times New Roman"/>
                <w:color w:val="000000"/>
                <w:sz w:val="20"/>
                <w:szCs w:val="20"/>
              </w:rPr>
            </w:pPr>
            <w:r w:rsidRPr="00F864B7">
              <w:rPr>
                <w:rFonts w:eastAsia="Times New Roman" w:cs="Times New Roman"/>
                <w:color w:val="000000"/>
                <w:sz w:val="20"/>
                <w:szCs w:val="20"/>
              </w:rPr>
              <w:t>Be</w:t>
            </w:r>
          </w:p>
        </w:tc>
        <w:tc>
          <w:tcPr>
            <w:tcW w:w="1486" w:type="dxa"/>
            <w:tcBorders>
              <w:top w:val="nil"/>
              <w:left w:val="nil"/>
              <w:bottom w:val="nil"/>
              <w:right w:val="nil"/>
            </w:tcBorders>
            <w:noWrap/>
            <w:vAlign w:val="bottom"/>
            <w:hideMark/>
          </w:tcPr>
          <w:p w14:paraId="01D2413E" w14:textId="77777777" w:rsidR="00F864B7" w:rsidRPr="00F864B7" w:rsidRDefault="00F864B7" w:rsidP="00B649ED">
            <w:pPr>
              <w:spacing w:after="0"/>
              <w:rPr>
                <w:rFonts w:eastAsia="Times New Roman" w:cs="Times New Roman"/>
                <w:color w:val="000000"/>
                <w:sz w:val="20"/>
                <w:szCs w:val="20"/>
              </w:rPr>
            </w:pPr>
            <w:r w:rsidRPr="00F864B7">
              <w:rPr>
                <w:rFonts w:eastAsia="Times New Roman" w:cs="Times New Roman"/>
                <w:color w:val="000000"/>
                <w:sz w:val="20"/>
                <w:szCs w:val="20"/>
              </w:rPr>
              <w:t>10</w:t>
            </w:r>
          </w:p>
        </w:tc>
        <w:tc>
          <w:tcPr>
            <w:tcW w:w="1589" w:type="dxa"/>
            <w:tcBorders>
              <w:top w:val="nil"/>
              <w:left w:val="nil"/>
              <w:bottom w:val="nil"/>
              <w:right w:val="nil"/>
            </w:tcBorders>
            <w:noWrap/>
            <w:vAlign w:val="bottom"/>
            <w:hideMark/>
          </w:tcPr>
          <w:p w14:paraId="7A1DA928" w14:textId="1CF22AC2" w:rsidR="00F864B7" w:rsidRPr="00F864B7" w:rsidRDefault="00F864B7" w:rsidP="00B649ED">
            <w:pPr>
              <w:spacing w:after="0"/>
              <w:rPr>
                <w:rFonts w:eastAsia="Times New Roman" w:cs="Times New Roman"/>
                <w:color w:val="000000"/>
                <w:sz w:val="20"/>
                <w:szCs w:val="20"/>
              </w:rPr>
            </w:pPr>
            <w:r w:rsidRPr="00F864B7">
              <w:rPr>
                <w:rFonts w:eastAsia="Times New Roman" w:cs="Times New Roman"/>
                <w:color w:val="000000"/>
                <w:sz w:val="20"/>
                <w:szCs w:val="20"/>
              </w:rPr>
              <w:t>24</w:t>
            </w:r>
            <w:r w:rsidR="00FC0864">
              <w:rPr>
                <w:rFonts w:eastAsia="Times New Roman" w:cs="Times New Roman"/>
                <w:color w:val="000000"/>
                <w:sz w:val="20"/>
                <w:szCs w:val="20"/>
              </w:rPr>
              <w:t>,</w:t>
            </w:r>
            <w:r w:rsidRPr="00F864B7">
              <w:rPr>
                <w:rFonts w:eastAsia="Times New Roman" w:cs="Times New Roman"/>
                <w:color w:val="000000"/>
                <w:sz w:val="20"/>
                <w:szCs w:val="20"/>
              </w:rPr>
              <w:t>622</w:t>
            </w:r>
          </w:p>
        </w:tc>
        <w:tc>
          <w:tcPr>
            <w:tcW w:w="1733" w:type="dxa"/>
            <w:tcBorders>
              <w:top w:val="nil"/>
              <w:left w:val="nil"/>
              <w:bottom w:val="nil"/>
              <w:right w:val="nil"/>
            </w:tcBorders>
            <w:noWrap/>
            <w:vAlign w:val="bottom"/>
            <w:hideMark/>
          </w:tcPr>
          <w:p w14:paraId="5EEF683B" w14:textId="0B9301EF" w:rsidR="00F864B7" w:rsidRPr="00F864B7" w:rsidRDefault="00F864B7" w:rsidP="00B649ED">
            <w:pPr>
              <w:spacing w:after="0"/>
              <w:rPr>
                <w:rFonts w:eastAsia="Times New Roman" w:cs="Times New Roman"/>
                <w:color w:val="000000"/>
                <w:sz w:val="20"/>
                <w:szCs w:val="20"/>
              </w:rPr>
            </w:pPr>
            <w:r w:rsidRPr="00F864B7">
              <w:rPr>
                <w:rFonts w:eastAsia="Times New Roman" w:cs="Times New Roman"/>
                <w:color w:val="000000"/>
                <w:sz w:val="20"/>
                <w:szCs w:val="20"/>
              </w:rPr>
              <w:t>2</w:t>
            </w:r>
            <w:r w:rsidR="00F8734B">
              <w:rPr>
                <w:rFonts w:eastAsia="Times New Roman" w:cs="Times New Roman"/>
                <w:color w:val="000000"/>
                <w:sz w:val="20"/>
                <w:szCs w:val="20"/>
              </w:rPr>
              <w:t>5</w:t>
            </w:r>
          </w:p>
        </w:tc>
      </w:tr>
      <w:tr w:rsidR="00F864B7" w:rsidRPr="00F864B7" w14:paraId="3E67CB26" w14:textId="77777777" w:rsidTr="00731586">
        <w:trPr>
          <w:trHeight w:val="245"/>
        </w:trPr>
        <w:tc>
          <w:tcPr>
            <w:tcW w:w="1335" w:type="dxa"/>
            <w:tcBorders>
              <w:top w:val="nil"/>
              <w:left w:val="nil"/>
              <w:bottom w:val="nil"/>
              <w:right w:val="nil"/>
            </w:tcBorders>
            <w:noWrap/>
            <w:vAlign w:val="bottom"/>
            <w:hideMark/>
          </w:tcPr>
          <w:p w14:paraId="0DA2F139" w14:textId="77777777" w:rsidR="00F864B7" w:rsidRPr="00F864B7" w:rsidRDefault="00F864B7" w:rsidP="00B649ED">
            <w:pPr>
              <w:spacing w:after="0"/>
              <w:rPr>
                <w:rFonts w:eastAsia="Times New Roman" w:cs="Times New Roman"/>
                <w:color w:val="000000"/>
                <w:sz w:val="20"/>
                <w:szCs w:val="20"/>
              </w:rPr>
            </w:pPr>
            <w:r w:rsidRPr="00F864B7">
              <w:rPr>
                <w:rFonts w:eastAsia="Times New Roman" w:cs="Times New Roman"/>
                <w:color w:val="000000"/>
                <w:sz w:val="20"/>
                <w:szCs w:val="20"/>
              </w:rPr>
              <w:t>Bi</w:t>
            </w:r>
          </w:p>
        </w:tc>
        <w:tc>
          <w:tcPr>
            <w:tcW w:w="1486" w:type="dxa"/>
            <w:tcBorders>
              <w:top w:val="nil"/>
              <w:left w:val="nil"/>
              <w:bottom w:val="nil"/>
              <w:right w:val="nil"/>
            </w:tcBorders>
            <w:noWrap/>
            <w:vAlign w:val="bottom"/>
            <w:hideMark/>
          </w:tcPr>
          <w:p w14:paraId="3F0CD6DF" w14:textId="77777777" w:rsidR="00F864B7" w:rsidRPr="00F864B7" w:rsidRDefault="00F864B7" w:rsidP="00B649ED">
            <w:pPr>
              <w:spacing w:after="0"/>
              <w:rPr>
                <w:rFonts w:eastAsia="Times New Roman" w:cs="Times New Roman"/>
                <w:color w:val="000000"/>
                <w:sz w:val="20"/>
                <w:szCs w:val="20"/>
              </w:rPr>
            </w:pPr>
            <w:r w:rsidRPr="00F864B7">
              <w:rPr>
                <w:rFonts w:eastAsia="Times New Roman" w:cs="Times New Roman"/>
                <w:color w:val="000000"/>
                <w:sz w:val="20"/>
                <w:szCs w:val="20"/>
              </w:rPr>
              <w:t>9.0</w:t>
            </w:r>
          </w:p>
        </w:tc>
        <w:tc>
          <w:tcPr>
            <w:tcW w:w="1589" w:type="dxa"/>
            <w:tcBorders>
              <w:top w:val="nil"/>
              <w:left w:val="nil"/>
              <w:bottom w:val="nil"/>
              <w:right w:val="nil"/>
            </w:tcBorders>
            <w:noWrap/>
            <w:vAlign w:val="bottom"/>
            <w:hideMark/>
          </w:tcPr>
          <w:p w14:paraId="6A9C0792" w14:textId="115F1C30" w:rsidR="00F864B7" w:rsidRPr="00F864B7" w:rsidRDefault="00F864B7" w:rsidP="00B649ED">
            <w:pPr>
              <w:spacing w:after="0"/>
              <w:rPr>
                <w:rFonts w:eastAsia="Times New Roman" w:cs="Times New Roman"/>
                <w:color w:val="000000"/>
                <w:sz w:val="20"/>
                <w:szCs w:val="20"/>
              </w:rPr>
            </w:pPr>
            <w:r w:rsidRPr="00F864B7">
              <w:rPr>
                <w:rFonts w:eastAsia="Times New Roman" w:cs="Times New Roman"/>
                <w:color w:val="000000"/>
                <w:sz w:val="20"/>
                <w:szCs w:val="20"/>
              </w:rPr>
              <w:t>22</w:t>
            </w:r>
            <w:r w:rsidR="00FC0864">
              <w:rPr>
                <w:rFonts w:eastAsia="Times New Roman" w:cs="Times New Roman"/>
                <w:color w:val="000000"/>
                <w:sz w:val="20"/>
                <w:szCs w:val="20"/>
              </w:rPr>
              <w:t>,</w:t>
            </w:r>
            <w:r w:rsidRPr="00F864B7">
              <w:rPr>
                <w:rFonts w:eastAsia="Times New Roman" w:cs="Times New Roman"/>
                <w:color w:val="000000"/>
                <w:sz w:val="20"/>
                <w:szCs w:val="20"/>
              </w:rPr>
              <w:t>108</w:t>
            </w:r>
          </w:p>
        </w:tc>
        <w:tc>
          <w:tcPr>
            <w:tcW w:w="1733" w:type="dxa"/>
            <w:tcBorders>
              <w:top w:val="nil"/>
              <w:left w:val="nil"/>
              <w:bottom w:val="nil"/>
              <w:right w:val="nil"/>
            </w:tcBorders>
            <w:noWrap/>
            <w:vAlign w:val="bottom"/>
            <w:hideMark/>
          </w:tcPr>
          <w:p w14:paraId="7EDB4EB7" w14:textId="0BD54005" w:rsidR="00F864B7" w:rsidRPr="00F864B7" w:rsidRDefault="00F864B7" w:rsidP="00B649ED">
            <w:pPr>
              <w:spacing w:after="0"/>
              <w:rPr>
                <w:rFonts w:eastAsia="Times New Roman" w:cs="Times New Roman"/>
                <w:color w:val="000000"/>
                <w:sz w:val="20"/>
                <w:szCs w:val="20"/>
              </w:rPr>
            </w:pPr>
            <w:r w:rsidRPr="00F864B7">
              <w:rPr>
                <w:rFonts w:eastAsia="Times New Roman" w:cs="Times New Roman"/>
                <w:color w:val="000000"/>
                <w:sz w:val="20"/>
                <w:szCs w:val="20"/>
              </w:rPr>
              <w:t>2</w:t>
            </w:r>
            <w:r w:rsidR="00F8734B">
              <w:rPr>
                <w:rFonts w:eastAsia="Times New Roman" w:cs="Times New Roman"/>
                <w:color w:val="000000"/>
                <w:sz w:val="20"/>
                <w:szCs w:val="20"/>
              </w:rPr>
              <w:t>2</w:t>
            </w:r>
          </w:p>
        </w:tc>
      </w:tr>
      <w:tr w:rsidR="00F864B7" w:rsidRPr="00F864B7" w14:paraId="0D793D73" w14:textId="77777777" w:rsidTr="00731586">
        <w:trPr>
          <w:trHeight w:val="245"/>
        </w:trPr>
        <w:tc>
          <w:tcPr>
            <w:tcW w:w="1335" w:type="dxa"/>
            <w:tcBorders>
              <w:top w:val="nil"/>
              <w:left w:val="nil"/>
              <w:bottom w:val="nil"/>
              <w:right w:val="nil"/>
            </w:tcBorders>
            <w:noWrap/>
            <w:vAlign w:val="bottom"/>
            <w:hideMark/>
          </w:tcPr>
          <w:p w14:paraId="2EE956A2" w14:textId="77777777" w:rsidR="00F864B7" w:rsidRPr="00F864B7" w:rsidRDefault="00F864B7" w:rsidP="00B649ED">
            <w:pPr>
              <w:spacing w:after="0"/>
              <w:rPr>
                <w:rFonts w:eastAsia="Times New Roman" w:cs="Times New Roman"/>
                <w:color w:val="000000"/>
                <w:sz w:val="20"/>
                <w:szCs w:val="20"/>
              </w:rPr>
            </w:pPr>
            <w:r w:rsidRPr="00F864B7">
              <w:rPr>
                <w:rFonts w:eastAsia="Times New Roman" w:cs="Times New Roman"/>
                <w:color w:val="000000"/>
                <w:sz w:val="20"/>
                <w:szCs w:val="20"/>
              </w:rPr>
              <w:t>Ga</w:t>
            </w:r>
          </w:p>
        </w:tc>
        <w:tc>
          <w:tcPr>
            <w:tcW w:w="1486" w:type="dxa"/>
            <w:tcBorders>
              <w:top w:val="nil"/>
              <w:left w:val="nil"/>
              <w:bottom w:val="nil"/>
              <w:right w:val="nil"/>
            </w:tcBorders>
            <w:noWrap/>
            <w:vAlign w:val="bottom"/>
            <w:hideMark/>
          </w:tcPr>
          <w:p w14:paraId="48AD58EC" w14:textId="77777777" w:rsidR="00F864B7" w:rsidRPr="00F864B7" w:rsidRDefault="00F864B7" w:rsidP="00B649ED">
            <w:pPr>
              <w:spacing w:after="0"/>
              <w:rPr>
                <w:rFonts w:eastAsia="Times New Roman" w:cs="Times New Roman"/>
                <w:color w:val="000000"/>
                <w:sz w:val="20"/>
                <w:szCs w:val="20"/>
              </w:rPr>
            </w:pPr>
            <w:r w:rsidRPr="00F864B7">
              <w:rPr>
                <w:rFonts w:eastAsia="Times New Roman" w:cs="Times New Roman"/>
                <w:color w:val="000000"/>
                <w:sz w:val="20"/>
                <w:szCs w:val="20"/>
              </w:rPr>
              <w:t>5</w:t>
            </w:r>
          </w:p>
        </w:tc>
        <w:tc>
          <w:tcPr>
            <w:tcW w:w="1589" w:type="dxa"/>
            <w:tcBorders>
              <w:top w:val="nil"/>
              <w:left w:val="nil"/>
              <w:bottom w:val="nil"/>
              <w:right w:val="nil"/>
            </w:tcBorders>
            <w:noWrap/>
            <w:vAlign w:val="bottom"/>
            <w:hideMark/>
          </w:tcPr>
          <w:p w14:paraId="3D3927EE" w14:textId="08C90A66" w:rsidR="00F864B7" w:rsidRPr="00F864B7" w:rsidRDefault="00F864B7" w:rsidP="00B649ED">
            <w:pPr>
              <w:spacing w:after="0"/>
              <w:rPr>
                <w:rFonts w:eastAsia="Times New Roman" w:cs="Times New Roman"/>
                <w:color w:val="000000"/>
                <w:sz w:val="20"/>
                <w:szCs w:val="20"/>
              </w:rPr>
            </w:pPr>
            <w:r w:rsidRPr="00F864B7">
              <w:rPr>
                <w:rFonts w:eastAsia="Times New Roman" w:cs="Times New Roman"/>
                <w:color w:val="000000"/>
                <w:sz w:val="20"/>
                <w:szCs w:val="20"/>
              </w:rPr>
              <w:t>11</w:t>
            </w:r>
            <w:r w:rsidR="00FC0864">
              <w:rPr>
                <w:rFonts w:eastAsia="Times New Roman" w:cs="Times New Roman"/>
                <w:color w:val="000000"/>
                <w:sz w:val="20"/>
                <w:szCs w:val="20"/>
              </w:rPr>
              <w:t>,</w:t>
            </w:r>
            <w:r w:rsidRPr="00F864B7">
              <w:rPr>
                <w:rFonts w:eastAsia="Times New Roman" w:cs="Times New Roman"/>
                <w:color w:val="000000"/>
                <w:sz w:val="20"/>
                <w:szCs w:val="20"/>
              </w:rPr>
              <w:t>430</w:t>
            </w:r>
          </w:p>
        </w:tc>
        <w:tc>
          <w:tcPr>
            <w:tcW w:w="1733" w:type="dxa"/>
            <w:tcBorders>
              <w:top w:val="nil"/>
              <w:left w:val="nil"/>
              <w:bottom w:val="nil"/>
              <w:right w:val="nil"/>
            </w:tcBorders>
            <w:noWrap/>
            <w:vAlign w:val="bottom"/>
            <w:hideMark/>
          </w:tcPr>
          <w:p w14:paraId="54BDB944" w14:textId="695FEE8B" w:rsidR="00F864B7" w:rsidRPr="00F864B7" w:rsidRDefault="00F864B7" w:rsidP="00B649ED">
            <w:pPr>
              <w:spacing w:after="0"/>
              <w:rPr>
                <w:rFonts w:eastAsia="Times New Roman" w:cs="Times New Roman"/>
                <w:color w:val="000000"/>
                <w:sz w:val="20"/>
                <w:szCs w:val="20"/>
              </w:rPr>
            </w:pPr>
            <w:r w:rsidRPr="00F864B7">
              <w:rPr>
                <w:rFonts w:eastAsia="Times New Roman" w:cs="Times New Roman"/>
                <w:color w:val="000000"/>
                <w:sz w:val="20"/>
                <w:szCs w:val="20"/>
              </w:rPr>
              <w:t>1</w:t>
            </w:r>
            <w:r w:rsidR="00F8734B">
              <w:rPr>
                <w:rFonts w:eastAsia="Times New Roman" w:cs="Times New Roman"/>
                <w:color w:val="000000"/>
                <w:sz w:val="20"/>
                <w:szCs w:val="20"/>
              </w:rPr>
              <w:t>1</w:t>
            </w:r>
          </w:p>
        </w:tc>
      </w:tr>
      <w:tr w:rsidR="00F864B7" w:rsidRPr="00F864B7" w14:paraId="5FD9D511" w14:textId="77777777" w:rsidTr="00731586">
        <w:trPr>
          <w:trHeight w:val="245"/>
        </w:trPr>
        <w:tc>
          <w:tcPr>
            <w:tcW w:w="1335" w:type="dxa"/>
            <w:tcBorders>
              <w:top w:val="nil"/>
              <w:left w:val="nil"/>
              <w:bottom w:val="nil"/>
              <w:right w:val="nil"/>
            </w:tcBorders>
            <w:noWrap/>
            <w:vAlign w:val="bottom"/>
            <w:hideMark/>
          </w:tcPr>
          <w:p w14:paraId="7F370CC9" w14:textId="77777777" w:rsidR="00F864B7" w:rsidRPr="00F864B7" w:rsidRDefault="00F864B7" w:rsidP="00B649ED">
            <w:pPr>
              <w:spacing w:after="0"/>
              <w:rPr>
                <w:rFonts w:eastAsia="Times New Roman" w:cs="Times New Roman"/>
                <w:color w:val="000000"/>
                <w:sz w:val="20"/>
                <w:szCs w:val="20"/>
              </w:rPr>
            </w:pPr>
            <w:r w:rsidRPr="00F864B7">
              <w:rPr>
                <w:rFonts w:eastAsia="Times New Roman" w:cs="Times New Roman"/>
                <w:color w:val="000000"/>
                <w:sz w:val="20"/>
                <w:szCs w:val="20"/>
              </w:rPr>
              <w:t>Ge</w:t>
            </w:r>
          </w:p>
        </w:tc>
        <w:tc>
          <w:tcPr>
            <w:tcW w:w="1486" w:type="dxa"/>
            <w:tcBorders>
              <w:top w:val="nil"/>
              <w:left w:val="nil"/>
              <w:bottom w:val="nil"/>
              <w:right w:val="nil"/>
            </w:tcBorders>
            <w:noWrap/>
            <w:vAlign w:val="bottom"/>
            <w:hideMark/>
          </w:tcPr>
          <w:p w14:paraId="7DF27B12" w14:textId="77777777" w:rsidR="00F864B7" w:rsidRPr="00F864B7" w:rsidRDefault="00F864B7" w:rsidP="00B649ED">
            <w:pPr>
              <w:spacing w:after="0"/>
              <w:rPr>
                <w:rFonts w:eastAsia="Times New Roman" w:cs="Times New Roman"/>
                <w:color w:val="000000"/>
                <w:sz w:val="20"/>
                <w:szCs w:val="20"/>
              </w:rPr>
            </w:pPr>
            <w:r w:rsidRPr="00F864B7">
              <w:rPr>
                <w:rFonts w:eastAsia="Times New Roman" w:cs="Times New Roman"/>
                <w:color w:val="000000"/>
                <w:sz w:val="20"/>
                <w:szCs w:val="20"/>
              </w:rPr>
              <w:t>3</w:t>
            </w:r>
          </w:p>
        </w:tc>
        <w:tc>
          <w:tcPr>
            <w:tcW w:w="1589" w:type="dxa"/>
            <w:tcBorders>
              <w:top w:val="nil"/>
              <w:left w:val="nil"/>
              <w:bottom w:val="nil"/>
              <w:right w:val="nil"/>
            </w:tcBorders>
            <w:noWrap/>
            <w:vAlign w:val="bottom"/>
            <w:hideMark/>
          </w:tcPr>
          <w:p w14:paraId="5A684BB6" w14:textId="23A09DEF" w:rsidR="00F864B7" w:rsidRPr="00F864B7" w:rsidRDefault="00F864B7" w:rsidP="00B649ED">
            <w:pPr>
              <w:spacing w:after="0"/>
              <w:rPr>
                <w:rFonts w:eastAsia="Times New Roman" w:cs="Times New Roman"/>
                <w:color w:val="000000"/>
                <w:sz w:val="20"/>
                <w:szCs w:val="20"/>
              </w:rPr>
            </w:pPr>
            <w:r w:rsidRPr="00F864B7">
              <w:rPr>
                <w:rFonts w:eastAsia="Times New Roman" w:cs="Times New Roman"/>
                <w:color w:val="000000"/>
                <w:sz w:val="20"/>
                <w:szCs w:val="20"/>
              </w:rPr>
              <w:t>7</w:t>
            </w:r>
            <w:r w:rsidR="00FC0864">
              <w:rPr>
                <w:rFonts w:eastAsia="Times New Roman" w:cs="Times New Roman"/>
                <w:color w:val="000000"/>
                <w:sz w:val="20"/>
                <w:szCs w:val="20"/>
              </w:rPr>
              <w:t>,</w:t>
            </w:r>
            <w:r w:rsidRPr="00F864B7">
              <w:rPr>
                <w:rFonts w:eastAsia="Times New Roman" w:cs="Times New Roman"/>
                <w:color w:val="000000"/>
                <w:sz w:val="20"/>
                <w:szCs w:val="20"/>
              </w:rPr>
              <w:t>720</w:t>
            </w:r>
          </w:p>
        </w:tc>
        <w:tc>
          <w:tcPr>
            <w:tcW w:w="1733" w:type="dxa"/>
            <w:tcBorders>
              <w:top w:val="nil"/>
              <w:left w:val="nil"/>
              <w:bottom w:val="nil"/>
              <w:right w:val="nil"/>
            </w:tcBorders>
            <w:noWrap/>
            <w:vAlign w:val="bottom"/>
            <w:hideMark/>
          </w:tcPr>
          <w:p w14:paraId="6E2D6DCA" w14:textId="1C2B2FA0" w:rsidR="00F864B7" w:rsidRPr="00F864B7" w:rsidRDefault="00F8734B" w:rsidP="00B649ED">
            <w:pPr>
              <w:spacing w:after="0"/>
              <w:rPr>
                <w:rFonts w:eastAsia="Times New Roman" w:cs="Times New Roman"/>
                <w:color w:val="000000"/>
                <w:sz w:val="20"/>
                <w:szCs w:val="20"/>
              </w:rPr>
            </w:pPr>
            <w:r>
              <w:rPr>
                <w:rFonts w:eastAsia="Times New Roman" w:cs="Times New Roman"/>
                <w:color w:val="000000"/>
                <w:sz w:val="20"/>
                <w:szCs w:val="20"/>
              </w:rPr>
              <w:t>8</w:t>
            </w:r>
          </w:p>
        </w:tc>
      </w:tr>
      <w:tr w:rsidR="00F864B7" w:rsidRPr="00F864B7" w14:paraId="727FA7F2" w14:textId="77777777" w:rsidTr="00731586">
        <w:trPr>
          <w:trHeight w:val="504"/>
        </w:trPr>
        <w:tc>
          <w:tcPr>
            <w:tcW w:w="1335" w:type="dxa"/>
            <w:tcBorders>
              <w:top w:val="nil"/>
              <w:left w:val="nil"/>
              <w:bottom w:val="nil"/>
              <w:right w:val="nil"/>
            </w:tcBorders>
            <w:vAlign w:val="bottom"/>
            <w:hideMark/>
          </w:tcPr>
          <w:p w14:paraId="2996515B" w14:textId="77777777" w:rsidR="00F864B7" w:rsidRPr="00F864B7" w:rsidRDefault="00F864B7" w:rsidP="007E4E17">
            <w:pPr>
              <w:spacing w:after="0"/>
              <w:ind w:firstLine="0"/>
              <w:jc w:val="center"/>
              <w:rPr>
                <w:rFonts w:eastAsia="Times New Roman" w:cs="Times New Roman"/>
                <w:b/>
                <w:bCs/>
                <w:color w:val="000000"/>
                <w:sz w:val="20"/>
                <w:szCs w:val="20"/>
              </w:rPr>
            </w:pPr>
            <w:r w:rsidRPr="00F864B7">
              <w:rPr>
                <w:rFonts w:eastAsia="Times New Roman" w:cs="Times New Roman"/>
                <w:b/>
                <w:bCs/>
                <w:color w:val="000000"/>
                <w:sz w:val="20"/>
                <w:szCs w:val="20"/>
              </w:rPr>
              <w:t>Non-Critical Commodity</w:t>
            </w:r>
          </w:p>
        </w:tc>
        <w:tc>
          <w:tcPr>
            <w:tcW w:w="1486" w:type="dxa"/>
            <w:tcBorders>
              <w:top w:val="nil"/>
              <w:left w:val="nil"/>
              <w:bottom w:val="nil"/>
              <w:right w:val="nil"/>
            </w:tcBorders>
            <w:vAlign w:val="bottom"/>
            <w:hideMark/>
          </w:tcPr>
          <w:p w14:paraId="06BBD05A" w14:textId="77777777" w:rsidR="00F864B7" w:rsidRPr="00F864B7" w:rsidRDefault="00F864B7" w:rsidP="007E4E17">
            <w:pPr>
              <w:spacing w:after="0"/>
              <w:ind w:firstLine="0"/>
              <w:jc w:val="center"/>
              <w:rPr>
                <w:rFonts w:eastAsia="Times New Roman" w:cs="Times New Roman"/>
                <w:b/>
                <w:bCs/>
                <w:color w:val="000000"/>
                <w:sz w:val="20"/>
                <w:szCs w:val="20"/>
              </w:rPr>
            </w:pPr>
            <w:r w:rsidRPr="00F864B7">
              <w:rPr>
                <w:rFonts w:eastAsia="Times New Roman" w:cs="Times New Roman"/>
                <w:b/>
                <w:bCs/>
                <w:color w:val="000000"/>
                <w:sz w:val="20"/>
                <w:szCs w:val="20"/>
              </w:rPr>
              <w:t>Weighted Mean (ppm)</w:t>
            </w:r>
          </w:p>
        </w:tc>
        <w:tc>
          <w:tcPr>
            <w:tcW w:w="1589" w:type="dxa"/>
            <w:tcBorders>
              <w:top w:val="nil"/>
              <w:left w:val="nil"/>
              <w:bottom w:val="nil"/>
              <w:right w:val="nil"/>
            </w:tcBorders>
            <w:vAlign w:val="bottom"/>
            <w:hideMark/>
          </w:tcPr>
          <w:p w14:paraId="6E34BA53" w14:textId="77777777" w:rsidR="00F864B7" w:rsidRPr="00F864B7" w:rsidRDefault="00F864B7" w:rsidP="007E4E17">
            <w:pPr>
              <w:spacing w:after="0"/>
              <w:ind w:firstLine="0"/>
              <w:jc w:val="center"/>
              <w:rPr>
                <w:rFonts w:eastAsia="Times New Roman" w:cs="Times New Roman"/>
                <w:b/>
                <w:bCs/>
                <w:color w:val="000000"/>
                <w:sz w:val="20"/>
                <w:szCs w:val="20"/>
              </w:rPr>
            </w:pPr>
            <w:r w:rsidRPr="00F864B7">
              <w:rPr>
                <w:rFonts w:eastAsia="Times New Roman" w:cs="Times New Roman"/>
                <w:b/>
                <w:bCs/>
                <w:color w:val="000000"/>
                <w:sz w:val="20"/>
                <w:szCs w:val="20"/>
              </w:rPr>
              <w:t>Resource Estimate (kg)</w:t>
            </w:r>
          </w:p>
        </w:tc>
        <w:tc>
          <w:tcPr>
            <w:tcW w:w="1733" w:type="dxa"/>
            <w:tcBorders>
              <w:top w:val="nil"/>
              <w:left w:val="nil"/>
              <w:bottom w:val="nil"/>
              <w:right w:val="nil"/>
            </w:tcBorders>
            <w:vAlign w:val="bottom"/>
            <w:hideMark/>
          </w:tcPr>
          <w:p w14:paraId="77DCF3BE" w14:textId="31A4C2C5" w:rsidR="00F864B7" w:rsidRPr="00F864B7" w:rsidRDefault="00F864B7" w:rsidP="007E4E17">
            <w:pPr>
              <w:spacing w:after="0"/>
              <w:ind w:firstLine="0"/>
              <w:jc w:val="center"/>
              <w:rPr>
                <w:rFonts w:eastAsia="Times New Roman" w:cs="Times New Roman"/>
                <w:b/>
                <w:bCs/>
                <w:color w:val="000000"/>
                <w:sz w:val="20"/>
                <w:szCs w:val="20"/>
              </w:rPr>
            </w:pPr>
            <w:r w:rsidRPr="00F864B7">
              <w:rPr>
                <w:rFonts w:eastAsia="Times New Roman" w:cs="Times New Roman"/>
                <w:b/>
                <w:bCs/>
                <w:color w:val="000000"/>
                <w:sz w:val="20"/>
                <w:szCs w:val="20"/>
              </w:rPr>
              <w:t xml:space="preserve">Resource </w:t>
            </w:r>
            <w:r w:rsidR="007E4E17">
              <w:rPr>
                <w:rFonts w:eastAsia="Times New Roman" w:cs="Times New Roman"/>
                <w:b/>
                <w:bCs/>
                <w:color w:val="000000"/>
                <w:sz w:val="20"/>
                <w:szCs w:val="20"/>
              </w:rPr>
              <w:t>E</w:t>
            </w:r>
            <w:r w:rsidRPr="00F864B7">
              <w:rPr>
                <w:rFonts w:eastAsia="Times New Roman" w:cs="Times New Roman"/>
                <w:b/>
                <w:bCs/>
                <w:color w:val="000000"/>
                <w:sz w:val="20"/>
                <w:szCs w:val="20"/>
              </w:rPr>
              <w:t xml:space="preserve">stimate </w:t>
            </w:r>
            <w:r w:rsidR="00731586" w:rsidRPr="00F864B7">
              <w:rPr>
                <w:rFonts w:eastAsia="Times New Roman" w:cs="Times New Roman"/>
                <w:b/>
                <w:bCs/>
                <w:color w:val="000000"/>
                <w:sz w:val="20"/>
                <w:szCs w:val="20"/>
              </w:rPr>
              <w:t>(</w:t>
            </w:r>
            <w:r w:rsidR="00731586">
              <w:rPr>
                <w:rFonts w:eastAsia="Times New Roman" w:cs="Times New Roman"/>
                <w:b/>
                <w:bCs/>
                <w:color w:val="000000"/>
                <w:sz w:val="20"/>
                <w:szCs w:val="20"/>
              </w:rPr>
              <w:t>metric ton</w:t>
            </w:r>
            <w:r w:rsidR="00731586" w:rsidRPr="00F864B7">
              <w:rPr>
                <w:rFonts w:eastAsia="Times New Roman" w:cs="Times New Roman"/>
                <w:b/>
                <w:bCs/>
                <w:color w:val="000000"/>
                <w:sz w:val="20"/>
                <w:szCs w:val="20"/>
              </w:rPr>
              <w:t>)</w:t>
            </w:r>
          </w:p>
        </w:tc>
      </w:tr>
      <w:tr w:rsidR="00F864B7" w:rsidRPr="00F864B7" w14:paraId="78B7FC95" w14:textId="77777777" w:rsidTr="00731586">
        <w:trPr>
          <w:trHeight w:val="245"/>
        </w:trPr>
        <w:tc>
          <w:tcPr>
            <w:tcW w:w="1335" w:type="dxa"/>
            <w:tcBorders>
              <w:top w:val="nil"/>
              <w:left w:val="nil"/>
              <w:bottom w:val="nil"/>
              <w:right w:val="nil"/>
            </w:tcBorders>
            <w:noWrap/>
            <w:vAlign w:val="bottom"/>
            <w:hideMark/>
          </w:tcPr>
          <w:p w14:paraId="265AECB8" w14:textId="77777777" w:rsidR="00F864B7" w:rsidRPr="00F864B7" w:rsidRDefault="00F864B7" w:rsidP="00F864B7">
            <w:pPr>
              <w:spacing w:after="0"/>
              <w:jc w:val="center"/>
              <w:rPr>
                <w:rFonts w:eastAsia="Times New Roman" w:cs="Times New Roman"/>
                <w:color w:val="000000"/>
                <w:sz w:val="20"/>
                <w:szCs w:val="20"/>
              </w:rPr>
            </w:pPr>
            <w:r w:rsidRPr="00F864B7">
              <w:rPr>
                <w:rFonts w:eastAsia="Times New Roman" w:cs="Times New Roman"/>
                <w:color w:val="000000"/>
                <w:sz w:val="20"/>
                <w:szCs w:val="20"/>
              </w:rPr>
              <w:t>Ag</w:t>
            </w:r>
          </w:p>
        </w:tc>
        <w:tc>
          <w:tcPr>
            <w:tcW w:w="1486" w:type="dxa"/>
            <w:tcBorders>
              <w:top w:val="nil"/>
              <w:left w:val="nil"/>
              <w:bottom w:val="nil"/>
              <w:right w:val="nil"/>
            </w:tcBorders>
            <w:noWrap/>
            <w:vAlign w:val="bottom"/>
            <w:hideMark/>
          </w:tcPr>
          <w:p w14:paraId="093827CA" w14:textId="77777777" w:rsidR="00F864B7" w:rsidRPr="00F864B7" w:rsidRDefault="00F864B7" w:rsidP="007E4267">
            <w:pPr>
              <w:spacing w:after="0"/>
              <w:rPr>
                <w:rFonts w:eastAsia="Times New Roman" w:cs="Times New Roman"/>
                <w:color w:val="000000"/>
                <w:sz w:val="20"/>
                <w:szCs w:val="20"/>
              </w:rPr>
            </w:pPr>
            <w:r w:rsidRPr="00F864B7">
              <w:rPr>
                <w:rFonts w:eastAsia="Times New Roman" w:cs="Times New Roman"/>
                <w:color w:val="000000"/>
                <w:sz w:val="20"/>
                <w:szCs w:val="20"/>
              </w:rPr>
              <w:t>14</w:t>
            </w:r>
          </w:p>
        </w:tc>
        <w:tc>
          <w:tcPr>
            <w:tcW w:w="1589" w:type="dxa"/>
            <w:tcBorders>
              <w:top w:val="nil"/>
              <w:left w:val="nil"/>
              <w:bottom w:val="nil"/>
              <w:right w:val="nil"/>
            </w:tcBorders>
            <w:noWrap/>
            <w:vAlign w:val="bottom"/>
            <w:hideMark/>
          </w:tcPr>
          <w:p w14:paraId="4A5B14CC" w14:textId="73E012A2" w:rsidR="00F864B7" w:rsidRPr="00F864B7" w:rsidRDefault="00F864B7" w:rsidP="007E4267">
            <w:pPr>
              <w:spacing w:after="0"/>
              <w:rPr>
                <w:rFonts w:eastAsia="Times New Roman" w:cs="Times New Roman"/>
                <w:color w:val="000000"/>
                <w:sz w:val="20"/>
                <w:szCs w:val="20"/>
              </w:rPr>
            </w:pPr>
            <w:r w:rsidRPr="00F864B7">
              <w:rPr>
                <w:rFonts w:eastAsia="Times New Roman" w:cs="Times New Roman"/>
                <w:color w:val="000000"/>
                <w:sz w:val="20"/>
                <w:szCs w:val="20"/>
              </w:rPr>
              <w:t>34</w:t>
            </w:r>
            <w:r w:rsidR="00FC0864">
              <w:rPr>
                <w:rFonts w:eastAsia="Times New Roman" w:cs="Times New Roman"/>
                <w:color w:val="000000"/>
                <w:sz w:val="20"/>
                <w:szCs w:val="20"/>
              </w:rPr>
              <w:t>,</w:t>
            </w:r>
            <w:r w:rsidRPr="00F864B7">
              <w:rPr>
                <w:rFonts w:eastAsia="Times New Roman" w:cs="Times New Roman"/>
                <w:color w:val="000000"/>
                <w:sz w:val="20"/>
                <w:szCs w:val="20"/>
              </w:rPr>
              <w:t>349</w:t>
            </w:r>
          </w:p>
        </w:tc>
        <w:tc>
          <w:tcPr>
            <w:tcW w:w="1733" w:type="dxa"/>
            <w:tcBorders>
              <w:top w:val="nil"/>
              <w:left w:val="nil"/>
              <w:bottom w:val="nil"/>
              <w:right w:val="nil"/>
            </w:tcBorders>
            <w:noWrap/>
            <w:vAlign w:val="bottom"/>
            <w:hideMark/>
          </w:tcPr>
          <w:p w14:paraId="2339BA97" w14:textId="7C0CEB1A" w:rsidR="00F864B7" w:rsidRPr="00F864B7" w:rsidRDefault="00F864B7" w:rsidP="007E4267">
            <w:pPr>
              <w:spacing w:after="0"/>
              <w:rPr>
                <w:rFonts w:eastAsia="Times New Roman" w:cs="Times New Roman"/>
                <w:color w:val="000000"/>
                <w:sz w:val="20"/>
                <w:szCs w:val="20"/>
              </w:rPr>
            </w:pPr>
            <w:r w:rsidRPr="00F864B7">
              <w:rPr>
                <w:rFonts w:eastAsia="Times New Roman" w:cs="Times New Roman"/>
                <w:color w:val="000000"/>
                <w:sz w:val="20"/>
                <w:szCs w:val="20"/>
              </w:rPr>
              <w:t>3</w:t>
            </w:r>
            <w:r w:rsidR="00F8734B">
              <w:rPr>
                <w:rFonts w:eastAsia="Times New Roman" w:cs="Times New Roman"/>
                <w:color w:val="000000"/>
                <w:sz w:val="20"/>
                <w:szCs w:val="20"/>
              </w:rPr>
              <w:t>4</w:t>
            </w:r>
          </w:p>
        </w:tc>
      </w:tr>
      <w:tr w:rsidR="00F864B7" w:rsidRPr="00F864B7" w14:paraId="51788D1C" w14:textId="77777777" w:rsidTr="00731586">
        <w:trPr>
          <w:trHeight w:val="245"/>
        </w:trPr>
        <w:tc>
          <w:tcPr>
            <w:tcW w:w="1335" w:type="dxa"/>
            <w:tcBorders>
              <w:top w:val="nil"/>
              <w:left w:val="nil"/>
              <w:bottom w:val="single" w:sz="4" w:space="0" w:color="auto"/>
              <w:right w:val="nil"/>
            </w:tcBorders>
            <w:noWrap/>
            <w:vAlign w:val="bottom"/>
            <w:hideMark/>
          </w:tcPr>
          <w:p w14:paraId="4561D624" w14:textId="77777777" w:rsidR="00F864B7" w:rsidRPr="00F864B7" w:rsidRDefault="00F864B7" w:rsidP="00F864B7">
            <w:pPr>
              <w:spacing w:after="0"/>
              <w:jc w:val="center"/>
              <w:rPr>
                <w:rFonts w:eastAsia="Times New Roman" w:cs="Times New Roman"/>
                <w:color w:val="000000"/>
                <w:sz w:val="20"/>
                <w:szCs w:val="20"/>
              </w:rPr>
            </w:pPr>
            <w:r w:rsidRPr="00F864B7">
              <w:rPr>
                <w:rFonts w:eastAsia="Times New Roman" w:cs="Times New Roman"/>
                <w:color w:val="000000"/>
                <w:sz w:val="20"/>
                <w:szCs w:val="20"/>
              </w:rPr>
              <w:t>Au</w:t>
            </w:r>
          </w:p>
        </w:tc>
        <w:tc>
          <w:tcPr>
            <w:tcW w:w="1486" w:type="dxa"/>
            <w:tcBorders>
              <w:top w:val="nil"/>
              <w:left w:val="nil"/>
              <w:bottom w:val="single" w:sz="4" w:space="0" w:color="auto"/>
              <w:right w:val="nil"/>
            </w:tcBorders>
            <w:noWrap/>
            <w:vAlign w:val="bottom"/>
            <w:hideMark/>
          </w:tcPr>
          <w:p w14:paraId="55610037" w14:textId="77777777" w:rsidR="00F864B7" w:rsidRPr="00F864B7" w:rsidRDefault="00F864B7" w:rsidP="007E4267">
            <w:pPr>
              <w:spacing w:after="0"/>
              <w:rPr>
                <w:rFonts w:eastAsia="Times New Roman" w:cs="Times New Roman"/>
                <w:color w:val="000000"/>
                <w:sz w:val="20"/>
                <w:szCs w:val="20"/>
              </w:rPr>
            </w:pPr>
            <w:r w:rsidRPr="00F864B7">
              <w:rPr>
                <w:rFonts w:eastAsia="Times New Roman" w:cs="Times New Roman"/>
                <w:color w:val="000000"/>
                <w:sz w:val="20"/>
                <w:szCs w:val="20"/>
              </w:rPr>
              <w:t>0.040</w:t>
            </w:r>
          </w:p>
        </w:tc>
        <w:tc>
          <w:tcPr>
            <w:tcW w:w="1589" w:type="dxa"/>
            <w:tcBorders>
              <w:top w:val="nil"/>
              <w:left w:val="nil"/>
              <w:bottom w:val="single" w:sz="4" w:space="0" w:color="auto"/>
              <w:right w:val="nil"/>
            </w:tcBorders>
            <w:noWrap/>
            <w:vAlign w:val="bottom"/>
            <w:hideMark/>
          </w:tcPr>
          <w:p w14:paraId="05520F5B" w14:textId="77777777" w:rsidR="00F864B7" w:rsidRPr="00F864B7" w:rsidRDefault="00F864B7" w:rsidP="007E4267">
            <w:pPr>
              <w:spacing w:after="0"/>
              <w:rPr>
                <w:rFonts w:eastAsia="Times New Roman" w:cs="Times New Roman"/>
                <w:color w:val="000000"/>
                <w:sz w:val="20"/>
                <w:szCs w:val="20"/>
              </w:rPr>
            </w:pPr>
            <w:r w:rsidRPr="00F864B7">
              <w:rPr>
                <w:rFonts w:eastAsia="Times New Roman" w:cs="Times New Roman"/>
                <w:color w:val="000000"/>
                <w:sz w:val="20"/>
                <w:szCs w:val="20"/>
              </w:rPr>
              <w:t>97</w:t>
            </w:r>
          </w:p>
        </w:tc>
        <w:tc>
          <w:tcPr>
            <w:tcW w:w="1733" w:type="dxa"/>
            <w:tcBorders>
              <w:top w:val="nil"/>
              <w:left w:val="nil"/>
              <w:bottom w:val="single" w:sz="4" w:space="0" w:color="auto"/>
              <w:right w:val="nil"/>
            </w:tcBorders>
            <w:noWrap/>
            <w:vAlign w:val="bottom"/>
            <w:hideMark/>
          </w:tcPr>
          <w:p w14:paraId="3823D393" w14:textId="16A44360" w:rsidR="00F864B7" w:rsidRPr="00F864B7" w:rsidRDefault="00775FD5" w:rsidP="007E4267">
            <w:pPr>
              <w:spacing w:after="0"/>
              <w:rPr>
                <w:rFonts w:eastAsia="Times New Roman" w:cs="Times New Roman"/>
                <w:color w:val="000000"/>
                <w:sz w:val="20"/>
                <w:szCs w:val="20"/>
              </w:rPr>
            </w:pPr>
            <w:r>
              <w:rPr>
                <w:rFonts w:eastAsia="Times New Roman" w:cs="Times New Roman"/>
                <w:color w:val="000000"/>
                <w:sz w:val="20"/>
                <w:szCs w:val="20"/>
              </w:rPr>
              <w:t>0.</w:t>
            </w:r>
            <w:r w:rsidR="00F864B7" w:rsidRPr="00F864B7">
              <w:rPr>
                <w:rFonts w:eastAsia="Times New Roman" w:cs="Times New Roman"/>
                <w:color w:val="000000"/>
                <w:sz w:val="20"/>
                <w:szCs w:val="20"/>
              </w:rPr>
              <w:t>1</w:t>
            </w:r>
          </w:p>
        </w:tc>
      </w:tr>
    </w:tbl>
    <w:p w14:paraId="469DD492" w14:textId="77777777" w:rsidR="00731EB9" w:rsidRDefault="00731EB9" w:rsidP="00731EB9"/>
    <w:p w14:paraId="12AD43B4" w14:textId="5D70ACB0" w:rsidR="005C1C95" w:rsidRPr="004F21C9" w:rsidRDefault="005C1C95" w:rsidP="00354281">
      <w:pPr>
        <w:pStyle w:val="Heading2"/>
      </w:pPr>
      <w:bookmarkStart w:id="15" w:name="_Toc222230019"/>
      <w:r w:rsidRPr="004F21C9">
        <w:lastRenderedPageBreak/>
        <w:t>5.</w:t>
      </w:r>
      <w:r w:rsidR="000252DF" w:rsidRPr="004F21C9">
        <w:t>6</w:t>
      </w:r>
      <w:r w:rsidRPr="004F21C9">
        <w:t xml:space="preserve"> Acid</w:t>
      </w:r>
      <w:r w:rsidR="008170B5">
        <w:t>-</w:t>
      </w:r>
      <w:r w:rsidRPr="004F21C9">
        <w:t>Base Accounting</w:t>
      </w:r>
      <w:bookmarkEnd w:id="15"/>
    </w:p>
    <w:p w14:paraId="7CDC0315" w14:textId="44BCA73B" w:rsidR="000420B4" w:rsidRPr="00FA4EF4" w:rsidRDefault="000420B4" w:rsidP="002C492A">
      <w:r w:rsidRPr="00FA4EF4">
        <w:t xml:space="preserve">The Tungsten Queen mine is listed as an NC Department of Environmental Quality Inactive Hazardous Site (ID# NCD082362989) with known soil and water contamination. The mine site is located approximately 2 miles southwest of the Island Creek Reservoir. The Island Creek Dam, which separates the Island Creek Reservoir from the larger John H. Kerr Reservoir, was constructed in 1955 to prevent flooding of the Tungsten Queen mine site and contains pump stations that move water from the Island Creek Drainage Basin into Kerr Reservoir. The United States Army Corps of Engineers (USACE) have expressed concern that </w:t>
      </w:r>
      <w:r w:rsidR="00BE2E6C" w:rsidRPr="00FA4EF4">
        <w:t>Pb</w:t>
      </w:r>
      <w:r w:rsidRPr="00FA4EF4">
        <w:t xml:space="preserve"> and other metals from the Tungsten Queen mine tailings could contaminate the Island Creek Reservoir </w:t>
      </w:r>
      <w:r w:rsidRPr="00FA4EF4">
        <w:fldChar w:fldCharType="begin"/>
      </w:r>
      <w:r w:rsidRPr="00FA4EF4">
        <w:instrText xml:space="preserve"> ADDIN ZOTERO_ITEM CSL_CITATION {"citationID":"rKHgrqlW","properties":{"formattedCitation":"(U.S. Army Corps of Engineers, 2017)","plainCitation":"(U.S. Army Corps of Engineers, 2017)","noteIndex":0},"citationItems":[{"id":83,"uris":["http://zotero.org/users/17206691/items/PPXCB7L2"],"itemData":{"id":83,"type":"report","page":"1-22","title":"Draft Environmental Assessment Use of Borrow Areas for Island Creek Dam Repair John H. Kerr Dam and Reservoir, Mecklenburg County, Virginia","author":[{"literal":"U.S. Army Corps of Engineers"}],"issued":{"date-parts":[["2017"]]}}}],"schema":"https://github.com/citation-style-language/schema/raw/master/csl-citation.json"} </w:instrText>
      </w:r>
      <w:r w:rsidRPr="00FA4EF4">
        <w:fldChar w:fldCharType="separate"/>
      </w:r>
      <w:r w:rsidRPr="00FA4EF4">
        <w:t>(U.S. Army Corps of Engineers, 2017)</w:t>
      </w:r>
      <w:r w:rsidRPr="00FA4EF4">
        <w:fldChar w:fldCharType="end"/>
      </w:r>
      <w:r w:rsidRPr="00FA4EF4">
        <w:t>. This, in turn, would lead to contamination of the John H. Kerr Reservoir, which serves as a drinking water source for local municipalities.</w:t>
      </w:r>
      <w:r w:rsidR="00616D1F" w:rsidRPr="00FA4EF4">
        <w:t xml:space="preserve"> </w:t>
      </w:r>
      <w:r w:rsidR="007B5A7F" w:rsidRPr="00FA4EF4">
        <w:t>The l</w:t>
      </w:r>
      <w:r w:rsidR="00AA6AEE" w:rsidRPr="00FA4EF4">
        <w:t xml:space="preserve">eaching </w:t>
      </w:r>
      <w:r w:rsidR="007B5A7F" w:rsidRPr="00FA4EF4">
        <w:t xml:space="preserve">of </w:t>
      </w:r>
      <w:r w:rsidR="00AA6AEE" w:rsidRPr="00FA4EF4">
        <w:t>metals</w:t>
      </w:r>
      <w:r w:rsidR="003477DC" w:rsidRPr="00FA4EF4">
        <w:t xml:space="preserve"> by acid rock drainage </w:t>
      </w:r>
      <w:r w:rsidR="00212486" w:rsidRPr="00FA4EF4">
        <w:t xml:space="preserve">is well established </w:t>
      </w:r>
      <w:r w:rsidR="00212486" w:rsidRPr="00FA4EF4">
        <w:fldChar w:fldCharType="begin"/>
      </w:r>
      <w:r w:rsidR="00395E35" w:rsidRPr="00FA4EF4">
        <w:instrText xml:space="preserve"> ADDIN ZOTERO_ITEM CSL_CITATION {"citationID":"1gPyjkDI","properties":{"formattedCitation":"(International Network for Acid Prevention, 2009)","plainCitation":"(International Network for Acid Prevention, 2009)","dontUpdate":true,"noteIndex":0},"citationItems":[{"id":225,"uris":["http://zotero.org/users/17206691/items/UUZKYCTK"],"itemData":{"id":225,"type":"book","edition":"Rev 1","number-of-pages":"473","title":"Global Acid Rock Drainage Guide","URL":"http://www.gardguide.com","author":[{"literal":"International Network for Acid Prevention"}],"accessed":{"date-parts":[["2025",5,9]]},"issued":{"date-parts":[["2009"]]}}}],"schema":"https://github.com/citation-style-language/schema/raw/master/csl-citation.json"} </w:instrText>
      </w:r>
      <w:r w:rsidR="00212486" w:rsidRPr="00FA4EF4">
        <w:fldChar w:fldCharType="separate"/>
      </w:r>
      <w:r w:rsidR="00212486" w:rsidRPr="00FA4EF4">
        <w:t>(</w:t>
      </w:r>
      <w:r w:rsidR="007B5A7F" w:rsidRPr="00FA4EF4">
        <w:t xml:space="preserve">e.g., </w:t>
      </w:r>
      <w:r w:rsidR="00212486" w:rsidRPr="00FA4EF4">
        <w:t>International Network for Acid Prevention, 2009)</w:t>
      </w:r>
      <w:r w:rsidR="00212486" w:rsidRPr="00FA4EF4">
        <w:fldChar w:fldCharType="end"/>
      </w:r>
      <w:r w:rsidR="00212486" w:rsidRPr="00FA4EF4">
        <w:t xml:space="preserve">, and could </w:t>
      </w:r>
      <w:r w:rsidR="000069F8" w:rsidRPr="00FA4EF4">
        <w:t xml:space="preserve">cause </w:t>
      </w:r>
      <w:r w:rsidR="007B5A7F" w:rsidRPr="00FA4EF4">
        <w:t>the</w:t>
      </w:r>
      <w:r w:rsidR="008C1708" w:rsidRPr="00FA4EF4">
        <w:t xml:space="preserve"> kind of</w:t>
      </w:r>
      <w:r w:rsidR="007B5A7F" w:rsidRPr="00FA4EF4">
        <w:t xml:space="preserve"> metal contamination the </w:t>
      </w:r>
      <w:r w:rsidR="007B5A7F" w:rsidRPr="00FA4EF4">
        <w:fldChar w:fldCharType="begin"/>
      </w:r>
      <w:r w:rsidR="007500FB" w:rsidRPr="00FA4EF4">
        <w:instrText xml:space="preserve"> ADDIN ZOTERO_ITEM CSL_CITATION {"citationID":"BVxH2RRn","properties":{"formattedCitation":"(U.S. Army Corps of Engineers, 2017)","plainCitation":"(U.S. Army Corps of Engineers, 2017)","dontUpdate":true,"noteIndex":0},"citationItems":[{"id":83,"uris":["http://zotero.org/users/17206691/items/PPXCB7L2"],"itemData":{"id":83,"type":"report","page":"1-22","title":"Draft Environmental Assessment Use of Borrow Areas for Island Creek Dam Repair John H. Kerr Dam and Reservoir, Mecklenburg County, Virginia","author":[{"literal":"U.S. Army Corps of Engineers"}],"issued":{"date-parts":[["2017"]]}}}],"schema":"https://github.com/citation-style-language/schema/raw/master/csl-citation.json"} </w:instrText>
      </w:r>
      <w:r w:rsidR="007B5A7F" w:rsidRPr="00FA4EF4">
        <w:fldChar w:fldCharType="separate"/>
      </w:r>
      <w:r w:rsidR="007B5A7F" w:rsidRPr="00FA4EF4">
        <w:t>U.S. Army Corps of Engineers (2017)</w:t>
      </w:r>
      <w:r w:rsidR="007B5A7F" w:rsidRPr="00FA4EF4">
        <w:fldChar w:fldCharType="end"/>
      </w:r>
      <w:r w:rsidR="00212486" w:rsidRPr="00FA4EF4">
        <w:t xml:space="preserve"> </w:t>
      </w:r>
      <w:r w:rsidR="007B5A7F" w:rsidRPr="00FA4EF4">
        <w:t xml:space="preserve">expressed concern about. Thus, </w:t>
      </w:r>
      <w:r w:rsidR="007B5A7F" w:rsidRPr="00FA4EF4">
        <w:rPr>
          <w:color w:val="000000"/>
        </w:rPr>
        <w:t>a</w:t>
      </w:r>
      <w:r w:rsidR="00616D1F" w:rsidRPr="00FA4EF4">
        <w:rPr>
          <w:color w:val="000000"/>
        </w:rPr>
        <w:t>cid</w:t>
      </w:r>
      <w:r w:rsidR="008170B5">
        <w:rPr>
          <w:color w:val="000000"/>
        </w:rPr>
        <w:t>-</w:t>
      </w:r>
      <w:r w:rsidR="00616D1F" w:rsidRPr="00FA4EF4">
        <w:rPr>
          <w:color w:val="000000"/>
        </w:rPr>
        <w:t xml:space="preserve">base accounting (ABA) data were collected for all Tungsten Queen tailings samples to provide a cursory evaluation of the potential for </w:t>
      </w:r>
      <w:r w:rsidR="007B5A7F" w:rsidRPr="00FA4EF4">
        <w:rPr>
          <w:color w:val="000000"/>
        </w:rPr>
        <w:t xml:space="preserve">net </w:t>
      </w:r>
      <w:r w:rsidR="00616D1F" w:rsidRPr="00FA4EF4">
        <w:rPr>
          <w:color w:val="000000"/>
        </w:rPr>
        <w:t xml:space="preserve">acid production </w:t>
      </w:r>
      <w:r w:rsidR="007B5A7F" w:rsidRPr="00FA4EF4">
        <w:rPr>
          <w:color w:val="000000"/>
        </w:rPr>
        <w:t xml:space="preserve">by the tailings </w:t>
      </w:r>
      <w:r w:rsidR="00616D1F" w:rsidRPr="00FA4EF4">
        <w:t>(</w:t>
      </w:r>
      <w:r w:rsidR="00390C26" w:rsidRPr="00FA4EF4">
        <w:t>Appendix 3</w:t>
      </w:r>
      <w:r w:rsidR="00616D1F" w:rsidRPr="00FA4EF4">
        <w:t>)</w:t>
      </w:r>
      <w:r w:rsidR="007B5A7F" w:rsidRPr="00FA4EF4">
        <w:t>.</w:t>
      </w:r>
    </w:p>
    <w:p w14:paraId="63CE0641" w14:textId="3E3946FC" w:rsidR="00772198" w:rsidRDefault="00616D1F" w:rsidP="002C492A">
      <w:pPr>
        <w:rPr>
          <w:color w:val="000000"/>
        </w:rPr>
      </w:pPr>
      <w:r w:rsidRPr="00FA4EF4">
        <w:rPr>
          <w:color w:val="000000"/>
        </w:rPr>
        <w:t xml:space="preserve">ABA </w:t>
      </w:r>
      <w:r w:rsidR="00436644" w:rsidRPr="00FA4EF4">
        <w:rPr>
          <w:color w:val="000000"/>
        </w:rPr>
        <w:t>uses independent</w:t>
      </w:r>
      <w:r w:rsidR="00265E91" w:rsidRPr="00FA4EF4">
        <w:rPr>
          <w:color w:val="000000"/>
        </w:rPr>
        <w:t xml:space="preserve"> evaluations of the acid generating and acid neutralizing components</w:t>
      </w:r>
      <w:r w:rsidR="000C633B" w:rsidRPr="00FA4EF4">
        <w:rPr>
          <w:color w:val="000000"/>
        </w:rPr>
        <w:t xml:space="preserve"> to determine the net acid potential of the tailings</w:t>
      </w:r>
      <w:r w:rsidR="00B27BEE" w:rsidRPr="00FA4EF4">
        <w:rPr>
          <w:color w:val="000000"/>
        </w:rPr>
        <w:t xml:space="preserve"> </w:t>
      </w:r>
      <w:r w:rsidR="00FD3654" w:rsidRPr="00FA4EF4">
        <w:rPr>
          <w:color w:val="000000"/>
        </w:rPr>
        <w:fldChar w:fldCharType="begin"/>
      </w:r>
      <w:r w:rsidR="00395E35" w:rsidRPr="00FA4EF4">
        <w:rPr>
          <w:color w:val="000000"/>
        </w:rPr>
        <w:instrText xml:space="preserve"> ADDIN ZOTERO_ITEM CSL_CITATION {"citationID":"Zk3yGSWW","properties":{"formattedCitation":"(International Network for Acid Prevention, 2009)","plainCitation":"(International Network for Acid Prevention, 2009)","noteIndex":0},"citationItems":[{"id":225,"uris":["http://zotero.org/users/17206691/items/UUZKYCTK"],"itemData":{"id":225,"type":"book","edition":"Rev 1","number-of-pages":"473","title":"Global Acid Rock Drainage Guide","URL":"http://www.gardguide.com","author":[{"literal":"International Network for Acid Prevention"}],"accessed":{"date-parts":[["2025",5,9]]},"issued":{"date-parts":[["2009"]]}}}],"schema":"https://github.com/citation-style-language/schema/raw/master/csl-citation.json"} </w:instrText>
      </w:r>
      <w:r w:rsidR="00FD3654" w:rsidRPr="00FA4EF4">
        <w:rPr>
          <w:color w:val="000000"/>
        </w:rPr>
        <w:fldChar w:fldCharType="separate"/>
      </w:r>
      <w:r w:rsidR="00FD3654" w:rsidRPr="00FA4EF4">
        <w:t>(International Network for Acid Prevention, 2009)</w:t>
      </w:r>
      <w:r w:rsidR="00FD3654" w:rsidRPr="00FA4EF4">
        <w:rPr>
          <w:color w:val="000000"/>
        </w:rPr>
        <w:fldChar w:fldCharType="end"/>
      </w:r>
      <w:r w:rsidR="000C633B" w:rsidRPr="00FA4EF4">
        <w:rPr>
          <w:color w:val="000000"/>
        </w:rPr>
        <w:t xml:space="preserve">. </w:t>
      </w:r>
      <w:r w:rsidR="00E14838" w:rsidRPr="00FA4EF4">
        <w:rPr>
          <w:color w:val="000000"/>
        </w:rPr>
        <w:t xml:space="preserve"> </w:t>
      </w:r>
      <w:r w:rsidR="00424DA3" w:rsidRPr="00FA4EF4">
        <w:rPr>
          <w:color w:val="000000"/>
        </w:rPr>
        <w:t>Two components</w:t>
      </w:r>
      <w:r w:rsidR="000E7C84" w:rsidRPr="00FA4EF4">
        <w:rPr>
          <w:color w:val="000000"/>
        </w:rPr>
        <w:t xml:space="preserve">, </w:t>
      </w:r>
      <w:r w:rsidR="00FD5029" w:rsidRPr="00FA4EF4">
        <w:rPr>
          <w:color w:val="000000"/>
        </w:rPr>
        <w:t>a</w:t>
      </w:r>
      <w:r w:rsidR="00C337C5" w:rsidRPr="00FA4EF4">
        <w:rPr>
          <w:color w:val="000000"/>
        </w:rPr>
        <w:t>cid generation potential (</w:t>
      </w:r>
      <w:r w:rsidR="009D4C3B" w:rsidRPr="00FA4EF4">
        <w:rPr>
          <w:color w:val="000000"/>
        </w:rPr>
        <w:t>AP</w:t>
      </w:r>
      <w:r w:rsidR="00C337C5" w:rsidRPr="00FA4EF4">
        <w:rPr>
          <w:color w:val="000000"/>
        </w:rPr>
        <w:t>)</w:t>
      </w:r>
      <w:r w:rsidR="000E7C84" w:rsidRPr="00FA4EF4">
        <w:rPr>
          <w:color w:val="000000"/>
        </w:rPr>
        <w:t xml:space="preserve"> and </w:t>
      </w:r>
      <w:r w:rsidR="000F39CD">
        <w:rPr>
          <w:color w:val="000000"/>
        </w:rPr>
        <w:t>n</w:t>
      </w:r>
      <w:r w:rsidR="000E7C84" w:rsidRPr="00FA4EF4">
        <w:t>eutralization potential (NP)</w:t>
      </w:r>
      <w:r w:rsidR="00604693" w:rsidRPr="00FA4EF4">
        <w:t xml:space="preserve">, are </w:t>
      </w:r>
      <w:r w:rsidR="00E926F8" w:rsidRPr="00FA4EF4">
        <w:t>de</w:t>
      </w:r>
      <w:r w:rsidR="005F0605" w:rsidRPr="00FA4EF4">
        <w:t>rived</w:t>
      </w:r>
      <w:r w:rsidR="00E926F8" w:rsidRPr="00FA4EF4">
        <w:t xml:space="preserve"> </w:t>
      </w:r>
      <w:r w:rsidR="00A96A58" w:rsidRPr="00FA4EF4">
        <w:t>through</w:t>
      </w:r>
      <w:r w:rsidR="00E926F8" w:rsidRPr="00FA4EF4">
        <w:t xml:space="preserve"> these independent evaluations</w:t>
      </w:r>
      <w:r w:rsidR="00A06D72" w:rsidRPr="00FA4EF4">
        <w:t xml:space="preserve"> and are central to interpretations of ABA data</w:t>
      </w:r>
      <w:r w:rsidR="00604693" w:rsidRPr="00FA4EF4">
        <w:t>. AP</w:t>
      </w:r>
      <w:r w:rsidR="009D4C3B" w:rsidRPr="00FA4EF4">
        <w:rPr>
          <w:color w:val="000000"/>
        </w:rPr>
        <w:t xml:space="preserve"> is determined </w:t>
      </w:r>
      <w:r w:rsidR="00143250" w:rsidRPr="00FA4EF4">
        <w:rPr>
          <w:color w:val="000000"/>
        </w:rPr>
        <w:t>using sulfur species in the sample</w:t>
      </w:r>
      <w:r w:rsidR="005502E7" w:rsidRPr="00FA4EF4">
        <w:rPr>
          <w:color w:val="000000"/>
        </w:rPr>
        <w:t>s, and S and AP have the theoretical relationship of</w:t>
      </w:r>
      <w:r w:rsidR="00C337C5" w:rsidRPr="00FA4EF4">
        <w:rPr>
          <w:color w:val="000000"/>
        </w:rPr>
        <w:t>:</w:t>
      </w:r>
      <w:r w:rsidR="005502E7" w:rsidRPr="00FA4EF4">
        <w:rPr>
          <w:color w:val="000000"/>
        </w:rPr>
        <w:t xml:space="preserve"> </w:t>
      </w:r>
      <w:r w:rsidR="00E23E06" w:rsidRPr="00FA4EF4">
        <w:rPr>
          <w:color w:val="000000"/>
        </w:rPr>
        <w:t>AP</w:t>
      </w:r>
      <w:r w:rsidR="003D3EBE" w:rsidRPr="00FA4EF4">
        <w:rPr>
          <w:color w:val="000000"/>
        </w:rPr>
        <w:t xml:space="preserve"> </w:t>
      </w:r>
      <w:r w:rsidR="00E23E06" w:rsidRPr="00FA4EF4">
        <w:rPr>
          <w:color w:val="000000"/>
        </w:rPr>
        <w:t>(kg CaC03/t) = 31.25 x S (</w:t>
      </w:r>
      <w:r w:rsidR="00BE0A6C" w:rsidRPr="00FA4EF4">
        <w:rPr>
          <w:color w:val="000000"/>
        </w:rPr>
        <w:t>%</w:t>
      </w:r>
      <w:r w:rsidR="00C4474D" w:rsidRPr="00FA4EF4">
        <w:rPr>
          <w:color w:val="000000"/>
        </w:rPr>
        <w:t>)</w:t>
      </w:r>
      <w:r w:rsidR="004D0FAB" w:rsidRPr="00FA4EF4">
        <w:rPr>
          <w:color w:val="000000"/>
        </w:rPr>
        <w:t xml:space="preserve"> </w:t>
      </w:r>
      <w:r w:rsidR="007500FB" w:rsidRPr="00FA4EF4">
        <w:rPr>
          <w:color w:val="000000"/>
        </w:rPr>
        <w:fldChar w:fldCharType="begin"/>
      </w:r>
      <w:r w:rsidR="00395E35" w:rsidRPr="00FA4EF4">
        <w:rPr>
          <w:color w:val="000000"/>
        </w:rPr>
        <w:instrText xml:space="preserve"> ADDIN ZOTERO_ITEM CSL_CITATION {"citationID":"4vPeHJyE","properties":{"formattedCitation":"(International Network for Acid Prevention, 2009)","plainCitation":"(International Network for Acid Prevention, 2009)","noteIndex":0},"citationItems":[{"id":225,"uris":["http://zotero.org/users/17206691/items/UUZKYCTK"],"itemData":{"id":225,"type":"book","edition":"Rev 1","number-of-pages":"473","title":"Global Acid Rock Drainage Guide","URL":"http://www.gardguide.com","author":[{"literal":"International Network for Acid Prevention"}],"accessed":{"date-parts":[["2025",5,9]]},"issued":{"date-parts":[["2009"]]}}}],"schema":"https://github.com/citation-style-language/schema/raw/master/csl-citation.json"} </w:instrText>
      </w:r>
      <w:r w:rsidR="007500FB" w:rsidRPr="00FA4EF4">
        <w:rPr>
          <w:color w:val="000000"/>
        </w:rPr>
        <w:fldChar w:fldCharType="separate"/>
      </w:r>
      <w:r w:rsidR="007500FB" w:rsidRPr="00FA4EF4">
        <w:t>(International Network for Acid Prevention, 2009)</w:t>
      </w:r>
      <w:r w:rsidR="007500FB" w:rsidRPr="00FA4EF4">
        <w:rPr>
          <w:color w:val="000000"/>
        </w:rPr>
        <w:fldChar w:fldCharType="end"/>
      </w:r>
      <w:r w:rsidR="00BE0A6C" w:rsidRPr="00FA4EF4">
        <w:rPr>
          <w:color w:val="000000"/>
        </w:rPr>
        <w:t>.</w:t>
      </w:r>
      <w:r w:rsidR="009D4C3B" w:rsidRPr="00FA4EF4">
        <w:rPr>
          <w:color w:val="000000"/>
        </w:rPr>
        <w:t xml:space="preserve"> </w:t>
      </w:r>
      <w:r w:rsidR="00C04E68" w:rsidRPr="00FA4EF4">
        <w:t>NP</w:t>
      </w:r>
      <w:r w:rsidR="00833DF8" w:rsidRPr="00FA4EF4">
        <w:t xml:space="preserve"> is determined from neutralizing </w:t>
      </w:r>
      <w:r w:rsidR="00BB769D" w:rsidRPr="00FA4EF4">
        <w:t xml:space="preserve">compounds such as carbonates and </w:t>
      </w:r>
      <w:r w:rsidR="00BC56B8" w:rsidRPr="00FA4EF4">
        <w:t>exchangeable bases</w:t>
      </w:r>
      <w:r w:rsidR="00936A3D" w:rsidRPr="00FA4EF4">
        <w:t xml:space="preserve"> </w:t>
      </w:r>
      <w:r w:rsidR="00936A3D" w:rsidRPr="00FA4EF4">
        <w:fldChar w:fldCharType="begin"/>
      </w:r>
      <w:r w:rsidR="00936A3D" w:rsidRPr="00FA4EF4">
        <w:instrText xml:space="preserve"> ADDIN ZOTERO_ITEM CSL_CITATION {"citationID":"0Yn6ZsOb","properties":{"formattedCitation":"(Skousen et al., 2001)","plainCitation":"(Skousen et al., 2001)","noteIndex":0},"citationItems":[{"id":227,"uris":["http://zotero.org/users/17206691/items/ECZNXR95"],"itemData":{"id":227,"type":"article-journal","container-title":"Reclamation Sciences","DOI":"10.21000/JASMR01010437","title":"The Use of Acid-Base Accounting to Predict Post-mining Drainage Quality On West Virginia Surface Mines","volume":"1","author":[{"family":"Skousen","given":"Jeff"},{"family":"Simmons","given":"Jennifer"},{"family":"Ziemkiewicz","given":"Paul"}],"issued":{"date-parts":[["2001"]]}}}],"schema":"https://github.com/citation-style-language/schema/raw/master/csl-citation.json"} </w:instrText>
      </w:r>
      <w:r w:rsidR="00936A3D" w:rsidRPr="00FA4EF4">
        <w:fldChar w:fldCharType="separate"/>
      </w:r>
      <w:r w:rsidR="00936A3D" w:rsidRPr="00FA4EF4">
        <w:t>(Skousen et al., 2001)</w:t>
      </w:r>
      <w:r w:rsidR="00936A3D" w:rsidRPr="00FA4EF4">
        <w:fldChar w:fldCharType="end"/>
      </w:r>
      <w:r w:rsidR="00BC56B8" w:rsidRPr="00FA4EF4">
        <w:t>.</w:t>
      </w:r>
      <w:r w:rsidR="00C04E68" w:rsidRPr="00FA4EF4">
        <w:t xml:space="preserve"> The </w:t>
      </w:r>
      <w:r w:rsidR="00C04E68" w:rsidRPr="00FA4EF4">
        <w:rPr>
          <w:color w:val="000000"/>
        </w:rPr>
        <w:t xml:space="preserve">NP and AP values </w:t>
      </w:r>
      <w:r w:rsidR="003556A6" w:rsidRPr="00FA4EF4">
        <w:rPr>
          <w:color w:val="000000"/>
        </w:rPr>
        <w:t xml:space="preserve">are then used to calculate </w:t>
      </w:r>
      <w:r w:rsidR="0084315B" w:rsidRPr="00FA4EF4">
        <w:rPr>
          <w:color w:val="000000"/>
        </w:rPr>
        <w:t xml:space="preserve">net neutralization potential (NNP) and </w:t>
      </w:r>
      <w:r w:rsidR="00564FFD" w:rsidRPr="00FA4EF4">
        <w:rPr>
          <w:color w:val="000000"/>
        </w:rPr>
        <w:t>neutralization potential ratio (NPR) through the following equations:</w:t>
      </w:r>
    </w:p>
    <w:p w14:paraId="0EC7E37A" w14:textId="77777777" w:rsidR="001E6326" w:rsidRPr="00FA4EF4" w:rsidRDefault="001E6326" w:rsidP="002C492A">
      <w:pPr>
        <w:rPr>
          <w:color w:val="000000"/>
        </w:rPr>
      </w:pPr>
    </w:p>
    <w:p w14:paraId="694E01DA" w14:textId="1AE00C73" w:rsidR="00564FFD" w:rsidRPr="00FA4EF4" w:rsidRDefault="00564FFD" w:rsidP="002C492A">
      <w:pPr>
        <w:rPr>
          <w:color w:val="000000"/>
        </w:rPr>
      </w:pPr>
      <w:r w:rsidRPr="00FA4EF4">
        <w:rPr>
          <w:i/>
          <w:iCs/>
          <w:color w:val="000000"/>
        </w:rPr>
        <w:t xml:space="preserve">NNP = </w:t>
      </w:r>
      <w:r w:rsidR="00F82467" w:rsidRPr="00FA4EF4">
        <w:rPr>
          <w:i/>
          <w:iCs/>
          <w:color w:val="000000"/>
        </w:rPr>
        <w:t xml:space="preserve">NP </w:t>
      </w:r>
      <w:r w:rsidR="00663CF1" w:rsidRPr="00FA4EF4">
        <w:rPr>
          <w:i/>
          <w:iCs/>
          <w:color w:val="000000"/>
        </w:rPr>
        <w:t>–</w:t>
      </w:r>
      <w:r w:rsidR="00F82467" w:rsidRPr="00FA4EF4">
        <w:rPr>
          <w:i/>
          <w:iCs/>
          <w:color w:val="000000"/>
        </w:rPr>
        <w:t xml:space="preserve"> AP</w:t>
      </w:r>
      <w:r w:rsidR="00663CF1" w:rsidRPr="00FA4EF4">
        <w:rPr>
          <w:color w:val="000000"/>
        </w:rPr>
        <w:tab/>
      </w:r>
      <w:r w:rsidR="00663CF1" w:rsidRPr="00FA4EF4">
        <w:rPr>
          <w:color w:val="000000"/>
        </w:rPr>
        <w:tab/>
      </w:r>
      <w:r w:rsidR="00663CF1" w:rsidRPr="00FA4EF4">
        <w:rPr>
          <w:color w:val="000000"/>
        </w:rPr>
        <w:tab/>
      </w:r>
      <w:r w:rsidR="00663CF1" w:rsidRPr="00FA4EF4">
        <w:rPr>
          <w:color w:val="000000"/>
        </w:rPr>
        <w:tab/>
      </w:r>
      <w:r w:rsidR="00663CF1" w:rsidRPr="00FA4EF4">
        <w:rPr>
          <w:color w:val="000000"/>
        </w:rPr>
        <w:tab/>
      </w:r>
      <w:r w:rsidR="00663CF1" w:rsidRPr="00FA4EF4">
        <w:rPr>
          <w:color w:val="000000"/>
        </w:rPr>
        <w:tab/>
      </w:r>
      <w:r w:rsidR="00BE3620">
        <w:rPr>
          <w:color w:val="000000"/>
        </w:rPr>
        <w:tab/>
      </w:r>
      <w:r w:rsidR="00663CF1" w:rsidRPr="00FA4EF4">
        <w:rPr>
          <w:color w:val="000000"/>
        </w:rPr>
        <w:tab/>
      </w:r>
      <w:r w:rsidR="001E6326">
        <w:rPr>
          <w:color w:val="000000"/>
        </w:rPr>
        <w:tab/>
      </w:r>
      <w:r w:rsidR="00663CF1" w:rsidRPr="00FA4EF4">
        <w:rPr>
          <w:color w:val="000000"/>
        </w:rPr>
        <w:t>(</w:t>
      </w:r>
      <w:r w:rsidR="001E6326">
        <w:rPr>
          <w:color w:val="000000"/>
          <w:sz w:val="20"/>
          <w:szCs w:val="20"/>
        </w:rPr>
        <w:t>eq.</w:t>
      </w:r>
      <w:r w:rsidR="00663CF1" w:rsidRPr="00BE3620">
        <w:rPr>
          <w:color w:val="000000"/>
          <w:sz w:val="20"/>
          <w:szCs w:val="20"/>
        </w:rPr>
        <w:t xml:space="preserve"> 3</w:t>
      </w:r>
      <w:r w:rsidR="00663CF1" w:rsidRPr="00FA4EF4">
        <w:rPr>
          <w:color w:val="000000"/>
        </w:rPr>
        <w:t>)</w:t>
      </w:r>
      <w:r w:rsidR="000E135F">
        <w:rPr>
          <w:color w:val="000000"/>
        </w:rPr>
        <w:tab/>
        <w:t>and</w:t>
      </w:r>
    </w:p>
    <w:p w14:paraId="7F6D4BCF" w14:textId="38B1DEC3" w:rsidR="00F82467" w:rsidRDefault="00F82467" w:rsidP="002C492A">
      <w:pPr>
        <w:rPr>
          <w:color w:val="000000"/>
        </w:rPr>
      </w:pPr>
      <w:r w:rsidRPr="00FA4EF4">
        <w:rPr>
          <w:i/>
          <w:iCs/>
          <w:color w:val="000000"/>
        </w:rPr>
        <w:t>NPR = NP/AP</w:t>
      </w:r>
      <w:r w:rsidR="00663CF1" w:rsidRPr="00FA4EF4">
        <w:rPr>
          <w:color w:val="000000"/>
        </w:rPr>
        <w:tab/>
      </w:r>
      <w:r w:rsidR="00663CF1" w:rsidRPr="00FA4EF4">
        <w:rPr>
          <w:color w:val="000000"/>
        </w:rPr>
        <w:tab/>
      </w:r>
      <w:r w:rsidR="00663CF1" w:rsidRPr="00FA4EF4">
        <w:rPr>
          <w:color w:val="000000"/>
        </w:rPr>
        <w:tab/>
      </w:r>
      <w:r w:rsidR="00663CF1" w:rsidRPr="00FA4EF4">
        <w:rPr>
          <w:color w:val="000000"/>
        </w:rPr>
        <w:tab/>
      </w:r>
      <w:r w:rsidR="00663CF1" w:rsidRPr="00FA4EF4">
        <w:rPr>
          <w:color w:val="000000"/>
        </w:rPr>
        <w:tab/>
      </w:r>
      <w:r w:rsidR="00663CF1" w:rsidRPr="00FA4EF4">
        <w:rPr>
          <w:color w:val="000000"/>
        </w:rPr>
        <w:tab/>
      </w:r>
      <w:r w:rsidR="00663CF1" w:rsidRPr="00FA4EF4">
        <w:rPr>
          <w:color w:val="000000"/>
        </w:rPr>
        <w:tab/>
      </w:r>
      <w:r w:rsidR="00BE3620">
        <w:rPr>
          <w:color w:val="000000"/>
        </w:rPr>
        <w:tab/>
      </w:r>
      <w:r w:rsidR="00663CF1" w:rsidRPr="00FA4EF4">
        <w:rPr>
          <w:color w:val="000000"/>
        </w:rPr>
        <w:tab/>
      </w:r>
      <w:r w:rsidR="001E6326">
        <w:rPr>
          <w:color w:val="000000"/>
        </w:rPr>
        <w:tab/>
      </w:r>
      <w:r w:rsidR="00663CF1" w:rsidRPr="00FA4EF4">
        <w:rPr>
          <w:color w:val="000000"/>
        </w:rPr>
        <w:t>(</w:t>
      </w:r>
      <w:r w:rsidR="001E6326">
        <w:rPr>
          <w:color w:val="000000"/>
          <w:sz w:val="20"/>
          <w:szCs w:val="20"/>
        </w:rPr>
        <w:t>eq.</w:t>
      </w:r>
      <w:r w:rsidR="00663CF1" w:rsidRPr="00BE3620">
        <w:rPr>
          <w:color w:val="000000"/>
          <w:sz w:val="20"/>
          <w:szCs w:val="20"/>
        </w:rPr>
        <w:t xml:space="preserve"> 4</w:t>
      </w:r>
      <w:r w:rsidR="00663CF1" w:rsidRPr="00FA4EF4">
        <w:rPr>
          <w:color w:val="000000"/>
        </w:rPr>
        <w:t>)</w:t>
      </w:r>
      <w:r w:rsidR="001E6326">
        <w:rPr>
          <w:color w:val="000000"/>
        </w:rPr>
        <w:t>.</w:t>
      </w:r>
    </w:p>
    <w:p w14:paraId="1C5309F6" w14:textId="77777777" w:rsidR="001E6326" w:rsidRPr="00FA4EF4" w:rsidRDefault="001E6326" w:rsidP="002C492A">
      <w:pPr>
        <w:rPr>
          <w:color w:val="000000"/>
        </w:rPr>
      </w:pPr>
    </w:p>
    <w:p w14:paraId="1267D20A" w14:textId="062906B2" w:rsidR="0099457A" w:rsidRPr="00FA4EF4" w:rsidRDefault="0096664E" w:rsidP="002C492A">
      <w:pPr>
        <w:rPr>
          <w:color w:val="000000"/>
        </w:rPr>
      </w:pPr>
      <w:r w:rsidRPr="00FA4EF4">
        <w:rPr>
          <w:color w:val="000000"/>
        </w:rPr>
        <w:t>N</w:t>
      </w:r>
      <w:r w:rsidR="00A70405" w:rsidRPr="00FA4EF4">
        <w:rPr>
          <w:color w:val="000000"/>
        </w:rPr>
        <w:t>N</w:t>
      </w:r>
      <w:r w:rsidRPr="00FA4EF4">
        <w:rPr>
          <w:color w:val="000000"/>
        </w:rPr>
        <w:t xml:space="preserve">P </w:t>
      </w:r>
      <w:r w:rsidR="00C22503" w:rsidRPr="00FA4EF4">
        <w:rPr>
          <w:color w:val="000000"/>
        </w:rPr>
        <w:t xml:space="preserve">reflects the differences between </w:t>
      </w:r>
      <w:r w:rsidR="00A15E11" w:rsidRPr="00FA4EF4">
        <w:rPr>
          <w:color w:val="000000"/>
        </w:rPr>
        <w:t xml:space="preserve">a sample’s potential to neutralize </w:t>
      </w:r>
      <w:r w:rsidR="0023549F" w:rsidRPr="00FA4EF4">
        <w:rPr>
          <w:color w:val="000000"/>
        </w:rPr>
        <w:t xml:space="preserve">and form </w:t>
      </w:r>
      <w:r w:rsidR="00A15E11" w:rsidRPr="00FA4EF4">
        <w:rPr>
          <w:color w:val="000000"/>
        </w:rPr>
        <w:t xml:space="preserve">acid. </w:t>
      </w:r>
      <w:r w:rsidR="0023549F" w:rsidRPr="00FA4EF4">
        <w:rPr>
          <w:color w:val="000000"/>
        </w:rPr>
        <w:t xml:space="preserve">Conceptually, a </w:t>
      </w:r>
      <w:r w:rsidR="001A4FCC" w:rsidRPr="00FA4EF4">
        <w:rPr>
          <w:color w:val="000000"/>
        </w:rPr>
        <w:t>negative</w:t>
      </w:r>
      <w:r w:rsidR="0023549F" w:rsidRPr="00FA4EF4">
        <w:rPr>
          <w:color w:val="000000"/>
        </w:rPr>
        <w:t xml:space="preserve"> value would suggest </w:t>
      </w:r>
      <w:r w:rsidR="001A4FCC" w:rsidRPr="00FA4EF4">
        <w:rPr>
          <w:color w:val="000000"/>
        </w:rPr>
        <w:t xml:space="preserve">a sample is acid producing, while a positive value is non-acid producing </w:t>
      </w:r>
      <w:r w:rsidR="004D28F7" w:rsidRPr="00FA4EF4">
        <w:rPr>
          <w:color w:val="000000"/>
        </w:rPr>
        <w:fldChar w:fldCharType="begin"/>
      </w:r>
      <w:r w:rsidR="004D28F7" w:rsidRPr="00FA4EF4">
        <w:rPr>
          <w:color w:val="000000"/>
        </w:rPr>
        <w:instrText xml:space="preserve"> ADDIN ZOTERO_ITEM CSL_CITATION {"citationID":"qmEulAmh","properties":{"formattedCitation":"(Skousen et al., 2001)","plainCitation":"(Skousen et al., 2001)","noteIndex":0},"citationItems":[{"id":227,"uris":["http://zotero.org/users/17206691/items/ECZNXR95"],"itemData":{"id":227,"type":"article-journal","container-title":"Reclamation Sciences","DOI":"10.21000/JASMR01010437","title":"The Use of Acid-Base Accounting to Predict Post-mining Drainage Quality On West Virginia Surface Mines","volume":"1","author":[{"family":"Skousen","given":"Jeff"},{"family":"Simmons","given":"Jennifer"},{"family":"Ziemkiewicz","given":"Paul"}],"issued":{"date-parts":[["2001"]]}}}],"schema":"https://github.com/citation-style-language/schema/raw/master/csl-citation.json"} </w:instrText>
      </w:r>
      <w:r w:rsidR="004D28F7" w:rsidRPr="00FA4EF4">
        <w:rPr>
          <w:color w:val="000000"/>
        </w:rPr>
        <w:fldChar w:fldCharType="separate"/>
      </w:r>
      <w:r w:rsidR="004D28F7" w:rsidRPr="00FA4EF4">
        <w:t>(Skousen et al., 2001)</w:t>
      </w:r>
      <w:r w:rsidR="004D28F7" w:rsidRPr="00FA4EF4">
        <w:rPr>
          <w:color w:val="000000"/>
        </w:rPr>
        <w:fldChar w:fldCharType="end"/>
      </w:r>
      <w:r w:rsidR="00A70405" w:rsidRPr="00FA4EF4">
        <w:rPr>
          <w:color w:val="000000"/>
        </w:rPr>
        <w:t>. H</w:t>
      </w:r>
      <w:r w:rsidR="001A4FCC" w:rsidRPr="00FA4EF4">
        <w:rPr>
          <w:color w:val="000000"/>
        </w:rPr>
        <w:t>owever, i</w:t>
      </w:r>
      <w:r w:rsidR="003740C8" w:rsidRPr="00FA4EF4">
        <w:rPr>
          <w:color w:val="000000"/>
        </w:rPr>
        <w:t>nterpretations are trickier in practice</w:t>
      </w:r>
      <w:r w:rsidR="00FE3B8E" w:rsidRPr="00FA4EF4">
        <w:rPr>
          <w:color w:val="000000"/>
        </w:rPr>
        <w:t xml:space="preserve">, especially for </w:t>
      </w:r>
      <w:r w:rsidR="00A70405" w:rsidRPr="00FA4EF4">
        <w:rPr>
          <w:color w:val="000000"/>
        </w:rPr>
        <w:t>NNP</w:t>
      </w:r>
      <w:r w:rsidR="00FE3B8E" w:rsidRPr="00FA4EF4">
        <w:rPr>
          <w:color w:val="000000"/>
        </w:rPr>
        <w:t xml:space="preserve"> between</w:t>
      </w:r>
      <w:r w:rsidR="00A70405" w:rsidRPr="00FA4EF4">
        <w:rPr>
          <w:color w:val="000000"/>
        </w:rPr>
        <w:t xml:space="preserve"> </w:t>
      </w:r>
      <w:r w:rsidR="0049392E" w:rsidRPr="00FA4EF4">
        <w:rPr>
          <w:color w:val="000000"/>
        </w:rPr>
        <w:t>-20</w:t>
      </w:r>
      <w:r w:rsidR="00FE3B8E" w:rsidRPr="00FA4EF4">
        <w:rPr>
          <w:color w:val="000000"/>
        </w:rPr>
        <w:t xml:space="preserve"> and 20 </w:t>
      </w:r>
      <w:r w:rsidR="0049392E" w:rsidRPr="00FA4EF4">
        <w:rPr>
          <w:color w:val="000000"/>
        </w:rPr>
        <w:t>kgCaCO</w:t>
      </w:r>
      <w:r w:rsidR="0049392E" w:rsidRPr="00FA4EF4">
        <w:rPr>
          <w:color w:val="000000"/>
          <w:vertAlign w:val="subscript"/>
        </w:rPr>
        <w:t>3</w:t>
      </w:r>
      <w:r w:rsidR="0049392E" w:rsidRPr="00FA4EF4">
        <w:rPr>
          <w:color w:val="000000"/>
        </w:rPr>
        <w:t>/t</w:t>
      </w:r>
      <w:r w:rsidR="00A56619" w:rsidRPr="00FA4EF4">
        <w:rPr>
          <w:color w:val="000000"/>
        </w:rPr>
        <w:t xml:space="preserve"> </w:t>
      </w:r>
      <w:r w:rsidR="002A63B3" w:rsidRPr="00FA4EF4">
        <w:rPr>
          <w:color w:val="000000"/>
        </w:rPr>
        <w:fldChar w:fldCharType="begin"/>
      </w:r>
      <w:r w:rsidR="008C6682" w:rsidRPr="00FA4EF4">
        <w:rPr>
          <w:color w:val="000000"/>
        </w:rPr>
        <w:instrText xml:space="preserve"> ADDIN ZOTERO_ITEM CSL_CITATION {"citationID":"P3GFA7Bf","properties":{"formattedCitation":"(U.S. Environmental Protection Agency, 1994)","plainCitation":"(U.S. Environmental Protection Agency, 1994)","noteIndex":0},"citationItems":[{"id":228,"uris":["http://zotero.org/users/17206691/items/F4KFC5I4"],"itemData":{"id":228,"type":"report","genre":"Technical Document","number":"EPA 530-R-94-036","page":"48","publisher":"U.S. Environmental Protection Agency Special Waste Branch","title":"Acid Mine Drainage Prediction","URL":"https://www.epa.gov/sites/default/files/2015-09/documents/amd.pdf","author":[{"literal":"U.S. Environmental Protection Agency"}],"accessed":{"date-parts":[["2025",6,12]]},"issued":{"date-parts":[["1994",12]]}}}],"schema":"https://github.com/citation-style-language/schema/raw/master/csl-citation.json"} </w:instrText>
      </w:r>
      <w:r w:rsidR="002A63B3" w:rsidRPr="00FA4EF4">
        <w:rPr>
          <w:color w:val="000000"/>
        </w:rPr>
        <w:fldChar w:fldCharType="separate"/>
      </w:r>
      <w:r w:rsidR="002A63B3" w:rsidRPr="00FA4EF4">
        <w:t>(U.S. Environmental Protection Agency, 1994)</w:t>
      </w:r>
      <w:r w:rsidR="002A63B3" w:rsidRPr="00FA4EF4">
        <w:rPr>
          <w:color w:val="000000"/>
        </w:rPr>
        <w:fldChar w:fldCharType="end"/>
      </w:r>
      <w:r w:rsidR="00702331" w:rsidRPr="00FA4EF4">
        <w:rPr>
          <w:color w:val="000000"/>
        </w:rPr>
        <w:t>.</w:t>
      </w:r>
      <w:r w:rsidR="002A08B9" w:rsidRPr="00FA4EF4">
        <w:rPr>
          <w:color w:val="000000"/>
        </w:rPr>
        <w:t xml:space="preserve"> </w:t>
      </w:r>
      <w:r w:rsidR="003960B0" w:rsidRPr="00FA4EF4">
        <w:rPr>
          <w:color w:val="000000"/>
        </w:rPr>
        <w:t>While t</w:t>
      </w:r>
      <w:r w:rsidR="00F3642C" w:rsidRPr="00FA4EF4">
        <w:rPr>
          <w:color w:val="000000"/>
        </w:rPr>
        <w:t xml:space="preserve">here has been significant disagreement on </w:t>
      </w:r>
      <w:r w:rsidR="009C5324" w:rsidRPr="00FA4EF4">
        <w:rPr>
          <w:color w:val="000000"/>
        </w:rPr>
        <w:t xml:space="preserve">which </w:t>
      </w:r>
      <w:r w:rsidR="00F3642C" w:rsidRPr="00FA4EF4">
        <w:rPr>
          <w:color w:val="000000"/>
        </w:rPr>
        <w:t xml:space="preserve">NNP values indicate acid production and which do not </w:t>
      </w:r>
      <w:r w:rsidR="00F3642C" w:rsidRPr="00FA4EF4">
        <w:rPr>
          <w:color w:val="000000"/>
        </w:rPr>
        <w:fldChar w:fldCharType="begin"/>
      </w:r>
      <w:r w:rsidR="008C6682" w:rsidRPr="00FA4EF4">
        <w:rPr>
          <w:color w:val="000000"/>
        </w:rPr>
        <w:instrText xml:space="preserve"> ADDIN ZOTERO_ITEM CSL_CITATION {"citationID":"Dx3rkCtb","properties":{"formattedCitation":"(Skousen et al., 2001)","plainCitation":"(Skousen et al., 2001)","dontUpdate":true,"noteIndex":0},"citationItems":[{"id":227,"uris":["http://zotero.org/users/17206691/items/ECZNXR95"],"itemData":{"id":227,"type":"article-journal","container-title":"Reclamation Sciences","DOI":"10.21000/JASMR01010437","title":"The Use of Acid-Base Accounting to Predict Post-mining Drainage Quality On West Virginia Surface Mines","volume":"1","author":[{"family":"Skousen","given":"Jeff"},{"family":"Simmons","given":"Jennifer"},{"family":"Ziemkiewicz","given":"Paul"}],"issued":{"date-parts":[["2001"]]}}}],"schema":"https://github.com/citation-style-language/schema/raw/master/csl-citation.json"} </w:instrText>
      </w:r>
      <w:r w:rsidR="00F3642C" w:rsidRPr="00FA4EF4">
        <w:rPr>
          <w:color w:val="000000"/>
        </w:rPr>
        <w:fldChar w:fldCharType="separate"/>
      </w:r>
      <w:r w:rsidR="00F3642C" w:rsidRPr="00FA4EF4">
        <w:t>(c.f., Skousen et al., 2001 and references therein)</w:t>
      </w:r>
      <w:r w:rsidR="00F3642C" w:rsidRPr="00FA4EF4">
        <w:rPr>
          <w:color w:val="000000"/>
        </w:rPr>
        <w:fldChar w:fldCharType="end"/>
      </w:r>
      <w:r w:rsidR="003960B0" w:rsidRPr="00FA4EF4">
        <w:rPr>
          <w:color w:val="000000"/>
        </w:rPr>
        <w:t xml:space="preserve">, </w:t>
      </w:r>
      <w:r w:rsidR="0099457A" w:rsidRPr="00FA4EF4">
        <w:rPr>
          <w:color w:val="000000"/>
        </w:rPr>
        <w:t xml:space="preserve">NNP </w:t>
      </w:r>
      <w:r w:rsidR="00545DE7" w:rsidRPr="00FA4EF4">
        <w:rPr>
          <w:color w:val="000000"/>
        </w:rPr>
        <w:t>&gt;</w:t>
      </w:r>
      <w:r w:rsidR="0099457A" w:rsidRPr="00FA4EF4">
        <w:rPr>
          <w:color w:val="000000"/>
        </w:rPr>
        <w:t>20 kgCaCO</w:t>
      </w:r>
      <w:r w:rsidR="0099457A" w:rsidRPr="00FA4EF4">
        <w:rPr>
          <w:color w:val="000000"/>
          <w:vertAlign w:val="subscript"/>
        </w:rPr>
        <w:t>3</w:t>
      </w:r>
      <w:r w:rsidR="0099457A" w:rsidRPr="00FA4EF4">
        <w:rPr>
          <w:color w:val="000000"/>
        </w:rPr>
        <w:t>/t is generally considered</w:t>
      </w:r>
      <w:r w:rsidR="00545DE7" w:rsidRPr="00FA4EF4">
        <w:rPr>
          <w:color w:val="000000"/>
        </w:rPr>
        <w:t xml:space="preserve"> to be non-acid producing</w:t>
      </w:r>
      <w:r w:rsidR="003B047A" w:rsidRPr="00FA4EF4">
        <w:rPr>
          <w:color w:val="000000"/>
        </w:rPr>
        <w:t xml:space="preserve"> and</w:t>
      </w:r>
      <w:r w:rsidR="00545DE7" w:rsidRPr="00FA4EF4">
        <w:rPr>
          <w:color w:val="000000"/>
        </w:rPr>
        <w:t xml:space="preserve"> NNP &lt; -20 kgCaCO</w:t>
      </w:r>
      <w:r w:rsidR="00545DE7" w:rsidRPr="00FA4EF4">
        <w:rPr>
          <w:color w:val="000000"/>
          <w:vertAlign w:val="subscript"/>
        </w:rPr>
        <w:t>3</w:t>
      </w:r>
      <w:r w:rsidR="00545DE7" w:rsidRPr="00FA4EF4">
        <w:rPr>
          <w:color w:val="000000"/>
        </w:rPr>
        <w:t>/t</w:t>
      </w:r>
      <w:r w:rsidR="005E58C0" w:rsidRPr="00FA4EF4">
        <w:rPr>
          <w:color w:val="000000"/>
        </w:rPr>
        <w:t xml:space="preserve"> is generally considered to</w:t>
      </w:r>
      <w:r w:rsidR="00734894">
        <w:rPr>
          <w:color w:val="000000"/>
        </w:rPr>
        <w:t xml:space="preserve"> be</w:t>
      </w:r>
      <w:r w:rsidR="005E58C0" w:rsidRPr="00FA4EF4">
        <w:rPr>
          <w:color w:val="000000"/>
        </w:rPr>
        <w:t xml:space="preserve"> acid producing, </w:t>
      </w:r>
      <w:r w:rsidR="002D6F1E" w:rsidRPr="00FA4EF4">
        <w:rPr>
          <w:color w:val="000000"/>
        </w:rPr>
        <w:t>while there is uncertainty for</w:t>
      </w:r>
      <w:r w:rsidR="005E58C0" w:rsidRPr="00FA4EF4">
        <w:rPr>
          <w:color w:val="000000"/>
        </w:rPr>
        <w:t xml:space="preserve"> values between -20 and 20 kgCaCO</w:t>
      </w:r>
      <w:r w:rsidR="005E58C0" w:rsidRPr="00FA4EF4">
        <w:rPr>
          <w:color w:val="000000"/>
          <w:vertAlign w:val="subscript"/>
        </w:rPr>
        <w:t>3</w:t>
      </w:r>
      <w:r w:rsidR="005E58C0" w:rsidRPr="00FA4EF4">
        <w:rPr>
          <w:color w:val="000000"/>
        </w:rPr>
        <w:t>/t</w:t>
      </w:r>
      <w:r w:rsidR="002D6F1E" w:rsidRPr="00FA4EF4">
        <w:rPr>
          <w:color w:val="000000"/>
        </w:rPr>
        <w:t xml:space="preserve"> that may require kinetic testing</w:t>
      </w:r>
      <w:r w:rsidR="00840184" w:rsidRPr="00FA4EF4">
        <w:rPr>
          <w:color w:val="000000"/>
        </w:rPr>
        <w:t xml:space="preserve"> </w:t>
      </w:r>
      <w:r w:rsidR="009C2BF4" w:rsidRPr="00FA4EF4">
        <w:rPr>
          <w:color w:val="000000"/>
        </w:rPr>
        <w:fldChar w:fldCharType="begin"/>
      </w:r>
      <w:r w:rsidR="009C2BF4" w:rsidRPr="00FA4EF4">
        <w:rPr>
          <w:color w:val="000000"/>
        </w:rPr>
        <w:instrText xml:space="preserve"> ADDIN ZOTERO_ITEM CSL_CITATION {"citationID":"TApVvT0K","properties":{"formattedCitation":"(Fey, 2004)","plainCitation":"(Fey, 2004)","noteIndex":0},"citationItems":[{"id":229,"uris":["http://zotero.org/users/17206691/items/2PML77PL"],"itemData":{"id":229,"type":"speech","event-title":"American Society of Reclamation Sciences Annual Meeting","title":"Acid-Base Accounting","URL":"https://pubs.usgs.gov/of/2003/ofr-03-210/Section508/IX_Acid-base_Accounting-508.pdf","author":[{"family":"Fey","given":"David L"}],"accessed":{"date-parts":[["2024",12,11]]},"issued":{"date-parts":[["2004",6,12]]}}}],"schema":"https://github.com/citation-style-language/schema/raw/master/csl-citation.json"} </w:instrText>
      </w:r>
      <w:r w:rsidR="009C2BF4" w:rsidRPr="00FA4EF4">
        <w:rPr>
          <w:color w:val="000000"/>
        </w:rPr>
        <w:fldChar w:fldCharType="separate"/>
      </w:r>
      <w:r w:rsidR="009C2BF4" w:rsidRPr="00FA4EF4">
        <w:t>(Fey, 2004)</w:t>
      </w:r>
      <w:r w:rsidR="009C2BF4" w:rsidRPr="00FA4EF4">
        <w:rPr>
          <w:color w:val="000000"/>
        </w:rPr>
        <w:fldChar w:fldCharType="end"/>
      </w:r>
      <w:r w:rsidR="002D6F1E" w:rsidRPr="00FA4EF4">
        <w:rPr>
          <w:color w:val="000000"/>
        </w:rPr>
        <w:t xml:space="preserve">. </w:t>
      </w:r>
    </w:p>
    <w:p w14:paraId="7C37A8B6" w14:textId="6C2CEC08" w:rsidR="0096542C" w:rsidRDefault="00B72379" w:rsidP="002C492A">
      <w:pPr>
        <w:rPr>
          <w:color w:val="000000"/>
        </w:rPr>
      </w:pPr>
      <w:r w:rsidRPr="00FA4EF4">
        <w:rPr>
          <w:color w:val="000000"/>
        </w:rPr>
        <w:t>N</w:t>
      </w:r>
      <w:r w:rsidR="00B74E6D" w:rsidRPr="00FA4EF4">
        <w:rPr>
          <w:color w:val="000000"/>
        </w:rPr>
        <w:t>PR reflec</w:t>
      </w:r>
      <w:r w:rsidR="00D66B5D" w:rsidRPr="00FA4EF4">
        <w:rPr>
          <w:color w:val="000000"/>
        </w:rPr>
        <w:t>ts the relative magnitude of NP and AP</w:t>
      </w:r>
      <w:r w:rsidR="00E45439" w:rsidRPr="00FA4EF4">
        <w:rPr>
          <w:color w:val="000000"/>
        </w:rPr>
        <w:t xml:space="preserve">. It is more straight forward to interpret than NNP, however, </w:t>
      </w:r>
      <w:r w:rsidR="006E113F" w:rsidRPr="00FA4EF4">
        <w:rPr>
          <w:color w:val="000000"/>
        </w:rPr>
        <w:t xml:space="preserve">interpretations </w:t>
      </w:r>
      <w:r w:rsidR="00AE0A91" w:rsidRPr="00FA4EF4">
        <w:rPr>
          <w:color w:val="000000"/>
        </w:rPr>
        <w:t>are</w:t>
      </w:r>
      <w:r w:rsidR="00DC779B" w:rsidRPr="00FA4EF4">
        <w:rPr>
          <w:color w:val="000000"/>
        </w:rPr>
        <w:t xml:space="preserve"> </w:t>
      </w:r>
      <w:r w:rsidR="006E113F" w:rsidRPr="00FA4EF4">
        <w:rPr>
          <w:color w:val="000000"/>
        </w:rPr>
        <w:t xml:space="preserve">influenced by the </w:t>
      </w:r>
      <w:r w:rsidR="00AE0A91" w:rsidRPr="00FA4EF4">
        <w:rPr>
          <w:color w:val="000000"/>
        </w:rPr>
        <w:t>two c</w:t>
      </w:r>
      <w:r w:rsidR="00B63915" w:rsidRPr="00FA4EF4">
        <w:rPr>
          <w:color w:val="000000"/>
        </w:rPr>
        <w:t>alcite neutralization reactions</w:t>
      </w:r>
      <w:r w:rsidR="00AE0A91" w:rsidRPr="00FA4EF4">
        <w:rPr>
          <w:color w:val="000000"/>
        </w:rPr>
        <w:t xml:space="preserve"> that can occur</w:t>
      </w:r>
      <w:r w:rsidR="00B63915" w:rsidRPr="00FA4EF4">
        <w:rPr>
          <w:color w:val="000000"/>
        </w:rPr>
        <w:t>:</w:t>
      </w:r>
    </w:p>
    <w:p w14:paraId="6E32C757" w14:textId="77777777" w:rsidR="000E135F" w:rsidRDefault="000E135F" w:rsidP="002C492A">
      <w:pPr>
        <w:rPr>
          <w:color w:val="000000"/>
        </w:rPr>
      </w:pPr>
    </w:p>
    <w:p w14:paraId="4822F006" w14:textId="77777777" w:rsidR="000E135F" w:rsidRPr="00FA4EF4" w:rsidRDefault="000E135F" w:rsidP="002C492A">
      <w:pPr>
        <w:rPr>
          <w:color w:val="000000"/>
        </w:rPr>
      </w:pPr>
    </w:p>
    <w:p w14:paraId="3EF612E6" w14:textId="1D2FC800" w:rsidR="00B63915" w:rsidRPr="00FA4EF4" w:rsidRDefault="00024D82" w:rsidP="002C492A">
      <w:pPr>
        <w:rPr>
          <w:color w:val="000000"/>
        </w:rPr>
      </w:pPr>
      <w:r w:rsidRPr="00FA4EF4">
        <w:rPr>
          <w:color w:val="000000"/>
        </w:rPr>
        <w:t>CaCO</w:t>
      </w:r>
      <w:r w:rsidRPr="00FA4EF4">
        <w:rPr>
          <w:color w:val="000000"/>
          <w:vertAlign w:val="subscript"/>
        </w:rPr>
        <w:t>3</w:t>
      </w:r>
      <w:r w:rsidRPr="00FA4EF4">
        <w:rPr>
          <w:color w:val="000000"/>
        </w:rPr>
        <w:t xml:space="preserve"> + </w:t>
      </w:r>
      <w:r w:rsidR="00F7435C" w:rsidRPr="00FA4EF4">
        <w:t>2</w:t>
      </w:r>
      <w:r w:rsidRPr="00FA4EF4">
        <w:rPr>
          <w:color w:val="000000"/>
        </w:rPr>
        <w:t>H</w:t>
      </w:r>
      <w:r w:rsidRPr="00FA4EF4">
        <w:rPr>
          <w:color w:val="000000"/>
          <w:vertAlign w:val="superscript"/>
        </w:rPr>
        <w:t>+</w:t>
      </w:r>
      <w:r w:rsidRPr="00FA4EF4">
        <w:rPr>
          <w:color w:val="000000"/>
        </w:rPr>
        <w:t xml:space="preserve"> </w:t>
      </w:r>
      <w:r w:rsidRPr="00FA4EF4">
        <w:rPr>
          <w:color w:val="000000"/>
        </w:rPr>
        <w:sym w:font="Wingdings" w:char="F0E0"/>
      </w:r>
      <w:r w:rsidRPr="00FA4EF4">
        <w:rPr>
          <w:color w:val="000000"/>
        </w:rPr>
        <w:t xml:space="preserve"> Ca</w:t>
      </w:r>
      <w:r w:rsidRPr="00FA4EF4">
        <w:rPr>
          <w:color w:val="000000"/>
          <w:vertAlign w:val="superscript"/>
        </w:rPr>
        <w:t>2+</w:t>
      </w:r>
      <w:r w:rsidRPr="00FA4EF4">
        <w:rPr>
          <w:color w:val="000000"/>
        </w:rPr>
        <w:t xml:space="preserve"> + </w:t>
      </w:r>
      <w:r w:rsidR="00F22F3F" w:rsidRPr="00FA4EF4">
        <w:rPr>
          <w:color w:val="000000"/>
        </w:rPr>
        <w:t>H</w:t>
      </w:r>
      <w:r w:rsidR="00F22F3F" w:rsidRPr="00FA4EF4">
        <w:rPr>
          <w:color w:val="000000"/>
          <w:vertAlign w:val="subscript"/>
        </w:rPr>
        <w:t>2</w:t>
      </w:r>
      <w:r w:rsidR="00F22F3F" w:rsidRPr="00FA4EF4">
        <w:rPr>
          <w:color w:val="000000"/>
        </w:rPr>
        <w:t>CO</w:t>
      </w:r>
      <w:r w:rsidR="00F22F3F" w:rsidRPr="00FA4EF4">
        <w:rPr>
          <w:color w:val="000000"/>
          <w:vertAlign w:val="subscript"/>
        </w:rPr>
        <w:t>3</w:t>
      </w:r>
      <w:r w:rsidR="00F22F3F" w:rsidRPr="00FA4EF4">
        <w:rPr>
          <w:color w:val="000000"/>
        </w:rPr>
        <w:t xml:space="preserve"> </w:t>
      </w:r>
      <w:r w:rsidR="00F22F3F" w:rsidRPr="00FA4EF4">
        <w:rPr>
          <w:color w:val="000000"/>
        </w:rPr>
        <w:tab/>
      </w:r>
      <w:r w:rsidR="00F22F3F" w:rsidRPr="00FA4EF4">
        <w:rPr>
          <w:color w:val="000000"/>
        </w:rPr>
        <w:tab/>
      </w:r>
      <w:r w:rsidR="00F22F3F" w:rsidRPr="00FA4EF4">
        <w:rPr>
          <w:color w:val="000000"/>
        </w:rPr>
        <w:tab/>
      </w:r>
      <w:r w:rsidR="00F22F3F" w:rsidRPr="00FA4EF4">
        <w:rPr>
          <w:color w:val="000000"/>
        </w:rPr>
        <w:tab/>
      </w:r>
      <w:r w:rsidR="00BE3620">
        <w:rPr>
          <w:color w:val="000000"/>
        </w:rPr>
        <w:tab/>
      </w:r>
      <w:r w:rsidR="00F22F3F" w:rsidRPr="00FA4EF4">
        <w:rPr>
          <w:color w:val="000000"/>
        </w:rPr>
        <w:tab/>
      </w:r>
      <w:r w:rsidR="000E135F">
        <w:rPr>
          <w:color w:val="000000"/>
        </w:rPr>
        <w:tab/>
      </w:r>
      <w:r w:rsidR="00F22F3F" w:rsidRPr="00FA4EF4">
        <w:rPr>
          <w:color w:val="000000"/>
        </w:rPr>
        <w:t>(</w:t>
      </w:r>
      <w:r w:rsidR="000E135F">
        <w:rPr>
          <w:color w:val="000000"/>
          <w:sz w:val="20"/>
          <w:szCs w:val="20"/>
        </w:rPr>
        <w:t xml:space="preserve">eq. </w:t>
      </w:r>
      <w:r w:rsidR="00F22F3F" w:rsidRPr="00BE3620">
        <w:rPr>
          <w:color w:val="000000"/>
          <w:sz w:val="20"/>
          <w:szCs w:val="20"/>
        </w:rPr>
        <w:t xml:space="preserve"> </w:t>
      </w:r>
      <w:r w:rsidR="00663CF1" w:rsidRPr="00BE3620">
        <w:rPr>
          <w:color w:val="000000"/>
          <w:sz w:val="20"/>
          <w:szCs w:val="20"/>
        </w:rPr>
        <w:t>5</w:t>
      </w:r>
      <w:r w:rsidR="00F22F3F" w:rsidRPr="00FA4EF4">
        <w:rPr>
          <w:color w:val="000000"/>
        </w:rPr>
        <w:t>)</w:t>
      </w:r>
    </w:p>
    <w:p w14:paraId="5CF98DC0" w14:textId="04688F2E" w:rsidR="001760D0" w:rsidRPr="00FA4EF4" w:rsidRDefault="00AE0A91" w:rsidP="002C492A">
      <w:pPr>
        <w:rPr>
          <w:color w:val="000000"/>
        </w:rPr>
      </w:pPr>
      <w:r w:rsidRPr="00FA4EF4">
        <w:rPr>
          <w:color w:val="000000"/>
        </w:rPr>
        <w:lastRenderedPageBreak/>
        <w:t>a</w:t>
      </w:r>
      <w:r w:rsidR="00F22F3F" w:rsidRPr="00FA4EF4">
        <w:rPr>
          <w:color w:val="000000"/>
        </w:rPr>
        <w:t xml:space="preserve">nd </w:t>
      </w:r>
    </w:p>
    <w:p w14:paraId="77DEC9AC" w14:textId="3712CC7C" w:rsidR="00F22F3F" w:rsidRDefault="00F22F3F" w:rsidP="002C492A">
      <w:pPr>
        <w:rPr>
          <w:color w:val="000000"/>
        </w:rPr>
      </w:pPr>
      <w:r w:rsidRPr="00FA4EF4">
        <w:rPr>
          <w:color w:val="000000"/>
        </w:rPr>
        <w:t>CaCO</w:t>
      </w:r>
      <w:r w:rsidRPr="00FA4EF4">
        <w:rPr>
          <w:color w:val="000000"/>
          <w:vertAlign w:val="subscript"/>
        </w:rPr>
        <w:t>3</w:t>
      </w:r>
      <w:r w:rsidRPr="00FA4EF4">
        <w:rPr>
          <w:color w:val="000000"/>
        </w:rPr>
        <w:t xml:space="preserve"> + H</w:t>
      </w:r>
      <w:r w:rsidRPr="00FA4EF4">
        <w:rPr>
          <w:color w:val="000000"/>
          <w:vertAlign w:val="superscript"/>
        </w:rPr>
        <w:t>+</w:t>
      </w:r>
      <w:r w:rsidRPr="00FA4EF4">
        <w:rPr>
          <w:color w:val="000000"/>
        </w:rPr>
        <w:t xml:space="preserve"> </w:t>
      </w:r>
      <w:r w:rsidRPr="00FA4EF4">
        <w:rPr>
          <w:color w:val="000000"/>
        </w:rPr>
        <w:sym w:font="Wingdings" w:char="F0E0"/>
      </w:r>
      <w:r w:rsidRPr="00FA4EF4">
        <w:rPr>
          <w:color w:val="000000"/>
        </w:rPr>
        <w:t xml:space="preserve"> Ca</w:t>
      </w:r>
      <w:r w:rsidRPr="00FA4EF4">
        <w:rPr>
          <w:color w:val="000000"/>
          <w:vertAlign w:val="superscript"/>
        </w:rPr>
        <w:t>2+</w:t>
      </w:r>
      <w:r w:rsidRPr="00FA4EF4">
        <w:rPr>
          <w:color w:val="000000"/>
        </w:rPr>
        <w:t xml:space="preserve"> + HCO</w:t>
      </w:r>
      <w:r w:rsidRPr="00FA4EF4">
        <w:rPr>
          <w:color w:val="000000"/>
          <w:vertAlign w:val="subscript"/>
        </w:rPr>
        <w:t>3</w:t>
      </w:r>
      <w:r w:rsidR="00CF72EA" w:rsidRPr="00FA4EF4">
        <w:rPr>
          <w:color w:val="000000"/>
          <w:vertAlign w:val="superscript"/>
        </w:rPr>
        <w:t>-</w:t>
      </w:r>
      <w:r w:rsidRPr="00FA4EF4">
        <w:rPr>
          <w:color w:val="000000"/>
        </w:rPr>
        <w:tab/>
      </w:r>
      <w:r w:rsidRPr="00FA4EF4">
        <w:rPr>
          <w:color w:val="000000"/>
        </w:rPr>
        <w:tab/>
      </w:r>
      <w:r w:rsidRPr="00FA4EF4">
        <w:rPr>
          <w:color w:val="000000"/>
        </w:rPr>
        <w:tab/>
      </w:r>
      <w:r w:rsidRPr="00FA4EF4">
        <w:rPr>
          <w:color w:val="000000"/>
        </w:rPr>
        <w:tab/>
      </w:r>
      <w:r w:rsidR="00B524A6">
        <w:rPr>
          <w:color w:val="000000"/>
        </w:rPr>
        <w:tab/>
      </w:r>
      <w:r w:rsidRPr="00FA4EF4">
        <w:rPr>
          <w:color w:val="000000"/>
        </w:rPr>
        <w:tab/>
      </w:r>
      <w:r w:rsidR="000E135F">
        <w:rPr>
          <w:color w:val="000000"/>
        </w:rPr>
        <w:tab/>
      </w:r>
      <w:r w:rsidRPr="00FA4EF4">
        <w:rPr>
          <w:color w:val="000000"/>
        </w:rPr>
        <w:t>(</w:t>
      </w:r>
      <w:r w:rsidR="000E135F">
        <w:rPr>
          <w:color w:val="000000"/>
          <w:sz w:val="20"/>
          <w:szCs w:val="20"/>
        </w:rPr>
        <w:t xml:space="preserve">eq. </w:t>
      </w:r>
      <w:r w:rsidR="00663CF1" w:rsidRPr="00B524A6">
        <w:rPr>
          <w:color w:val="000000"/>
          <w:sz w:val="20"/>
          <w:szCs w:val="20"/>
        </w:rPr>
        <w:t>6</w:t>
      </w:r>
      <w:r w:rsidRPr="00FA4EF4">
        <w:rPr>
          <w:color w:val="000000"/>
        </w:rPr>
        <w:t>)</w:t>
      </w:r>
      <w:r w:rsidR="000E135F">
        <w:rPr>
          <w:color w:val="000000"/>
        </w:rPr>
        <w:t>.</w:t>
      </w:r>
    </w:p>
    <w:p w14:paraId="78F6D84E" w14:textId="77777777" w:rsidR="000E135F" w:rsidRPr="00FA4EF4" w:rsidRDefault="000E135F" w:rsidP="002C492A">
      <w:pPr>
        <w:rPr>
          <w:color w:val="000000"/>
        </w:rPr>
      </w:pPr>
    </w:p>
    <w:p w14:paraId="10EFDE92" w14:textId="5A36DF30" w:rsidR="0081347A" w:rsidRPr="00FA4EF4" w:rsidRDefault="004D1588" w:rsidP="002C492A">
      <w:pPr>
        <w:rPr>
          <w:color w:val="000000"/>
        </w:rPr>
      </w:pPr>
      <w:r w:rsidRPr="00FA4EF4">
        <w:rPr>
          <w:color w:val="000000"/>
        </w:rPr>
        <w:t xml:space="preserve">Equation </w:t>
      </w:r>
      <w:r w:rsidR="008A4ACA" w:rsidRPr="00FA4EF4">
        <w:rPr>
          <w:color w:val="000000"/>
        </w:rPr>
        <w:t>5</w:t>
      </w:r>
      <w:r w:rsidR="001E73CD" w:rsidRPr="00FA4EF4">
        <w:rPr>
          <w:color w:val="000000"/>
        </w:rPr>
        <w:t xml:space="preserve">, which </w:t>
      </w:r>
      <w:r w:rsidR="00D909F2" w:rsidRPr="00FA4EF4">
        <w:rPr>
          <w:color w:val="000000"/>
        </w:rPr>
        <w:t xml:space="preserve">predominates </w:t>
      </w:r>
      <w:r w:rsidR="001E73CD" w:rsidRPr="00FA4EF4">
        <w:rPr>
          <w:color w:val="000000"/>
        </w:rPr>
        <w:t>at pH &lt;6.3</w:t>
      </w:r>
      <w:r w:rsidR="00D909F2" w:rsidRPr="00FA4EF4">
        <w:rPr>
          <w:color w:val="000000"/>
        </w:rPr>
        <w:t>,</w:t>
      </w:r>
      <w:r w:rsidR="001E73CD" w:rsidRPr="00FA4EF4">
        <w:rPr>
          <w:color w:val="000000"/>
        </w:rPr>
        <w:t xml:space="preserve"> requires half as much</w:t>
      </w:r>
      <w:r w:rsidR="00D909F2" w:rsidRPr="00FA4EF4">
        <w:rPr>
          <w:color w:val="000000"/>
        </w:rPr>
        <w:t xml:space="preserve"> </w:t>
      </w:r>
      <w:r w:rsidR="00F95158" w:rsidRPr="00FA4EF4">
        <w:rPr>
          <w:color w:val="000000"/>
        </w:rPr>
        <w:t>NP to neutralize one mole of H</w:t>
      </w:r>
      <w:r w:rsidR="00F95158" w:rsidRPr="00FA4EF4">
        <w:rPr>
          <w:color w:val="000000"/>
          <w:vertAlign w:val="superscript"/>
        </w:rPr>
        <w:t>+</w:t>
      </w:r>
      <w:r w:rsidR="00F95158" w:rsidRPr="00FA4EF4">
        <w:rPr>
          <w:color w:val="000000"/>
        </w:rPr>
        <w:t xml:space="preserve"> as </w:t>
      </w:r>
      <w:r w:rsidR="00FF62D1" w:rsidRPr="00FA4EF4">
        <w:rPr>
          <w:color w:val="000000"/>
        </w:rPr>
        <w:t>E</w:t>
      </w:r>
      <w:r w:rsidR="00F95158" w:rsidRPr="00FA4EF4">
        <w:rPr>
          <w:color w:val="000000"/>
        </w:rPr>
        <w:t xml:space="preserve">quation </w:t>
      </w:r>
      <w:r w:rsidR="0013551A" w:rsidRPr="00FA4EF4">
        <w:rPr>
          <w:color w:val="000000"/>
        </w:rPr>
        <w:t>6</w:t>
      </w:r>
      <w:r w:rsidR="00F95158" w:rsidRPr="00FA4EF4">
        <w:rPr>
          <w:color w:val="000000"/>
        </w:rPr>
        <w:t>, which</w:t>
      </w:r>
      <w:r w:rsidR="001E73CD" w:rsidRPr="00FA4EF4">
        <w:rPr>
          <w:color w:val="000000"/>
        </w:rPr>
        <w:t xml:space="preserve"> </w:t>
      </w:r>
      <w:r w:rsidR="00D909F2" w:rsidRPr="00FA4EF4">
        <w:rPr>
          <w:color w:val="000000"/>
        </w:rPr>
        <w:t>primarily occurs</w:t>
      </w:r>
      <w:r w:rsidR="00F95158" w:rsidRPr="00FA4EF4">
        <w:rPr>
          <w:color w:val="000000"/>
        </w:rPr>
        <w:t xml:space="preserve"> at higher </w:t>
      </w:r>
      <w:proofErr w:type="spellStart"/>
      <w:r w:rsidR="00F95158" w:rsidRPr="00FA4EF4">
        <w:rPr>
          <w:color w:val="000000"/>
        </w:rPr>
        <w:t>pH.</w:t>
      </w:r>
      <w:proofErr w:type="spellEnd"/>
      <w:r w:rsidR="00F95158" w:rsidRPr="00FA4EF4">
        <w:rPr>
          <w:color w:val="000000"/>
        </w:rPr>
        <w:t xml:space="preserve"> This means </w:t>
      </w:r>
      <w:r w:rsidR="00FF62D1" w:rsidRPr="00FA4EF4">
        <w:rPr>
          <w:color w:val="000000"/>
        </w:rPr>
        <w:t xml:space="preserve">a sample with an NPR &lt; 1 </w:t>
      </w:r>
      <w:r w:rsidR="009954CD" w:rsidRPr="00FA4EF4">
        <w:rPr>
          <w:color w:val="000000"/>
        </w:rPr>
        <w:t>will produce acid when conditions favor</w:t>
      </w:r>
      <w:r w:rsidR="00FF62D1" w:rsidRPr="00FA4EF4">
        <w:rPr>
          <w:color w:val="000000"/>
        </w:rPr>
        <w:t xml:space="preserve"> Equation </w:t>
      </w:r>
      <w:r w:rsidR="00663CF1" w:rsidRPr="00FA4EF4">
        <w:rPr>
          <w:color w:val="000000"/>
        </w:rPr>
        <w:t>5</w:t>
      </w:r>
      <w:r w:rsidR="009954CD" w:rsidRPr="00FA4EF4">
        <w:rPr>
          <w:color w:val="000000"/>
        </w:rPr>
        <w:t xml:space="preserve">, whereas an NPR </w:t>
      </w:r>
      <w:r w:rsidR="009C6AD4" w:rsidRPr="00FA4EF4">
        <w:rPr>
          <w:color w:val="000000"/>
        </w:rPr>
        <w:t>&gt;</w:t>
      </w:r>
      <w:r w:rsidR="009954CD" w:rsidRPr="00FA4EF4">
        <w:rPr>
          <w:color w:val="000000"/>
        </w:rPr>
        <w:t>2 w</w:t>
      </w:r>
      <w:r w:rsidR="009E4B3E" w:rsidRPr="00FA4EF4">
        <w:rPr>
          <w:color w:val="000000"/>
        </w:rPr>
        <w:t xml:space="preserve">ill be necessary to prevent acid production if </w:t>
      </w:r>
      <w:r w:rsidR="009954CD" w:rsidRPr="00FA4EF4">
        <w:rPr>
          <w:color w:val="000000"/>
        </w:rPr>
        <w:t xml:space="preserve">conditions favor Equation </w:t>
      </w:r>
      <w:r w:rsidR="00663CF1" w:rsidRPr="00FA4EF4">
        <w:rPr>
          <w:color w:val="000000"/>
        </w:rPr>
        <w:t>6</w:t>
      </w:r>
      <w:r w:rsidR="009954CD" w:rsidRPr="00FA4EF4">
        <w:rPr>
          <w:color w:val="000000"/>
        </w:rPr>
        <w:t>.</w:t>
      </w:r>
      <w:r w:rsidR="00B848EA" w:rsidRPr="00FA4EF4">
        <w:rPr>
          <w:color w:val="000000"/>
        </w:rPr>
        <w:t xml:space="preserve"> </w:t>
      </w:r>
      <w:r w:rsidR="006B58A3" w:rsidRPr="00FA4EF4">
        <w:rPr>
          <w:color w:val="000000"/>
        </w:rPr>
        <w:t xml:space="preserve">When pH is near neutral, both reactions can occur. Thus, </w:t>
      </w:r>
      <w:r w:rsidR="00A84E68" w:rsidRPr="00FA4EF4">
        <w:rPr>
          <w:color w:val="000000"/>
        </w:rPr>
        <w:t xml:space="preserve">NPR data are interpreted as </w:t>
      </w:r>
      <w:r w:rsidR="00BD2BD7" w:rsidRPr="00FA4EF4">
        <w:rPr>
          <w:color w:val="000000"/>
        </w:rPr>
        <w:t xml:space="preserve">potentially net acid generating for </w:t>
      </w:r>
      <w:r w:rsidR="00A84E68" w:rsidRPr="00FA4EF4">
        <w:rPr>
          <w:color w:val="000000"/>
        </w:rPr>
        <w:t>NPR</w:t>
      </w:r>
      <w:r w:rsidR="00BD2BD7" w:rsidRPr="00FA4EF4">
        <w:rPr>
          <w:color w:val="000000"/>
        </w:rPr>
        <w:t xml:space="preserve"> &lt; 1, </w:t>
      </w:r>
      <w:r w:rsidR="00C87508" w:rsidRPr="00FA4EF4">
        <w:rPr>
          <w:color w:val="000000"/>
        </w:rPr>
        <w:t xml:space="preserve">not potentially net acid generating for NPR &gt; 2, and uncertain if NPR is between 1 and 2. </w:t>
      </w:r>
      <w:r w:rsidR="006C71D4" w:rsidRPr="00FA4EF4">
        <w:rPr>
          <w:color w:val="000000"/>
        </w:rPr>
        <w:t xml:space="preserve"> </w:t>
      </w:r>
    </w:p>
    <w:p w14:paraId="3C9EC183" w14:textId="28A21A28" w:rsidR="00E0058B" w:rsidRDefault="00F054D6" w:rsidP="002C492A">
      <w:r w:rsidRPr="00FA4EF4">
        <w:t xml:space="preserve">NNP and NPR values </w:t>
      </w:r>
      <w:r w:rsidR="00F42096" w:rsidRPr="00FA4EF4">
        <w:t xml:space="preserve">for Tungsten Queen samples are </w:t>
      </w:r>
      <w:r w:rsidRPr="00FA4EF4">
        <w:t xml:space="preserve">shown in </w:t>
      </w:r>
      <w:r w:rsidR="00F03CA9" w:rsidRPr="00FA4EF4">
        <w:t>Figure 38</w:t>
      </w:r>
      <w:r w:rsidR="00F42096" w:rsidRPr="00FA4EF4">
        <w:t>, with most samples falling within the range of uncertainty for one or both parameters</w:t>
      </w:r>
      <w:r w:rsidR="0041310B" w:rsidRPr="00FA4EF4">
        <w:t xml:space="preserve">, suggesting kinetic testing may be necessary to more accurately evaluate the potential for net acid production. </w:t>
      </w:r>
      <w:r w:rsidR="008667EE" w:rsidRPr="00FA4EF4">
        <w:t xml:space="preserve">However, </w:t>
      </w:r>
      <w:r w:rsidR="00472887" w:rsidRPr="00FA4EF4">
        <w:t>NCGS-TQ-D6-3-4 and NCGS-TQ-D</w:t>
      </w:r>
      <w:r w:rsidR="00C36ACA" w:rsidRPr="00FA4EF4">
        <w:t>6-4-4.7</w:t>
      </w:r>
      <w:r w:rsidR="005F475E" w:rsidRPr="00FA4EF4">
        <w:t xml:space="preserve"> </w:t>
      </w:r>
      <w:r w:rsidR="008667EE" w:rsidRPr="00FA4EF4">
        <w:t>plot in the net acid producing region for both NNP and NPR</w:t>
      </w:r>
      <w:r w:rsidR="00D32D2B" w:rsidRPr="00FA4EF4">
        <w:t xml:space="preserve"> and are thus interpreted to be net acid producing. These two samples</w:t>
      </w:r>
      <w:r w:rsidR="003B3248" w:rsidRPr="00FA4EF4">
        <w:t xml:space="preserve"> are </w:t>
      </w:r>
    </w:p>
    <w:p w14:paraId="15F1AE4B" w14:textId="042FA984" w:rsidR="00D442C5" w:rsidRDefault="00352445" w:rsidP="000E135F">
      <w:pPr>
        <w:ind w:firstLine="0"/>
        <w:rPr>
          <w:rStyle w:val="Caption1Char"/>
        </w:rPr>
      </w:pPr>
      <w:r>
        <w:rPr>
          <w:rFonts w:cs="Times New Roman"/>
          <w:noProof/>
          <w:szCs w:val="24"/>
          <w14:ligatures w14:val="standardContextual"/>
        </w:rPr>
        <w:drawing>
          <wp:inline distT="0" distB="0" distL="0" distR="0" wp14:anchorId="17C61E37" wp14:editId="02AEDD0A">
            <wp:extent cx="5943600" cy="2788024"/>
            <wp:effectExtent l="0" t="0" r="0" b="0"/>
            <wp:docPr id="816581858" name="Picture 36" descr="Chart, scatter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581858" name="Picture 36" descr="Chart, scatter chart&#10;&#10;AI-generated content may be incorrect."/>
                    <pic:cNvPicPr/>
                  </pic:nvPicPr>
                  <pic:blipFill rotWithShape="1">
                    <a:blip r:embed="rId49" cstate="print">
                      <a:extLst>
                        <a:ext uri="{28A0092B-C50C-407E-A947-70E740481C1C}">
                          <a14:useLocalDpi xmlns:a14="http://schemas.microsoft.com/office/drawing/2010/main" val="0"/>
                        </a:ext>
                      </a:extLst>
                    </a:blip>
                    <a:srcRect t="2051" b="4132"/>
                    <a:stretch/>
                  </pic:blipFill>
                  <pic:spPr bwMode="auto">
                    <a:xfrm>
                      <a:off x="0" y="0"/>
                      <a:ext cx="5943600" cy="2788024"/>
                    </a:xfrm>
                    <a:prstGeom prst="rect">
                      <a:avLst/>
                    </a:prstGeom>
                    <a:ln>
                      <a:noFill/>
                    </a:ln>
                    <a:extLst>
                      <a:ext uri="{53640926-AAD7-44D8-BBD7-CCE9431645EC}">
                        <a14:shadowObscured xmlns:a14="http://schemas.microsoft.com/office/drawing/2010/main"/>
                      </a:ext>
                    </a:extLst>
                  </pic:spPr>
                </pic:pic>
              </a:graphicData>
            </a:graphic>
          </wp:inline>
        </w:drawing>
      </w:r>
      <w:r w:rsidR="00F03CA9" w:rsidRPr="002C492A">
        <w:rPr>
          <w:rStyle w:val="Caption1Char"/>
        </w:rPr>
        <w:t>Figure 38</w:t>
      </w:r>
      <w:r w:rsidR="00D442C5" w:rsidRPr="002C492A">
        <w:rPr>
          <w:rStyle w:val="Caption1Char"/>
        </w:rPr>
        <w:t>.</w:t>
      </w:r>
      <w:r w:rsidR="00D02CB2" w:rsidRPr="002C492A">
        <w:rPr>
          <w:rStyle w:val="Caption1Char"/>
        </w:rPr>
        <w:t xml:space="preserve"> Acid</w:t>
      </w:r>
      <w:r w:rsidR="008170B5">
        <w:rPr>
          <w:rStyle w:val="Caption1Char"/>
        </w:rPr>
        <w:t>-</w:t>
      </w:r>
      <w:r w:rsidR="00D02CB2" w:rsidRPr="002C492A">
        <w:rPr>
          <w:rStyle w:val="Caption1Char"/>
        </w:rPr>
        <w:t>base accounting data for composite, grab, and cores samples</w:t>
      </w:r>
      <w:r w:rsidR="00257CD7" w:rsidRPr="002C492A">
        <w:rPr>
          <w:rStyle w:val="Caption1Char"/>
        </w:rPr>
        <w:t xml:space="preserve">. Photograph </w:t>
      </w:r>
      <w:r w:rsidR="00CF340E" w:rsidRPr="002C492A">
        <w:rPr>
          <w:rStyle w:val="Caption1Char"/>
        </w:rPr>
        <w:t xml:space="preserve">shows </w:t>
      </w:r>
      <w:r w:rsidR="000A628C" w:rsidRPr="002C492A">
        <w:rPr>
          <w:rStyle w:val="Caption1Char"/>
        </w:rPr>
        <w:t>NCGS-TQ-D6</w:t>
      </w:r>
      <w:r w:rsidR="00257CD7" w:rsidRPr="002C492A">
        <w:rPr>
          <w:rStyle w:val="Caption1Char"/>
        </w:rPr>
        <w:t xml:space="preserve"> with acid producing samples noted</w:t>
      </w:r>
      <w:r w:rsidR="00CF340E" w:rsidRPr="002C492A">
        <w:rPr>
          <w:rStyle w:val="Caption1Char"/>
        </w:rPr>
        <w:t xml:space="preserve">. See text for details. </w:t>
      </w:r>
      <w:r w:rsidR="00257CD7" w:rsidRPr="002C492A">
        <w:rPr>
          <w:rStyle w:val="Caption1Char"/>
        </w:rPr>
        <w:t xml:space="preserve"> </w:t>
      </w:r>
    </w:p>
    <w:p w14:paraId="36315F0F" w14:textId="1F18831D" w:rsidR="00121EE6" w:rsidRPr="00352445" w:rsidRDefault="00121EE6" w:rsidP="00121EE6">
      <w:pPr>
        <w:ind w:firstLine="0"/>
        <w:rPr>
          <w:rFonts w:cs="Times New Roman"/>
          <w:szCs w:val="24"/>
        </w:rPr>
      </w:pPr>
      <w:r w:rsidRPr="00FA4EF4">
        <w:t xml:space="preserve">amongst the highest in S concentration and have elevated levels of some critical minerals found in sulfides (Figures 32-34). Sulfide minerals are important contributors to acid rock drainage </w:t>
      </w:r>
      <w:r w:rsidRPr="00FA4EF4">
        <w:fldChar w:fldCharType="begin"/>
      </w:r>
      <w:r w:rsidRPr="00FA4EF4">
        <w:instrText xml:space="preserve"> ADDIN ZOTERO_ITEM CSL_CITATION {"citationID":"svS5YYZS","properties":{"formattedCitation":"(International Network for Acid Prevention, 2009)","plainCitation":"(International Network for Acid Prevention, 2009)","noteIndex":0},"citationItems":[{"id":225,"uris":["http://zotero.org/users/17206691/items/UUZKYCTK"],"itemData":{"id":225,"type":"book","edition":"Rev 1","number-of-pages":"473","title":"Global Acid Rock Drainage Guide","URL":"http://www.gardguide.com","author":[{"literal":"International Network for Acid Prevention"}],"accessed":{"date-parts":[["2025",5,9]]},"issued":{"date-parts":[["2009"]]}}}],"schema":"https://github.com/citation-style-language/schema/raw/master/csl-citation.json"} </w:instrText>
      </w:r>
      <w:r w:rsidRPr="00FA4EF4">
        <w:fldChar w:fldCharType="separate"/>
      </w:r>
      <w:r w:rsidRPr="00FA4EF4">
        <w:t>(International Network for Acid Prevention, 2009)</w:t>
      </w:r>
      <w:r w:rsidRPr="00FA4EF4">
        <w:fldChar w:fldCharType="end"/>
      </w:r>
      <w:r w:rsidRPr="00FA4EF4">
        <w:t>. Thus, abundant sulfides in these samples likely contribute to their net acid producing potential.</w:t>
      </w:r>
    </w:p>
    <w:p w14:paraId="3A315E3B" w14:textId="77777777" w:rsidR="00AA1C9B" w:rsidRPr="00FA4EF4" w:rsidRDefault="00AA1C9B" w:rsidP="00AA1C9B">
      <w:pPr>
        <w:pStyle w:val="Heading1"/>
      </w:pPr>
      <w:bookmarkStart w:id="16" w:name="_Toc222230020"/>
      <w:r w:rsidRPr="00FA4EF4">
        <w:t>6. Conclusions</w:t>
      </w:r>
      <w:bookmarkEnd w:id="16"/>
    </w:p>
    <w:p w14:paraId="12F8D075" w14:textId="77777777" w:rsidR="00AA1C9B" w:rsidRPr="00FA4EF4" w:rsidRDefault="00AA1C9B" w:rsidP="00AA1C9B">
      <w:r w:rsidRPr="00FA4EF4">
        <w:t>The Tungsten Queen tailings have been identified as a probable resource for tungsten and may be a source for additional critical minerals discussed in this report. Determining the economic viability of critical mineral extraction was beyond the scope of this project, however, the dominantly-quartz Tungsten Queen tailings represent an interesting scenario since processing them for high-purity quartz would concentrate the non-quartz, critical mineral-bearing minerals, possibly altering what may be economic to extract.</w:t>
      </w:r>
    </w:p>
    <w:p w14:paraId="6E61D5DE" w14:textId="77777777" w:rsidR="00AA1C9B" w:rsidRPr="00FA4EF4" w:rsidRDefault="00AA1C9B" w:rsidP="00AA1C9B">
      <w:r w:rsidRPr="00FA4EF4">
        <w:t xml:space="preserve">Lateral and depth-related variability in critical mineral content were observed in </w:t>
      </w:r>
      <w:r>
        <w:t xml:space="preserve">the </w:t>
      </w:r>
      <w:r w:rsidRPr="00FA4EF4">
        <w:t>Tungsten Queen tailings impoundment data. Lateral variability may be caused by density and</w:t>
      </w:r>
      <w:r>
        <w:t>/or</w:t>
      </w:r>
      <w:r w:rsidRPr="00FA4EF4">
        <w:t xml:space="preserve"> </w:t>
      </w:r>
      <w:r w:rsidRPr="00FA4EF4">
        <w:lastRenderedPageBreak/>
        <w:t>grainsize variations while differences in critical mineral concentration with depth may relate to deposit heterogeneity. Collectively, these observations could have interesting implications for the relationship between grain size, mineral density, vein heterogeneity, and the distribution of critical mineral and non-critical commodity concentrations in the tailings ponds. However, additional research is needed to better constrain what role, if any, each play</w:t>
      </w:r>
      <w:r>
        <w:t>s</w:t>
      </w:r>
      <w:r w:rsidRPr="00FA4EF4">
        <w:t>.</w:t>
      </w:r>
    </w:p>
    <w:p w14:paraId="3A569CC9" w14:textId="77777777" w:rsidR="00AA1C9B" w:rsidRPr="00FA4EF4" w:rsidRDefault="00AA1C9B" w:rsidP="00AA1C9B">
      <w:r w:rsidRPr="00FA4EF4">
        <w:t>Differences in the concentration of W with respect to Mn</w:t>
      </w:r>
      <w:r>
        <w:t xml:space="preserve">, </w:t>
      </w:r>
      <w:r w:rsidRPr="00FA4EF4">
        <w:t xml:space="preserve">and </w:t>
      </w:r>
      <w:r>
        <w:t xml:space="preserve">S </w:t>
      </w:r>
      <w:r w:rsidRPr="00FA4EF4">
        <w:t xml:space="preserve">with respect to Sb, As, and Te were observed between tailings ponds 2 and 3. Bivariate diagrams of Mn versus W show clear but different data trends, with tailings from pond 2 showing higher W for a given Mn concentration than those in pond 3, likely resulting primarily from variations in the W and Mn content of hubnerite within the Tungsten Queen vein. The presence of high-Mn, low-W minerals and possible metal leaching could contribute to data scatter, however PCA notes similar behavior for Mn and W, suggesting hubnerite primary controls the concentration of both elements in Tungsten Queen tailings samples. Source heterogeneity in the critical mineral content of some sulfide minerals and variations in sulfide mineral abundances between ponds may partially account for inter-pond variations in Sb, As, and Te versus S. However, the breakdown of certain sulfides, likely by oxidation, may also play a significant role, as supported by PCA results that show Sb, As, and Te with a different principal component than that of S. Thus, the inter-pond variability likely reflects variations in mineral chemistry due to source heterogeneity and/or sulfide oxidation and possible metal leaching, although more research is necessary to determine the influence of each.  </w:t>
      </w:r>
    </w:p>
    <w:p w14:paraId="27C99DAB" w14:textId="6F45CE91" w:rsidR="00AA1C9B" w:rsidRPr="00FA4EF4" w:rsidRDefault="00AA1C9B" w:rsidP="00AA1C9B">
      <w:r w:rsidRPr="00FA4EF4">
        <w:t>This study subtracted a ground</w:t>
      </w:r>
      <w:r>
        <w:t>-</w:t>
      </w:r>
      <w:proofErr w:type="spellStart"/>
      <w:r w:rsidRPr="00FA4EF4">
        <w:t>truthed</w:t>
      </w:r>
      <w:proofErr w:type="spellEnd"/>
      <w:r>
        <w:t>,</w:t>
      </w:r>
      <w:r w:rsidRPr="00FA4EF4">
        <w:t xml:space="preserve"> pre-tailings surface from a LiDAR-derived modern surface to calculate an estimated tailings volume of 43,400,000 ft</w:t>
      </w:r>
      <w:r w:rsidRPr="00FA4EF4">
        <w:rPr>
          <w:vertAlign w:val="superscript"/>
        </w:rPr>
        <w:t>3</w:t>
      </w:r>
      <w:r w:rsidRPr="00FA4EF4">
        <w:t>, representing a net 6.7% increase over the estimate of Meyertons (1975). This volume calculation does not include a small body of tailings Meyertons (1975) noted at the base of the Tungsten Mining Corporation mill, now gone and presumed to have been removed by environmental remediation efforts, or tailings that were reportedly pumped into the underground shafts and thus currently inaccessible. The 43,400,000 ft</w:t>
      </w:r>
      <w:r w:rsidRPr="00FA4EF4">
        <w:rPr>
          <w:vertAlign w:val="superscript"/>
        </w:rPr>
        <w:t>3</w:t>
      </w:r>
      <w:r w:rsidRPr="00FA4EF4">
        <w:t xml:space="preserve"> corresponds to </w:t>
      </w:r>
      <w:r>
        <w:t>2,706 t W</w:t>
      </w:r>
      <w:r w:rsidRPr="00FA4EF4">
        <w:t xml:space="preserve"> </w:t>
      </w:r>
      <w:r w:rsidR="00E87B1C">
        <w:t>(</w:t>
      </w:r>
      <w:r w:rsidR="00E87B1C">
        <w:rPr>
          <w:rFonts w:cs="Times New Roman"/>
        </w:rPr>
        <w:t>3,413 t WO</w:t>
      </w:r>
      <w:r w:rsidR="00E87B1C" w:rsidRPr="00C569E3">
        <w:rPr>
          <w:rFonts w:cs="Times New Roman"/>
          <w:vertAlign w:val="subscript"/>
        </w:rPr>
        <w:t>3</w:t>
      </w:r>
      <w:r w:rsidR="00E87B1C">
        <w:t xml:space="preserve">) </w:t>
      </w:r>
      <w:r w:rsidRPr="00FA4EF4">
        <w:t>contained in the Tungsten Queen tailings pond, which is ~</w:t>
      </w:r>
      <w:r>
        <w:t>99</w:t>
      </w:r>
      <w:r w:rsidRPr="00FA4EF4">
        <w:t xml:space="preserve">% lower than </w:t>
      </w:r>
      <w:r w:rsidRPr="00FA4EF4">
        <w:fldChar w:fldCharType="begin"/>
      </w:r>
      <w:r w:rsidRPr="00FA4EF4">
        <w:instrText xml:space="preserve"> ADDIN ZOTERO_ITEM CSL_CITATION {"citationID":"FvMigIfd","properties":{"formattedCitation":"(Meyertons, 1975)","plainCitation":"(Meyertons, 1975)","dontUpdate":true,"noteIndex":0},"citationItems":[{"id":77,"uris":["http://zotero.org/users/17206691/items/B3WBRLXM"],"itemData":{"id":77,"type":"report","page":"1-11","title":"A Preliminary Estimate of Tungsten Content of Tungsten Queen Tailing for Ranchers Exploration &amp; Development Corporation","author":[{"family":"Meyertons","given":"Ralph"}],"issued":{"date-parts":[["1975"]]}}}],"schema":"https://github.com/citation-style-language/schema/raw/master/csl-citation.json"} </w:instrText>
      </w:r>
      <w:r w:rsidRPr="00FA4EF4">
        <w:fldChar w:fldCharType="separate"/>
      </w:r>
      <w:r w:rsidRPr="00FA4EF4">
        <w:t>Meyertons (1975)</w:t>
      </w:r>
      <w:r w:rsidRPr="00FA4EF4">
        <w:fldChar w:fldCharType="end"/>
      </w:r>
      <w:r w:rsidRPr="00FA4EF4">
        <w:t xml:space="preserve"> estimate for tailings in the impoundment. The lower weighted mean WO</w:t>
      </w:r>
      <w:r w:rsidRPr="00FA4EF4">
        <w:rPr>
          <w:vertAlign w:val="subscript"/>
        </w:rPr>
        <w:t>3</w:t>
      </w:r>
      <w:r w:rsidRPr="00FA4EF4">
        <w:t xml:space="preserve"> calculated by this study causes the discrepancy in the estimates, and could partly be due to this study’s inability to access WO</w:t>
      </w:r>
      <w:r w:rsidRPr="00FA4EF4">
        <w:rPr>
          <w:vertAlign w:val="subscript"/>
        </w:rPr>
        <w:t>3</w:t>
      </w:r>
      <w:r w:rsidRPr="00FA4EF4">
        <w:t xml:space="preserve">-rich areas of tailings pond 3 that were sampled by </w:t>
      </w:r>
      <w:r w:rsidRPr="00FA4EF4">
        <w:fldChar w:fldCharType="begin"/>
      </w:r>
      <w:r w:rsidRPr="00FA4EF4">
        <w:instrText xml:space="preserve"> ADDIN ZOTERO_ITEM CSL_CITATION {"citationID":"aCEg9QBt","properties":{"formattedCitation":"(Meyertons, 1975)","plainCitation":"(Meyertons, 1975)","dontUpdate":true,"noteIndex":0},"citationItems":[{"id":77,"uris":["http://zotero.org/users/17206691/items/B3WBRLXM"],"itemData":{"id":77,"type":"report","page":"1-11","title":"A Preliminary Estimate of Tungsten Content of Tungsten Queen Tailing for Ranchers Exploration &amp; Development Corporation","author":[{"family":"Meyertons","given":"Ralph"}],"issued":{"date-parts":[["1975"]]}}}],"schema":"https://github.com/citation-style-language/schema/raw/master/csl-citation.json"} </w:instrText>
      </w:r>
      <w:r w:rsidRPr="00FA4EF4">
        <w:fldChar w:fldCharType="separate"/>
      </w:r>
      <w:r w:rsidRPr="00FA4EF4">
        <w:t>Meyertons (1975)</w:t>
      </w:r>
      <w:r w:rsidRPr="00FA4EF4">
        <w:fldChar w:fldCharType="end"/>
      </w:r>
      <w:r w:rsidRPr="00FA4EF4">
        <w:t xml:space="preserve">. Resource estimates for the 14 critical minerals and non-critical commodities prioritized in this report range from </w:t>
      </w:r>
      <w:r>
        <w:t>66,695 t</w:t>
      </w:r>
      <w:r w:rsidRPr="00FA4EF4">
        <w:t xml:space="preserve"> for F to </w:t>
      </w:r>
      <w:r>
        <w:t xml:space="preserve">8 t </w:t>
      </w:r>
      <w:r w:rsidRPr="00FA4EF4">
        <w:t>for Ge.</w:t>
      </w:r>
    </w:p>
    <w:p w14:paraId="7CB26A01" w14:textId="77777777" w:rsidR="00AA1C9B" w:rsidRPr="00FA4EF4" w:rsidRDefault="00AA1C9B" w:rsidP="00AA1C9B">
      <w:r w:rsidRPr="00FA4EF4">
        <w:t xml:space="preserve">NNP and NPR values for most Tungsten Queen samples fall within the range of uncertainty for one or both parameters, suggesting kinetic testing may be necessary to more accurately evaluate the potential for net acid production. However, samples NCGS-TQ-D6-3-4 and NCGS-TQ-D6-4-4.7 plot in the net acid producing region for both NNP and NPR like due to an inferred abundance of sulfide minerals which are important contributors to acid rock drainage. </w:t>
      </w:r>
    </w:p>
    <w:p w14:paraId="6399B41A" w14:textId="77777777" w:rsidR="00AA1C9B" w:rsidRPr="00FA4EF4" w:rsidRDefault="00AA1C9B" w:rsidP="00AA1C9B">
      <w:pPr>
        <w:rPr>
          <w:rFonts w:cs="Times New Roman"/>
          <w:color w:val="000000"/>
          <w:szCs w:val="24"/>
        </w:rPr>
      </w:pPr>
    </w:p>
    <w:p w14:paraId="1A9F4082" w14:textId="77777777" w:rsidR="00AA1C9B" w:rsidRDefault="00AA1C9B" w:rsidP="00AA1C9B">
      <w:pPr>
        <w:rPr>
          <w:rFonts w:cs="Times New Roman"/>
          <w:color w:val="000000"/>
          <w:szCs w:val="24"/>
        </w:rPr>
      </w:pPr>
    </w:p>
    <w:p w14:paraId="3030B637" w14:textId="77777777" w:rsidR="00731EB9" w:rsidRDefault="00731EB9" w:rsidP="00AA1C9B">
      <w:pPr>
        <w:rPr>
          <w:rFonts w:cs="Times New Roman"/>
          <w:color w:val="000000"/>
          <w:szCs w:val="24"/>
        </w:rPr>
      </w:pPr>
    </w:p>
    <w:p w14:paraId="2A7D83B8" w14:textId="77777777" w:rsidR="00731EB9" w:rsidRDefault="00731EB9" w:rsidP="00AA1C9B">
      <w:pPr>
        <w:rPr>
          <w:rFonts w:cs="Times New Roman"/>
          <w:color w:val="000000"/>
          <w:szCs w:val="24"/>
        </w:rPr>
      </w:pPr>
    </w:p>
    <w:p w14:paraId="3BF8E40F" w14:textId="77777777" w:rsidR="00731EB9" w:rsidRDefault="00731EB9" w:rsidP="00AA1C9B">
      <w:pPr>
        <w:rPr>
          <w:rFonts w:cs="Times New Roman"/>
          <w:color w:val="000000"/>
          <w:szCs w:val="24"/>
        </w:rPr>
      </w:pPr>
    </w:p>
    <w:p w14:paraId="6A7A86C1" w14:textId="77777777" w:rsidR="00AA1C9B" w:rsidRDefault="00AA1C9B" w:rsidP="00AA1C9B">
      <w:pPr>
        <w:rPr>
          <w:rFonts w:cs="Times New Roman"/>
          <w:color w:val="000000"/>
          <w:szCs w:val="24"/>
        </w:rPr>
      </w:pPr>
    </w:p>
    <w:p w14:paraId="20E1CD40" w14:textId="667748A3" w:rsidR="006313CB" w:rsidRPr="00AA1C9B" w:rsidRDefault="002C492A" w:rsidP="00AA1C9B">
      <w:pPr>
        <w:pStyle w:val="Heading1"/>
      </w:pPr>
      <w:bookmarkStart w:id="17" w:name="_Toc222230021"/>
      <w:r w:rsidRPr="00AA1C9B">
        <w:lastRenderedPageBreak/>
        <w:t xml:space="preserve">7. </w:t>
      </w:r>
      <w:r w:rsidR="00674F69" w:rsidRPr="00AA1C9B">
        <w:t>References</w:t>
      </w:r>
      <w:bookmarkEnd w:id="17"/>
    </w:p>
    <w:p w14:paraId="4D31D66A" w14:textId="77777777" w:rsidR="000803CE" w:rsidRPr="00FA4EF4" w:rsidRDefault="00122809" w:rsidP="00AA1C9B">
      <w:pPr>
        <w:pStyle w:val="Bibliography"/>
        <w:ind w:left="540" w:hanging="540"/>
        <w:rPr>
          <w:rFonts w:cs="Times New Roman"/>
        </w:rPr>
      </w:pPr>
      <w:r w:rsidRPr="00FA4EF4">
        <w:rPr>
          <w:rFonts w:eastAsia="Aptos" w:cs="Times New Roman"/>
          <w:szCs w:val="24"/>
          <w:u w:val="single"/>
        </w:rPr>
        <w:fldChar w:fldCharType="begin" w:fldLock="1"/>
      </w:r>
      <w:r w:rsidR="00E86C3D" w:rsidRPr="00FA4EF4">
        <w:rPr>
          <w:rFonts w:eastAsia="Aptos" w:cs="Times New Roman"/>
          <w:szCs w:val="24"/>
          <w:u w:val="single"/>
        </w:rPr>
        <w:instrText xml:space="preserve"> ADDIN ZOTERO_BIBL {"uncited":[],"omitted":[],"custom":[]} CSL_BIBLIOGRAPHY </w:instrText>
      </w:r>
      <w:r w:rsidRPr="00FA4EF4">
        <w:rPr>
          <w:rFonts w:eastAsia="Aptos" w:cs="Times New Roman"/>
          <w:szCs w:val="24"/>
          <w:u w:val="single"/>
        </w:rPr>
        <w:fldChar w:fldCharType="separate"/>
      </w:r>
      <w:r w:rsidR="000803CE" w:rsidRPr="00FA4EF4">
        <w:rPr>
          <w:rFonts w:cs="Times New Roman"/>
        </w:rPr>
        <w:t>Abraham, J., 2009, A hydrogeological assessment of arsenic in the Carolina terrane of Union County, North Carolina: Division of Water Resources Groundwater Circular 2009–01, 1–40 p.</w:t>
      </w:r>
    </w:p>
    <w:p w14:paraId="0BFB8F8E" w14:textId="77777777" w:rsidR="000803CE" w:rsidRPr="00FA4EF4" w:rsidRDefault="000803CE" w:rsidP="00AA1C9B">
      <w:pPr>
        <w:pStyle w:val="Bibliography"/>
        <w:ind w:left="540" w:hanging="540"/>
        <w:rPr>
          <w:rFonts w:cs="Times New Roman"/>
        </w:rPr>
      </w:pPr>
      <w:r w:rsidRPr="00FA4EF4">
        <w:rPr>
          <w:rFonts w:cs="Times New Roman"/>
        </w:rPr>
        <w:t>Aitchison, J., 1984, The Statistical Analysis of Geochemical Compositions: v. 16, p. 15–18.</w:t>
      </w:r>
    </w:p>
    <w:p w14:paraId="5FD1A935" w14:textId="33F5CD1E" w:rsidR="00E47AEE" w:rsidRDefault="00E47AEE" w:rsidP="00AA1C9B">
      <w:pPr>
        <w:pStyle w:val="Bibliography"/>
        <w:ind w:left="540" w:hanging="540"/>
        <w:rPr>
          <w:rFonts w:cs="Times New Roman"/>
        </w:rPr>
      </w:pPr>
      <w:r>
        <w:rPr>
          <w:rFonts w:cs="Times New Roman"/>
        </w:rPr>
        <w:t xml:space="preserve">Blake, </w:t>
      </w:r>
      <w:r w:rsidR="00FD6489">
        <w:rPr>
          <w:rFonts w:cs="Times New Roman"/>
        </w:rPr>
        <w:t xml:space="preserve">D.E., Stoddard, E.F., </w:t>
      </w:r>
      <w:r w:rsidR="003928DC">
        <w:rPr>
          <w:rFonts w:cs="Times New Roman"/>
        </w:rPr>
        <w:t xml:space="preserve">Bradley, P.J., </w:t>
      </w:r>
      <w:r w:rsidR="00EC6BB6">
        <w:rPr>
          <w:rFonts w:cs="Times New Roman"/>
        </w:rPr>
        <w:t>Pelt, K.E.,</w:t>
      </w:r>
      <w:r w:rsidR="00BE324E">
        <w:rPr>
          <w:rFonts w:cs="Times New Roman"/>
        </w:rPr>
        <w:t xml:space="preserve"> 2025,</w:t>
      </w:r>
      <w:r w:rsidR="00EC6BB6">
        <w:rPr>
          <w:rFonts w:cs="Times New Roman"/>
        </w:rPr>
        <w:t xml:space="preserve"> </w:t>
      </w:r>
      <w:r w:rsidR="00EC6BB6" w:rsidRPr="00EC6BB6">
        <w:rPr>
          <w:rFonts w:cs="Times New Roman"/>
        </w:rPr>
        <w:t>Compiled bedrock geologic map of the Henderson and western portion of the Roanoke Rapids 30’ x 60’ quadrangles, North Carolina</w:t>
      </w:r>
      <w:r w:rsidR="00BE324E">
        <w:rPr>
          <w:rFonts w:cs="Times New Roman"/>
        </w:rPr>
        <w:t xml:space="preserve">, </w:t>
      </w:r>
      <w:r w:rsidR="004648C7" w:rsidRPr="004648C7">
        <w:rPr>
          <w:rFonts w:cs="Times New Roman"/>
        </w:rPr>
        <w:t>North Carolina Geological Survey, Open-file Report 2025-04, scale 1:100,000</w:t>
      </w:r>
      <w:r w:rsidR="004648C7">
        <w:rPr>
          <w:rFonts w:cs="Times New Roman"/>
        </w:rPr>
        <w:t>.</w:t>
      </w:r>
    </w:p>
    <w:p w14:paraId="4CBEF567" w14:textId="456C1E42" w:rsidR="000803CE" w:rsidRPr="00FA4EF4" w:rsidRDefault="000803CE" w:rsidP="00AA1C9B">
      <w:pPr>
        <w:pStyle w:val="Bibliography"/>
        <w:ind w:left="540" w:hanging="540"/>
        <w:rPr>
          <w:rFonts w:cs="Times New Roman"/>
        </w:rPr>
      </w:pPr>
      <w:r w:rsidRPr="00FA4EF4">
        <w:rPr>
          <w:rFonts w:cs="Times New Roman"/>
        </w:rPr>
        <w:t>Boschetty, F.O., Ferguson, D.J., Cortés, J.A., Morgado, E., Ebmeier, S.K., Morgan, D.J., Romero, J.E., and Silva Parejas, C., 2022, Insights Into Magma Storage Beneath a Frequently Erupting Arc Volcano (Villarrica, Chile) From Unsupervised Machine Learning Analysis of Mineral Compositions: Geochemistry, Geophysics, Geosystems, v. 23, p. 1–24, doi:10.1029/2022GC010333.</w:t>
      </w:r>
    </w:p>
    <w:p w14:paraId="54D960CF" w14:textId="77777777" w:rsidR="000803CE" w:rsidRPr="00FA4EF4" w:rsidRDefault="000803CE" w:rsidP="00AA1C9B">
      <w:pPr>
        <w:pStyle w:val="Bibliography"/>
        <w:ind w:left="540" w:hanging="540"/>
        <w:rPr>
          <w:rFonts w:cs="Times New Roman"/>
        </w:rPr>
      </w:pPr>
      <w:r w:rsidRPr="00FA4EF4">
        <w:rPr>
          <w:rFonts w:cs="Times New Roman"/>
        </w:rPr>
        <w:t>Bowman, J.D., 2010, The Aaron Formation: Evidence for a New Lithotectonic Unit in Carolinia, North Central North Carolina [M.S.]: North Carolina State University, 116 p.</w:t>
      </w:r>
    </w:p>
    <w:p w14:paraId="3263D0B9" w14:textId="77777777" w:rsidR="000803CE" w:rsidRPr="00FA4EF4" w:rsidRDefault="000803CE" w:rsidP="00AA1C9B">
      <w:pPr>
        <w:pStyle w:val="Bibliography"/>
        <w:ind w:left="540" w:hanging="540"/>
        <w:rPr>
          <w:rFonts w:cs="Times New Roman"/>
        </w:rPr>
      </w:pPr>
      <w:r w:rsidRPr="00FA4EF4">
        <w:rPr>
          <w:rFonts w:cs="Times New Roman"/>
        </w:rPr>
        <w:t xml:space="preserve">Bowman, J.D., Hibbard, J.P., and Miller, B.V., 2013, The Virgilina sequence redefined, north central North Carolina, </w:t>
      </w:r>
      <w:r w:rsidRPr="00FA4EF4">
        <w:rPr>
          <w:rFonts w:cs="Times New Roman"/>
          <w:i/>
          <w:iCs/>
        </w:rPr>
        <w:t>in</w:t>
      </w:r>
      <w:r w:rsidRPr="00FA4EF4">
        <w:rPr>
          <w:rFonts w:cs="Times New Roman"/>
        </w:rPr>
        <w:t xml:space="preserve"> Hibbard, J.P. and Pollock, J. eds., One Arc, Two Arcs, Old Arc, New Arc, The Carolina Terrane in Central North Carolina, Salisbury, North Carolina, Carolina Geological Society Annual Meeting and Field Trip, p. 127–138.</w:t>
      </w:r>
    </w:p>
    <w:p w14:paraId="3A4B15C9" w14:textId="77777777" w:rsidR="000803CE" w:rsidRPr="00FA4EF4" w:rsidRDefault="000803CE" w:rsidP="00AA1C9B">
      <w:pPr>
        <w:pStyle w:val="Bibliography"/>
        <w:ind w:left="540" w:hanging="540"/>
        <w:rPr>
          <w:rFonts w:cs="Times New Roman"/>
        </w:rPr>
      </w:pPr>
      <w:r w:rsidRPr="00FA4EF4">
        <w:rPr>
          <w:rFonts w:cs="Times New Roman"/>
        </w:rPr>
        <w:t>Bradley, P.J., and Miller, B.V., 2011, New geologic mapping and age constraints in the Hyco Arc of the Carolina terrane in Orange County, North Carolina: Geological Society of America Abstracts with Programs, v. 43.</w:t>
      </w:r>
    </w:p>
    <w:p w14:paraId="6D8F8BEB" w14:textId="77777777" w:rsidR="000803CE" w:rsidRPr="00FA4EF4" w:rsidRDefault="000803CE" w:rsidP="00AA1C9B">
      <w:pPr>
        <w:pStyle w:val="Bibliography"/>
        <w:ind w:left="540" w:hanging="540"/>
        <w:rPr>
          <w:rFonts w:cs="Times New Roman"/>
        </w:rPr>
      </w:pPr>
      <w:r w:rsidRPr="00FA4EF4">
        <w:rPr>
          <w:rFonts w:cs="Times New Roman"/>
        </w:rPr>
        <w:t>Casadevall, T., and Rye, R.O., 1980, The Tungsten Queen Deposit, Hamme District, Vance County, North Carolina: A Stable Isotope Study of a Metamorphosed Quartz-Huebnerite Vein: Economic Geology, v. 75, p. 523–537.</w:t>
      </w:r>
    </w:p>
    <w:p w14:paraId="36F7B6A6" w14:textId="77777777" w:rsidR="000803CE" w:rsidRPr="00FA4EF4" w:rsidRDefault="000803CE" w:rsidP="00AA1C9B">
      <w:pPr>
        <w:pStyle w:val="Bibliography"/>
        <w:ind w:left="540" w:hanging="540"/>
        <w:rPr>
          <w:rFonts w:cs="Times New Roman"/>
        </w:rPr>
      </w:pPr>
      <w:r w:rsidRPr="00FA4EF4">
        <w:rPr>
          <w:rFonts w:cs="Times New Roman"/>
        </w:rPr>
        <w:t>Chaumba, J.B., Reid, J.C., and Parker, J.C., 2015, Hamme (Tungsten Queen) Mine Tailings, Vance County, North Carolina: Mineral chemistry of Potentially Recoverable Huebnerite-Wolframite and Sulfide Minerals: Southeastern Geology, v. 51, p. 33–49.</w:t>
      </w:r>
    </w:p>
    <w:p w14:paraId="5826D6F2" w14:textId="77777777" w:rsidR="000803CE" w:rsidRPr="00FA4EF4" w:rsidRDefault="000803CE" w:rsidP="00AA1C9B">
      <w:pPr>
        <w:pStyle w:val="Bibliography"/>
        <w:ind w:left="540" w:hanging="540"/>
        <w:rPr>
          <w:rFonts w:cs="Times New Roman"/>
        </w:rPr>
      </w:pPr>
      <w:r w:rsidRPr="00FA4EF4">
        <w:rPr>
          <w:rFonts w:cs="Times New Roman"/>
        </w:rPr>
        <w:t>Chayes, F., 1960, On correlation between variables of constant sum: Journal of Geophysical Research, v. 65.</w:t>
      </w:r>
    </w:p>
    <w:p w14:paraId="6510D72E" w14:textId="77777777" w:rsidR="000803CE" w:rsidRPr="00FA4EF4" w:rsidRDefault="000803CE" w:rsidP="00AA1C9B">
      <w:pPr>
        <w:pStyle w:val="Bibliography"/>
        <w:ind w:left="540" w:hanging="540"/>
        <w:rPr>
          <w:rFonts w:cs="Times New Roman"/>
        </w:rPr>
      </w:pPr>
      <w:r w:rsidRPr="00FA4EF4">
        <w:rPr>
          <w:rFonts w:cs="Times New Roman"/>
        </w:rPr>
        <w:t>Dinwiddie, E., and Liu, X.-M., 2018, Examining the Geologic Link of Arsenic Contamination in Groundwater in Orange County, North Carolina: Frontiers in Earth Science, v. 6, doi:10.3389/feart.2018.00111.</w:t>
      </w:r>
    </w:p>
    <w:p w14:paraId="521BF4AC" w14:textId="77777777" w:rsidR="000803CE" w:rsidRPr="00FA4EF4" w:rsidRDefault="000803CE" w:rsidP="00AA1C9B">
      <w:pPr>
        <w:pStyle w:val="Bibliography"/>
        <w:ind w:left="540" w:hanging="540"/>
        <w:rPr>
          <w:rFonts w:cs="Times New Roman"/>
        </w:rPr>
      </w:pPr>
      <w:r w:rsidRPr="00FA4EF4">
        <w:rPr>
          <w:rFonts w:cs="Times New Roman"/>
        </w:rPr>
        <w:t>Espenshade, G.H., 1945, Tungsten Deposits of Vance County North Carolina, and Mecklenburg County, Virginia: Bulletin 948-A, 1–17 p.</w:t>
      </w:r>
    </w:p>
    <w:p w14:paraId="15865915" w14:textId="77777777" w:rsidR="000803CE" w:rsidRPr="00FA4EF4" w:rsidRDefault="000803CE" w:rsidP="00AA1C9B">
      <w:pPr>
        <w:pStyle w:val="Bibliography"/>
        <w:ind w:left="540" w:hanging="540"/>
        <w:rPr>
          <w:rFonts w:cs="Times New Roman"/>
        </w:rPr>
      </w:pPr>
      <w:r w:rsidRPr="00FA4EF4">
        <w:rPr>
          <w:rFonts w:cs="Times New Roman"/>
        </w:rPr>
        <w:t xml:space="preserve">Feiss, G., Maybin, A.H., III, Riggs, S.R., and Grosz, A.E., 1991, Mineral Resources of the Carolinas, </w:t>
      </w:r>
      <w:r w:rsidRPr="00FA4EF4">
        <w:rPr>
          <w:rFonts w:cs="Times New Roman"/>
          <w:i/>
          <w:iCs/>
        </w:rPr>
        <w:t>in</w:t>
      </w:r>
      <w:r w:rsidRPr="00FA4EF4">
        <w:rPr>
          <w:rFonts w:cs="Times New Roman"/>
        </w:rPr>
        <w:t xml:space="preserve"> Horton, J.W., Jr. and Zullo, V.A. eds., The Geology of the Carolinas, The University of Tennessee Press, p. 319–345.</w:t>
      </w:r>
    </w:p>
    <w:p w14:paraId="5E143200" w14:textId="77777777" w:rsidR="000803CE" w:rsidRPr="00FA4EF4" w:rsidRDefault="000803CE" w:rsidP="00AA1C9B">
      <w:pPr>
        <w:pStyle w:val="Bibliography"/>
        <w:ind w:left="540" w:hanging="540"/>
        <w:rPr>
          <w:rFonts w:cs="Times New Roman"/>
        </w:rPr>
      </w:pPr>
      <w:r w:rsidRPr="00FA4EF4">
        <w:rPr>
          <w:rFonts w:cs="Times New Roman"/>
        </w:rPr>
        <w:t>Fey, D.L., 2004, Acid-Base Accounting:, https://pubs.usgs.gov/of/2003/ofr-03-210/Section508/IX_Acid-base_Accounting-508.pdf (accessed December 2024).</w:t>
      </w:r>
    </w:p>
    <w:p w14:paraId="47CF0CC1" w14:textId="77777777" w:rsidR="000803CE" w:rsidRPr="00FA4EF4" w:rsidRDefault="000803CE" w:rsidP="00AA1C9B">
      <w:pPr>
        <w:pStyle w:val="Bibliography"/>
        <w:ind w:left="540" w:hanging="540"/>
        <w:rPr>
          <w:rFonts w:cs="Times New Roman"/>
        </w:rPr>
      </w:pPr>
      <w:r w:rsidRPr="00FA4EF4">
        <w:rPr>
          <w:rFonts w:cs="Times New Roman"/>
        </w:rPr>
        <w:t xml:space="preserve">Foley, N.K., Jaskula, B., Kimball, B.E., and Schulte, R., 2017, Gallium, </w:t>
      </w:r>
      <w:r w:rsidRPr="00FA4EF4">
        <w:rPr>
          <w:rFonts w:cs="Times New Roman"/>
          <w:i/>
          <w:iCs/>
        </w:rPr>
        <w:t>in</w:t>
      </w:r>
      <w:r w:rsidRPr="00FA4EF4">
        <w:rPr>
          <w:rFonts w:cs="Times New Roman"/>
        </w:rPr>
        <w:t xml:space="preserve"> Schulte, K.J., DeYoung, J.H., Jr., Seal, R.R., II, and Bradley, D.C. eds., Critical mineral resources of the United States—Economic and environmental geology and prospects for future supply, U.S. Geological Survey Professional Paper 1802, p. H1–H35, doi:10.3133/pp1802H.</w:t>
      </w:r>
    </w:p>
    <w:p w14:paraId="6D293163" w14:textId="77777777" w:rsidR="000803CE" w:rsidRPr="00FA4EF4" w:rsidRDefault="000803CE" w:rsidP="00AA1C9B">
      <w:pPr>
        <w:pStyle w:val="Bibliography"/>
        <w:ind w:left="540" w:hanging="540"/>
        <w:rPr>
          <w:rFonts w:cs="Times New Roman"/>
        </w:rPr>
      </w:pPr>
      <w:r w:rsidRPr="00FA4EF4">
        <w:rPr>
          <w:rFonts w:cs="Times New Roman"/>
        </w:rPr>
        <w:lastRenderedPageBreak/>
        <w:t>Foose, M.P., Slack, J.F., and Casadevall, T., 1980, Textural and Structural Evidence for a Predeformation Hydrothermal Origin of the Tungsten Queen Deposit, Hamme District, North Carolina: Economic Geology, v. 75, p. 515–522.</w:t>
      </w:r>
    </w:p>
    <w:p w14:paraId="605884AB" w14:textId="77777777" w:rsidR="000803CE" w:rsidRPr="00FA4EF4" w:rsidRDefault="000803CE" w:rsidP="00AA1C9B">
      <w:pPr>
        <w:pStyle w:val="Bibliography"/>
        <w:ind w:left="540" w:hanging="540"/>
        <w:rPr>
          <w:rFonts w:cs="Times New Roman"/>
        </w:rPr>
      </w:pPr>
      <w:r w:rsidRPr="00FA4EF4">
        <w:rPr>
          <w:rFonts w:cs="Times New Roman"/>
        </w:rPr>
        <w:t>Foose, M.P., Slack, J.F., and Casadevall, T.J., 1981, Textural and Structural Evidence for a Predeformation Hydrothermal Origin of the Tungsten Queen Deposit, Hamme District, North Carolina - A Reply: Economic Geology, v. 74, p. 980–982.</w:t>
      </w:r>
    </w:p>
    <w:p w14:paraId="3EE68EEE" w14:textId="77777777" w:rsidR="000803CE" w:rsidRPr="00FA4EF4" w:rsidRDefault="000803CE" w:rsidP="00AA1C9B">
      <w:pPr>
        <w:pStyle w:val="Bibliography"/>
        <w:ind w:left="540" w:hanging="540"/>
        <w:rPr>
          <w:rFonts w:cs="Times New Roman"/>
        </w:rPr>
      </w:pPr>
      <w:r w:rsidRPr="00FA4EF4">
        <w:rPr>
          <w:rFonts w:cs="Times New Roman"/>
        </w:rPr>
        <w:t>Foose, M.P. and Slack John F., 1978, Premetamorphic Hydrothermal Origin of the Tungsten Queen Vein, Hamme District, North Carolina, as Indicated by Mineral Textures and Minor Structures: U.S. Geological Survey Open-File Report 78-427, p. 1–34.</w:t>
      </w:r>
    </w:p>
    <w:p w14:paraId="2E060F23" w14:textId="77777777" w:rsidR="000803CE" w:rsidRPr="00FA4EF4" w:rsidRDefault="000803CE" w:rsidP="00AA1C9B">
      <w:pPr>
        <w:pStyle w:val="Bibliography"/>
        <w:ind w:left="540" w:hanging="540"/>
        <w:rPr>
          <w:rFonts w:cs="Times New Roman"/>
        </w:rPr>
      </w:pPr>
      <w:r w:rsidRPr="00FA4EF4">
        <w:rPr>
          <w:rFonts w:cs="Times New Roman"/>
        </w:rPr>
        <w:t>Gair, J.E., 1977, Maps and Diagrams Showing Structural Control of the Hamme Tungsten Deposit, Vance County, North Carolina: U.S. Geological Survey Miscellaneous Investigations Series Map I-1009, 1 p.</w:t>
      </w:r>
    </w:p>
    <w:p w14:paraId="397F80EA" w14:textId="77777777" w:rsidR="000803CE" w:rsidRPr="00FA4EF4" w:rsidRDefault="000803CE" w:rsidP="00AA1C9B">
      <w:pPr>
        <w:pStyle w:val="Bibliography"/>
        <w:ind w:left="540" w:hanging="540"/>
        <w:rPr>
          <w:rFonts w:cs="Times New Roman"/>
        </w:rPr>
      </w:pPr>
      <w:r w:rsidRPr="00FA4EF4">
        <w:rPr>
          <w:rFonts w:cs="Times New Roman"/>
        </w:rPr>
        <w:t>Gair, J.E., Windolph, J.F., and Wright, N.A., 1975, Preliminary Results of Geochemical Soil Survey, Hamme Tungsten District, North Carolina: Geological Survey Circular 711, p. 1–19.</w:t>
      </w:r>
    </w:p>
    <w:p w14:paraId="6B816A9F" w14:textId="77777777" w:rsidR="000803CE" w:rsidRPr="00FA4EF4" w:rsidRDefault="000803CE" w:rsidP="00AA1C9B">
      <w:pPr>
        <w:pStyle w:val="Bibliography"/>
        <w:ind w:left="540" w:hanging="540"/>
        <w:rPr>
          <w:rFonts w:cs="Times New Roman"/>
        </w:rPr>
      </w:pPr>
      <w:r w:rsidRPr="00FA4EF4">
        <w:rPr>
          <w:rFonts w:cs="Times New Roman"/>
        </w:rPr>
        <w:t>Gnesda, W.R., Karl, N.A., and Mauk, J.L., 2020, Germanium Deposits in the United States:, doi:10.5066/P9CPYTFN.</w:t>
      </w:r>
    </w:p>
    <w:p w14:paraId="5EE438E4" w14:textId="77777777" w:rsidR="000803CE" w:rsidRPr="00FA4EF4" w:rsidRDefault="000803CE" w:rsidP="00AA1C9B">
      <w:pPr>
        <w:pStyle w:val="Bibliography"/>
        <w:ind w:left="540" w:hanging="540"/>
        <w:rPr>
          <w:rFonts w:cs="Times New Roman"/>
        </w:rPr>
      </w:pPr>
      <w:r w:rsidRPr="00FA4EF4">
        <w:rPr>
          <w:rFonts w:cs="Times New Roman"/>
        </w:rPr>
        <w:t>Greenacre, M., 2021, Compositional data analysis: Annual Review of Statistics and Its Application, v. 8, p. 271–299, doi:10.1146/annurev-statistics-042720-124436.</w:t>
      </w:r>
    </w:p>
    <w:p w14:paraId="746768A7" w14:textId="77777777" w:rsidR="000803CE" w:rsidRPr="00FA4EF4" w:rsidRDefault="000803CE" w:rsidP="00AA1C9B">
      <w:pPr>
        <w:pStyle w:val="Bibliography"/>
        <w:ind w:left="540" w:hanging="540"/>
        <w:rPr>
          <w:rFonts w:cs="Times New Roman"/>
        </w:rPr>
      </w:pPr>
      <w:r w:rsidRPr="00FA4EF4">
        <w:rPr>
          <w:rFonts w:cs="Times New Roman"/>
        </w:rPr>
        <w:t>Hammarstrom, J.M. et al., 2022, Focus areas for data acquisition for potential domestic resources of 11 critical minerals in the conterminous United States, Hawaii, and Puerto Rico—Aluminum, cobalt, graphite, lithium, niobium, platinum-group elements, rare earth elements, tantalum, tin, titanium, and tungsten: U.S. Geological Survey Open-File Report 2019-1023-B Version 1.1, doi:10.3133/ofr20191023B.</w:t>
      </w:r>
    </w:p>
    <w:p w14:paraId="53BF2D51" w14:textId="77777777" w:rsidR="006A5203" w:rsidRPr="00FA4EF4" w:rsidRDefault="006A5203" w:rsidP="00AA1C9B">
      <w:pPr>
        <w:pStyle w:val="Bibliography"/>
        <w:ind w:left="540" w:hanging="540"/>
        <w:rPr>
          <w:rFonts w:cs="Times New Roman"/>
        </w:rPr>
      </w:pPr>
      <w:r w:rsidRPr="00FA4EF4">
        <w:rPr>
          <w:rFonts w:cs="Times New Roman"/>
        </w:rPr>
        <w:t>Hibbard, J.P., Stoddard, E.F., Secor, D.T., and Dennis, A.J., 2002, The Carolina Zone: overview of Neoproterozoic to Early Paleozoic peri-Gondwanan terranes along the eastern Flank of the southern Appalachians: Earth-Science Reviews, v. 57, p. 299–339, doi:10.1016/S0012-8252(01)00079-4.</w:t>
      </w:r>
    </w:p>
    <w:p w14:paraId="70FDBCCA" w14:textId="749C7732" w:rsidR="000803CE" w:rsidRDefault="000803CE" w:rsidP="00AA1C9B">
      <w:pPr>
        <w:pStyle w:val="Bibliography"/>
        <w:ind w:left="540" w:hanging="540"/>
        <w:rPr>
          <w:rFonts w:cs="Times New Roman"/>
        </w:rPr>
      </w:pPr>
      <w:r w:rsidRPr="00FA4EF4">
        <w:rPr>
          <w:rFonts w:cs="Times New Roman"/>
        </w:rPr>
        <w:t>Hibbard, J.P., van Staal, C., Rankin, D., and Williams, H., 2006, Lithotectonic Map of the Appalachian Orogen (South), Canada-United States of America: Geological Survey of Canada Map 02096A.</w:t>
      </w:r>
    </w:p>
    <w:p w14:paraId="660E2214" w14:textId="77777777" w:rsidR="00DC0539" w:rsidRPr="00FA4EF4" w:rsidRDefault="00DC0539" w:rsidP="00AA1C9B">
      <w:pPr>
        <w:pStyle w:val="Bibliography"/>
        <w:ind w:left="540" w:hanging="540"/>
        <w:rPr>
          <w:rFonts w:cs="Times New Roman"/>
        </w:rPr>
      </w:pPr>
      <w:r w:rsidRPr="00FA4EF4">
        <w:rPr>
          <w:rFonts w:cs="Times New Roman"/>
        </w:rPr>
        <w:t xml:space="preserve">Hibbard, J.P., Pollock, J., and Bradley, P., 2013, One arc, two arcs, old , new arc: An overview of the Carolina terrane in central North Carolina, </w:t>
      </w:r>
      <w:r w:rsidRPr="00FA4EF4">
        <w:rPr>
          <w:rFonts w:cs="Times New Roman"/>
          <w:i/>
          <w:iCs/>
        </w:rPr>
        <w:t>in</w:t>
      </w:r>
      <w:r w:rsidRPr="00FA4EF4">
        <w:rPr>
          <w:rFonts w:cs="Times New Roman"/>
        </w:rPr>
        <w:t xml:space="preserve"> Hibbard, J.P. and Pollock, J. eds., One Arc, Two Arcs, Old Arc, New Arc, The Carolina Terrane in Central North Carolina, Salisbury, North Carolina, Carolina Geological Society Annual Meeting and Field Trip, p. 35–61.</w:t>
      </w:r>
    </w:p>
    <w:p w14:paraId="32F33246" w14:textId="77777777" w:rsidR="000803CE" w:rsidRPr="00FA4EF4" w:rsidRDefault="000803CE" w:rsidP="00AA1C9B">
      <w:pPr>
        <w:pStyle w:val="Bibliography"/>
        <w:ind w:left="540" w:hanging="540"/>
        <w:rPr>
          <w:rFonts w:cs="Times New Roman"/>
        </w:rPr>
      </w:pPr>
      <w:r w:rsidRPr="00FA4EF4">
        <w:rPr>
          <w:rFonts w:cs="Times New Roman"/>
        </w:rPr>
        <w:t>Hofstra, A.H. et al., 2021, Deposit Classification Scheme for the Critical Minerals Mapping Initiative Global Geochemical Database: U.S. Geological Survey Open-File Report Open-File Report 2021–1049.</w:t>
      </w:r>
    </w:p>
    <w:p w14:paraId="36DC847E" w14:textId="77777777" w:rsidR="000803CE" w:rsidRPr="00FA4EF4" w:rsidRDefault="000803CE" w:rsidP="00AA1C9B">
      <w:pPr>
        <w:pStyle w:val="Bibliography"/>
        <w:ind w:left="540" w:hanging="540"/>
        <w:rPr>
          <w:rFonts w:cs="Times New Roman"/>
        </w:rPr>
      </w:pPr>
      <w:r w:rsidRPr="00FA4EF4">
        <w:rPr>
          <w:rFonts w:cs="Times New Roman"/>
        </w:rPr>
        <w:t>Hofstra, A.H., and Kreiner, D.C., 2020, Mineral Resources Program Systems-Deposits-Commodities-Critical Minerals Table for the Earth Mapping Resources Initiative (ver. 1.1, May 2021): U.S. Geological Survey Open-File Report 2020–1042, p. 26.</w:t>
      </w:r>
    </w:p>
    <w:p w14:paraId="44D3A02D" w14:textId="77777777" w:rsidR="000803CE" w:rsidRPr="00FA4EF4" w:rsidRDefault="000803CE" w:rsidP="00AA1C9B">
      <w:pPr>
        <w:pStyle w:val="Bibliography"/>
        <w:ind w:left="540" w:hanging="540"/>
        <w:rPr>
          <w:rFonts w:cs="Times New Roman"/>
        </w:rPr>
      </w:pPr>
      <w:r w:rsidRPr="00FA4EF4">
        <w:rPr>
          <w:rFonts w:cs="Times New Roman"/>
        </w:rPr>
        <w:t>Horton, J.W., Jr., Peper, J.D., Burton, W.C., Weems, R.E., and Sacks, P.E., 2022, Geologic map of the South Boston 30’ × 60’ quadrangle, Virginia and North Carolina: U.S. Geological Survey Scientific Investigations Map 3483, doi:10.3133/sim3483.</w:t>
      </w:r>
    </w:p>
    <w:p w14:paraId="05B4C65A" w14:textId="77777777" w:rsidR="000803CE" w:rsidRPr="00FA4EF4" w:rsidRDefault="000803CE" w:rsidP="00AA1C9B">
      <w:pPr>
        <w:pStyle w:val="Bibliography"/>
        <w:ind w:left="540" w:hanging="540"/>
        <w:rPr>
          <w:rFonts w:cs="Times New Roman"/>
        </w:rPr>
      </w:pPr>
      <w:r w:rsidRPr="00FA4EF4">
        <w:rPr>
          <w:rFonts w:cs="Times New Roman"/>
        </w:rPr>
        <w:lastRenderedPageBreak/>
        <w:t>International Network for Acid Prevention, 2009, Global Acid Rock Drainage Guide: 473 p., http://www.gardguide.com (accessed May 2025).</w:t>
      </w:r>
    </w:p>
    <w:p w14:paraId="169E6121" w14:textId="304364F6" w:rsidR="00FD7064" w:rsidRDefault="007F0ED1" w:rsidP="00AA1C9B">
      <w:pPr>
        <w:pStyle w:val="Bibliography"/>
        <w:ind w:left="540" w:hanging="540"/>
        <w:rPr>
          <w:rFonts w:cs="Times New Roman"/>
        </w:rPr>
      </w:pPr>
      <w:r>
        <w:rPr>
          <w:rFonts w:cs="Times New Roman"/>
        </w:rPr>
        <w:t xml:space="preserve">LeHuray, A.P., </w:t>
      </w:r>
      <w:r w:rsidR="006A6B8E">
        <w:rPr>
          <w:rFonts w:cs="Times New Roman"/>
        </w:rPr>
        <w:t xml:space="preserve">1989, </w:t>
      </w:r>
      <w:r w:rsidRPr="007F0ED1">
        <w:rPr>
          <w:rFonts w:cs="Times New Roman"/>
        </w:rPr>
        <w:t>U-Pb and Th-Pb whole rock studies in the southern Appalachian Piedmont: Southeastern Geology</w:t>
      </w:r>
      <w:r w:rsidR="006A6B8E">
        <w:rPr>
          <w:rFonts w:cs="Times New Roman"/>
        </w:rPr>
        <w:t>: Southeastern Geology, v. 30, 77-94.</w:t>
      </w:r>
    </w:p>
    <w:p w14:paraId="032A22AC" w14:textId="6D5CA7CD" w:rsidR="000803CE" w:rsidRPr="00FA4EF4" w:rsidRDefault="000803CE" w:rsidP="00AA1C9B">
      <w:pPr>
        <w:pStyle w:val="Bibliography"/>
        <w:ind w:left="540" w:hanging="540"/>
        <w:rPr>
          <w:rFonts w:cs="Times New Roman"/>
        </w:rPr>
      </w:pPr>
      <w:r w:rsidRPr="00FA4EF4">
        <w:rPr>
          <w:rFonts w:cs="Times New Roman"/>
        </w:rPr>
        <w:t xml:space="preserve">Le Maitre, R.W., 1982, Chapter 4 - Linear Relationships Between Two Variables, </w:t>
      </w:r>
      <w:r w:rsidRPr="00FA4EF4">
        <w:rPr>
          <w:rFonts w:cs="Times New Roman"/>
          <w:i/>
          <w:iCs/>
        </w:rPr>
        <w:t>in</w:t>
      </w:r>
      <w:r w:rsidRPr="00FA4EF4">
        <w:rPr>
          <w:rFonts w:cs="Times New Roman"/>
        </w:rPr>
        <w:t xml:space="preserve"> LE MAITRE, R.W.B.T.-D. in P. ed., Numerical Petrology, Elsevier, v. 8, p. 39–57, doi:https://doi.org/10.1016/B978-0-444-42098-5.50008-0.</w:t>
      </w:r>
    </w:p>
    <w:p w14:paraId="0280C7E7" w14:textId="77777777" w:rsidR="000803CE" w:rsidRPr="00FA4EF4" w:rsidRDefault="000803CE" w:rsidP="00AA1C9B">
      <w:pPr>
        <w:pStyle w:val="Bibliography"/>
        <w:ind w:left="540" w:hanging="540"/>
        <w:rPr>
          <w:rFonts w:cs="Times New Roman"/>
        </w:rPr>
      </w:pPr>
      <w:r w:rsidRPr="00FA4EF4">
        <w:rPr>
          <w:rFonts w:cs="Times New Roman"/>
        </w:rPr>
        <w:t>Meyertons, R., 1975, A Preliminary Estimate of Tungsten Content of Tungsten Queen Tailing for Ranchers Exploration &amp; Development Corporation:, 1–11 p.</w:t>
      </w:r>
    </w:p>
    <w:p w14:paraId="21818ADD" w14:textId="77777777" w:rsidR="000803CE" w:rsidRPr="00FA4EF4" w:rsidRDefault="000803CE" w:rsidP="00AA1C9B">
      <w:pPr>
        <w:pStyle w:val="Bibliography"/>
        <w:ind w:left="540" w:hanging="540"/>
        <w:rPr>
          <w:rFonts w:cs="Times New Roman"/>
        </w:rPr>
      </w:pPr>
      <w:r w:rsidRPr="00FA4EF4">
        <w:rPr>
          <w:rFonts w:cs="Times New Roman"/>
        </w:rPr>
        <w:t xml:space="preserve">Mueller, P., Kozuch, M., Heatherington, A., Wooden, J., Offield, T, Koeppen, R., Klein, T., and Nutman, A., 1996, Evidence for Mesoproterozoic basement in the Carolina terrane and speculation on its origins, </w:t>
      </w:r>
      <w:r w:rsidRPr="00FA4EF4">
        <w:rPr>
          <w:rFonts w:cs="Times New Roman"/>
          <w:i/>
          <w:iCs/>
        </w:rPr>
        <w:t>in</w:t>
      </w:r>
      <w:r w:rsidRPr="00FA4EF4">
        <w:rPr>
          <w:rFonts w:cs="Times New Roman"/>
        </w:rPr>
        <w:t xml:space="preserve"> Nance, D. and Thompson, M. eds., Avalonian and Related Peri-Gondwanan Terranes of the Circum-North Atlantica, Geological Society of America Special Paper 304, p. 207–217.</w:t>
      </w:r>
    </w:p>
    <w:p w14:paraId="01B915A1" w14:textId="77777777" w:rsidR="000803CE" w:rsidRPr="00FA4EF4" w:rsidRDefault="000803CE" w:rsidP="00AA1C9B">
      <w:pPr>
        <w:pStyle w:val="Bibliography"/>
        <w:ind w:left="540" w:hanging="540"/>
        <w:rPr>
          <w:rFonts w:cs="Times New Roman"/>
        </w:rPr>
      </w:pPr>
      <w:r w:rsidRPr="00FA4EF4">
        <w:rPr>
          <w:rFonts w:cs="Times New Roman"/>
        </w:rPr>
        <w:t>Nassar, N.T., Shojaeddini, E., Alonso, E., Jaskula, B., and Tolcin, A., 2024, Quantifying potential effects of China’s gallium and germanium export restrictions on the U.S. economy: U.S. Geological Survey Open-File Report 2024–1057, doi:10.3133/ofr20241057.</w:t>
      </w:r>
    </w:p>
    <w:p w14:paraId="347F690D" w14:textId="77777777" w:rsidR="000803CE" w:rsidRPr="00FA4EF4" w:rsidRDefault="000803CE" w:rsidP="00AA1C9B">
      <w:pPr>
        <w:pStyle w:val="Bibliography"/>
        <w:ind w:left="540" w:hanging="540"/>
        <w:rPr>
          <w:rFonts w:cs="Times New Roman"/>
        </w:rPr>
      </w:pPr>
      <w:r w:rsidRPr="00FA4EF4">
        <w:rPr>
          <w:rFonts w:cs="Times New Roman"/>
        </w:rPr>
        <w:t>North Carolina Department of Natural and Cultural Resources, 2023, Tungsten Queen (G-139):, https://www.dncr.nc.gov/blog/2023/12/20/tungsten-queen-g-139#:~:text=Haile%20expanded%20the%20Vance%20County,Exploration%20Company%20acquired%20the%20property (accessed May 2025).</w:t>
      </w:r>
    </w:p>
    <w:p w14:paraId="16EDEDF8" w14:textId="77777777" w:rsidR="000803CE" w:rsidRPr="00FA4EF4" w:rsidRDefault="000803CE" w:rsidP="00AA1C9B">
      <w:pPr>
        <w:pStyle w:val="Bibliography"/>
        <w:ind w:left="540" w:hanging="540"/>
        <w:rPr>
          <w:rFonts w:cs="Times New Roman"/>
        </w:rPr>
      </w:pPr>
      <w:r w:rsidRPr="00FA4EF4">
        <w:rPr>
          <w:rFonts w:cs="Times New Roman"/>
        </w:rPr>
        <w:t>Parker, J.M., 1963, Geologic Setting of the Hamme Tungsten District, North Carolina and Virginia: U.S. Geological Survey Bulletin 1122-G, 1–66 p., doi:10.3133/b1122G.</w:t>
      </w:r>
    </w:p>
    <w:p w14:paraId="40CF1032" w14:textId="77777777" w:rsidR="000803CE" w:rsidRPr="00FA4EF4" w:rsidRDefault="000803CE" w:rsidP="00AA1C9B">
      <w:pPr>
        <w:pStyle w:val="Bibliography"/>
        <w:ind w:left="540" w:hanging="540"/>
        <w:rPr>
          <w:rFonts w:cs="Times New Roman"/>
        </w:rPr>
      </w:pPr>
      <w:r w:rsidRPr="00FA4EF4">
        <w:rPr>
          <w:rFonts w:cs="Times New Roman"/>
        </w:rPr>
        <w:t>Parker, J.C., Reid, J.C., and Chaumba, J.B., 2015, Hamme (Tungsten Queen) Mine Tailings, Vance County, North Carolina: Mineral Chemistry of Potentially Recoverable Huebernite-Wolframite and Sulfide Minerals: Geological Society of America Abstracts with Programs, v. 47, p. 6.</w:t>
      </w:r>
    </w:p>
    <w:p w14:paraId="62AD247B" w14:textId="77777777" w:rsidR="000803CE" w:rsidRPr="00FA4EF4" w:rsidRDefault="000803CE" w:rsidP="00AA1C9B">
      <w:pPr>
        <w:pStyle w:val="Bibliography"/>
        <w:ind w:left="540" w:hanging="540"/>
        <w:rPr>
          <w:rFonts w:cs="Times New Roman"/>
        </w:rPr>
      </w:pPr>
      <w:r w:rsidRPr="00FA4EF4">
        <w:rPr>
          <w:rFonts w:cs="Times New Roman"/>
        </w:rPr>
        <w:t>Pawlowsky-Glahn, V., Egozcue, J.J., and Tolosana-Delgado, R., 2015, Modeling and Analysis of Compositional Data: 1–247 p., doi:10.1002/9781119003144.</w:t>
      </w:r>
    </w:p>
    <w:p w14:paraId="275D661E" w14:textId="77777777" w:rsidR="000803CE" w:rsidRPr="00FA4EF4" w:rsidRDefault="000803CE" w:rsidP="00AA1C9B">
      <w:pPr>
        <w:pStyle w:val="Bibliography"/>
        <w:ind w:left="540" w:hanging="540"/>
        <w:rPr>
          <w:rFonts w:cs="Times New Roman"/>
        </w:rPr>
      </w:pPr>
      <w:r w:rsidRPr="00FA4EF4">
        <w:rPr>
          <w:rFonts w:cs="Times New Roman"/>
        </w:rPr>
        <w:t>R Core Team, 2022, R: A Language and Environment for Statistical Computing: Vienna, R Foundation for Statistical Computing.</w:t>
      </w:r>
    </w:p>
    <w:p w14:paraId="452341CC" w14:textId="77777777" w:rsidR="000803CE" w:rsidRPr="00FA4EF4" w:rsidRDefault="000803CE" w:rsidP="00AA1C9B">
      <w:pPr>
        <w:pStyle w:val="Bibliography"/>
        <w:ind w:left="540" w:hanging="540"/>
        <w:rPr>
          <w:rFonts w:cs="Times New Roman"/>
        </w:rPr>
      </w:pPr>
      <w:r w:rsidRPr="00FA4EF4">
        <w:rPr>
          <w:rFonts w:cs="Times New Roman"/>
        </w:rPr>
        <w:t>Reid, J.C., Taylor, K.B., Mensah-Biney, R., Simms, J., and Akbari, H., 2017, Tungsten Queen Mine Tailings Evaluation, Vance Co., NC: A Potential Silica Resource: North Carolina Geological Survey Open-file report, v. 2017–01, p. 1.</w:t>
      </w:r>
    </w:p>
    <w:p w14:paraId="74A01216" w14:textId="77777777" w:rsidR="000803CE" w:rsidRPr="00FA4EF4" w:rsidRDefault="000803CE" w:rsidP="00AA1C9B">
      <w:pPr>
        <w:pStyle w:val="Bibliography"/>
        <w:ind w:left="540" w:hanging="540"/>
        <w:rPr>
          <w:rFonts w:cs="Times New Roman"/>
        </w:rPr>
      </w:pPr>
      <w:r w:rsidRPr="00FA4EF4">
        <w:rPr>
          <w:rFonts w:cs="Times New Roman"/>
        </w:rPr>
        <w:t>Secor, D.T., Samson, S.L., Snoke, A.W., and Palmer, A.R., 1983, Confirmation of the Carolina Slate Belt as an Exotic Terrane: Science, v. 221, p. 649–651, doi:10.1126/science.221.4611.649.</w:t>
      </w:r>
    </w:p>
    <w:p w14:paraId="3BE2D42C" w14:textId="77777777" w:rsidR="000803CE" w:rsidRPr="00FA4EF4" w:rsidRDefault="000803CE" w:rsidP="00AA1C9B">
      <w:pPr>
        <w:pStyle w:val="Bibliography"/>
        <w:ind w:left="540" w:hanging="540"/>
        <w:rPr>
          <w:rFonts w:cs="Times New Roman"/>
        </w:rPr>
      </w:pPr>
      <w:r w:rsidRPr="00FA4EF4">
        <w:rPr>
          <w:rFonts w:cs="Times New Roman"/>
        </w:rPr>
        <w:t>Skousen, J., Simmons, J., and Ziemkiewicz, P., 2001, The Use of Acid-Base Accounting to Predict Post-mining Drainage Quality On West Virginia Surface Mines: Reclamation Sciences, v. 1, doi:10.21000/JASMR01010437.</w:t>
      </w:r>
    </w:p>
    <w:p w14:paraId="07F27155" w14:textId="77777777" w:rsidR="000803CE" w:rsidRPr="00FA4EF4" w:rsidRDefault="000803CE" w:rsidP="00AA1C9B">
      <w:pPr>
        <w:pStyle w:val="Bibliography"/>
        <w:ind w:left="540" w:hanging="540"/>
        <w:rPr>
          <w:rFonts w:cs="Times New Roman"/>
        </w:rPr>
      </w:pPr>
      <w:r w:rsidRPr="00FA4EF4">
        <w:rPr>
          <w:rFonts w:cs="Times New Roman"/>
        </w:rPr>
        <w:t>U.S. Army Corps of Engineers, 2017, Draft Environmental Assessment Use of Borrow Areas for Island Creek Dam Repair John H. Kerr Dam and Reservoir, Mecklenburg County, Virginia:, 1–22 p.</w:t>
      </w:r>
    </w:p>
    <w:p w14:paraId="7AF27915" w14:textId="77777777" w:rsidR="000803CE" w:rsidRPr="00FA4EF4" w:rsidRDefault="000803CE" w:rsidP="00AA1C9B">
      <w:pPr>
        <w:pStyle w:val="Bibliography"/>
        <w:ind w:left="540" w:hanging="540"/>
        <w:rPr>
          <w:rFonts w:cs="Times New Roman"/>
        </w:rPr>
      </w:pPr>
      <w:r w:rsidRPr="00FA4EF4">
        <w:rPr>
          <w:rFonts w:cs="Times New Roman"/>
        </w:rPr>
        <w:t>U.S. Department of Interior Bureau of Mines, 1944, War Minerals Report: Regional File No. E-453-A, 1–67 p.</w:t>
      </w:r>
    </w:p>
    <w:p w14:paraId="431C051A" w14:textId="77777777" w:rsidR="000803CE" w:rsidRPr="00FA4EF4" w:rsidRDefault="000803CE" w:rsidP="00AA1C9B">
      <w:pPr>
        <w:pStyle w:val="Bibliography"/>
        <w:ind w:left="540" w:hanging="540"/>
        <w:rPr>
          <w:rFonts w:cs="Times New Roman"/>
        </w:rPr>
      </w:pPr>
      <w:r w:rsidRPr="00FA4EF4">
        <w:rPr>
          <w:rFonts w:cs="Times New Roman"/>
        </w:rPr>
        <w:lastRenderedPageBreak/>
        <w:t>U.S. Environmental Protection Agency, 1994, Acid Mine Drainage Prediction: U.S. Environmental Protection Agency Special Waste Branch Technical Document EPA 530-R-94-036, 48 p., https://www.epa.gov/sites/default/files/2015-09/documents/amd.pdf (accessed June 2025).</w:t>
      </w:r>
    </w:p>
    <w:p w14:paraId="24FC94A2" w14:textId="77777777" w:rsidR="000803CE" w:rsidRPr="00FA4EF4" w:rsidRDefault="000803CE" w:rsidP="00AA1C9B">
      <w:pPr>
        <w:pStyle w:val="Bibliography"/>
        <w:ind w:left="540" w:hanging="540"/>
        <w:rPr>
          <w:rFonts w:cs="Times New Roman"/>
        </w:rPr>
      </w:pPr>
      <w:r w:rsidRPr="00FA4EF4">
        <w:rPr>
          <w:rFonts w:cs="Times New Roman"/>
        </w:rPr>
        <w:t>U.S. Geological Survey, 2022, 2022 Final List of Critical Minerals:, https://d9-wret.s3.us-west-2.amazonaws.com/assets/palladium/production/s3fs-public/media/files/2022%20Final%20List%20of%20Critical%20Minerals%20Federal%20Register%20Notice_2222022-F.pdf (accessed April 2024).</w:t>
      </w:r>
    </w:p>
    <w:p w14:paraId="08DECAB2" w14:textId="77777777" w:rsidR="000803CE" w:rsidRPr="00FA4EF4" w:rsidRDefault="000803CE" w:rsidP="00AA1C9B">
      <w:pPr>
        <w:pStyle w:val="Bibliography"/>
        <w:ind w:left="540" w:hanging="540"/>
        <w:rPr>
          <w:rFonts w:cs="Times New Roman"/>
        </w:rPr>
      </w:pPr>
      <w:r w:rsidRPr="00FA4EF4">
        <w:rPr>
          <w:rFonts w:cs="Times New Roman"/>
        </w:rPr>
        <w:t>U.S. Geological Survey, 2023, USGS protocols for sampling mine waste in support of Earth MRI:</w:t>
      </w:r>
    </w:p>
    <w:p w14:paraId="6612B8D9" w14:textId="77777777" w:rsidR="000803CE" w:rsidRPr="00FA4EF4" w:rsidRDefault="000803CE" w:rsidP="00AA1C9B">
      <w:pPr>
        <w:pStyle w:val="Bibliography"/>
        <w:ind w:left="540" w:hanging="540"/>
        <w:rPr>
          <w:rFonts w:cs="Times New Roman"/>
        </w:rPr>
      </w:pPr>
      <w:r w:rsidRPr="00FA4EF4">
        <w:rPr>
          <w:rFonts w:cs="Times New Roman"/>
        </w:rPr>
        <w:t>White, W.A., 1943, Tungsten Deposit Near Townsville, North Carolina (Advance Report): North Carolina Department of Conservation and Development Division of Mineral Resources Mineral Investigation I.</w:t>
      </w:r>
    </w:p>
    <w:p w14:paraId="774A40C9" w14:textId="77777777" w:rsidR="000803CE" w:rsidRPr="00FA4EF4" w:rsidRDefault="000803CE" w:rsidP="00AA1C9B">
      <w:pPr>
        <w:pStyle w:val="Bibliography"/>
        <w:ind w:left="540" w:hanging="540"/>
        <w:rPr>
          <w:rFonts w:cs="Times New Roman"/>
        </w:rPr>
      </w:pPr>
      <w:r w:rsidRPr="00FA4EF4">
        <w:rPr>
          <w:rFonts w:cs="Times New Roman"/>
        </w:rPr>
        <w:t>Wortman, G.L., Sampson, S.D., and Hibbard, J.P., 2000, Precise U-Pb zircon constraints on the earliest magmatic history of the Carolina terrane: Journal of Geology, v. 108, p. 321–338.</w:t>
      </w:r>
    </w:p>
    <w:p w14:paraId="16918DF1" w14:textId="025BD848" w:rsidR="00D768D2" w:rsidRPr="00FA4EF4" w:rsidRDefault="00122809" w:rsidP="00AA1C9B">
      <w:pPr>
        <w:ind w:left="540" w:hanging="540"/>
        <w:rPr>
          <w:rFonts w:eastAsia="Aptos" w:cs="Times New Roman"/>
        </w:rPr>
      </w:pPr>
      <w:r w:rsidRPr="00FA4EF4">
        <w:rPr>
          <w:rFonts w:eastAsia="Aptos" w:cs="Times New Roman"/>
          <w:szCs w:val="24"/>
          <w:u w:val="single"/>
        </w:rPr>
        <w:fldChar w:fldCharType="end"/>
      </w:r>
    </w:p>
    <w:p w14:paraId="2B01669B" w14:textId="77777777" w:rsidR="00B7003F" w:rsidRPr="00FA4EF4" w:rsidRDefault="00B7003F" w:rsidP="002C492A">
      <w:pPr>
        <w:ind w:hanging="720"/>
        <w:rPr>
          <w:rFonts w:cs="Times New Roman"/>
          <w:color w:val="000000"/>
        </w:rPr>
      </w:pPr>
    </w:p>
    <w:p w14:paraId="19786899" w14:textId="77777777" w:rsidR="00C05AF6" w:rsidRDefault="00C05AF6" w:rsidP="002C492A">
      <w:pPr>
        <w:ind w:hanging="720"/>
        <w:rPr>
          <w:rFonts w:cs="Times New Roman"/>
          <w:color w:val="000000"/>
        </w:rPr>
      </w:pPr>
    </w:p>
    <w:p w14:paraId="0537D414" w14:textId="77777777" w:rsidR="00AA1C9B" w:rsidRDefault="00AA1C9B" w:rsidP="002C492A">
      <w:pPr>
        <w:ind w:hanging="720"/>
        <w:rPr>
          <w:rFonts w:cs="Times New Roman"/>
          <w:color w:val="000000"/>
        </w:rPr>
      </w:pPr>
    </w:p>
    <w:p w14:paraId="408889DC" w14:textId="77777777" w:rsidR="00AA1C9B" w:rsidRDefault="00AA1C9B" w:rsidP="002C492A">
      <w:pPr>
        <w:ind w:hanging="720"/>
        <w:rPr>
          <w:rFonts w:cs="Times New Roman"/>
          <w:color w:val="000000"/>
        </w:rPr>
      </w:pPr>
    </w:p>
    <w:p w14:paraId="76EB6B7C" w14:textId="77777777" w:rsidR="00AA1C9B" w:rsidRDefault="00AA1C9B" w:rsidP="002C492A">
      <w:pPr>
        <w:ind w:hanging="720"/>
        <w:rPr>
          <w:rFonts w:cs="Times New Roman"/>
          <w:color w:val="000000"/>
        </w:rPr>
      </w:pPr>
    </w:p>
    <w:p w14:paraId="246750E6" w14:textId="77777777" w:rsidR="00AA1C9B" w:rsidRDefault="00AA1C9B" w:rsidP="002C492A">
      <w:pPr>
        <w:ind w:hanging="720"/>
        <w:rPr>
          <w:rFonts w:cs="Times New Roman"/>
          <w:color w:val="000000"/>
        </w:rPr>
      </w:pPr>
    </w:p>
    <w:p w14:paraId="075E8C78" w14:textId="77777777" w:rsidR="00AA1C9B" w:rsidRDefault="00AA1C9B" w:rsidP="002C492A">
      <w:pPr>
        <w:ind w:hanging="720"/>
        <w:rPr>
          <w:rFonts w:cs="Times New Roman"/>
          <w:color w:val="000000"/>
        </w:rPr>
      </w:pPr>
    </w:p>
    <w:p w14:paraId="0E3CDDE9" w14:textId="77777777" w:rsidR="00AA1C9B" w:rsidRDefault="00AA1C9B" w:rsidP="002C492A">
      <w:pPr>
        <w:ind w:hanging="720"/>
        <w:rPr>
          <w:rFonts w:cs="Times New Roman"/>
          <w:color w:val="000000"/>
        </w:rPr>
      </w:pPr>
    </w:p>
    <w:p w14:paraId="101FDB45" w14:textId="77777777" w:rsidR="00AA1C9B" w:rsidRDefault="00AA1C9B" w:rsidP="002C492A">
      <w:pPr>
        <w:ind w:hanging="720"/>
        <w:rPr>
          <w:rFonts w:cs="Times New Roman"/>
          <w:color w:val="000000"/>
        </w:rPr>
      </w:pPr>
    </w:p>
    <w:p w14:paraId="6FEDA3D5" w14:textId="77777777" w:rsidR="00AA1C9B" w:rsidRDefault="00AA1C9B" w:rsidP="002C492A">
      <w:pPr>
        <w:ind w:hanging="720"/>
        <w:rPr>
          <w:rFonts w:cs="Times New Roman"/>
          <w:color w:val="000000"/>
        </w:rPr>
      </w:pPr>
    </w:p>
    <w:p w14:paraId="1093D5E2" w14:textId="77777777" w:rsidR="00AA1C9B" w:rsidRDefault="00AA1C9B" w:rsidP="002C492A">
      <w:pPr>
        <w:ind w:hanging="720"/>
        <w:rPr>
          <w:rFonts w:cs="Times New Roman"/>
          <w:color w:val="000000"/>
        </w:rPr>
      </w:pPr>
    </w:p>
    <w:p w14:paraId="78BE7FBC" w14:textId="77777777" w:rsidR="00AA1C9B" w:rsidRDefault="00AA1C9B" w:rsidP="002C492A">
      <w:pPr>
        <w:ind w:hanging="720"/>
        <w:rPr>
          <w:rFonts w:cs="Times New Roman"/>
          <w:color w:val="000000"/>
        </w:rPr>
      </w:pPr>
    </w:p>
    <w:p w14:paraId="478D17B3" w14:textId="77777777" w:rsidR="00AA1C9B" w:rsidRDefault="00AA1C9B" w:rsidP="002C492A">
      <w:pPr>
        <w:ind w:hanging="720"/>
        <w:rPr>
          <w:rFonts w:cs="Times New Roman"/>
          <w:color w:val="000000"/>
        </w:rPr>
      </w:pPr>
    </w:p>
    <w:p w14:paraId="5B6ED201" w14:textId="77777777" w:rsidR="00AA1C9B" w:rsidRDefault="00AA1C9B" w:rsidP="002C492A">
      <w:pPr>
        <w:ind w:hanging="720"/>
        <w:rPr>
          <w:rFonts w:cs="Times New Roman"/>
          <w:color w:val="000000"/>
        </w:rPr>
      </w:pPr>
    </w:p>
    <w:p w14:paraId="24F768C8" w14:textId="77777777" w:rsidR="00AA1C9B" w:rsidRDefault="00AA1C9B" w:rsidP="002C492A">
      <w:pPr>
        <w:ind w:hanging="720"/>
        <w:rPr>
          <w:rFonts w:cs="Times New Roman"/>
          <w:color w:val="000000"/>
        </w:rPr>
      </w:pPr>
    </w:p>
    <w:p w14:paraId="17DD8E9A" w14:textId="77777777" w:rsidR="00AA1C9B" w:rsidRDefault="00AA1C9B" w:rsidP="002C492A">
      <w:pPr>
        <w:ind w:hanging="720"/>
        <w:rPr>
          <w:rFonts w:cs="Times New Roman"/>
          <w:color w:val="000000"/>
        </w:rPr>
      </w:pPr>
    </w:p>
    <w:p w14:paraId="06C7318A" w14:textId="77777777" w:rsidR="00AA1C9B" w:rsidRDefault="00AA1C9B" w:rsidP="002C492A">
      <w:pPr>
        <w:ind w:hanging="720"/>
        <w:rPr>
          <w:rFonts w:cs="Times New Roman"/>
          <w:color w:val="000000"/>
        </w:rPr>
      </w:pPr>
    </w:p>
    <w:p w14:paraId="5D1CF2BF" w14:textId="77777777" w:rsidR="00AA1C9B" w:rsidRDefault="00AA1C9B" w:rsidP="002C492A">
      <w:pPr>
        <w:ind w:hanging="720"/>
        <w:rPr>
          <w:rFonts w:cs="Times New Roman"/>
          <w:color w:val="000000"/>
        </w:rPr>
      </w:pPr>
    </w:p>
    <w:p w14:paraId="29C85683" w14:textId="77777777" w:rsidR="00AA1C9B" w:rsidRDefault="00AA1C9B" w:rsidP="002C492A">
      <w:pPr>
        <w:ind w:hanging="720"/>
        <w:rPr>
          <w:rFonts w:cs="Times New Roman"/>
          <w:color w:val="000000"/>
        </w:rPr>
      </w:pPr>
    </w:p>
    <w:p w14:paraId="23F350CE" w14:textId="77777777" w:rsidR="00AA1C9B" w:rsidRDefault="00AA1C9B" w:rsidP="002C492A">
      <w:pPr>
        <w:ind w:hanging="720"/>
        <w:rPr>
          <w:rFonts w:cs="Times New Roman"/>
          <w:color w:val="000000"/>
        </w:rPr>
      </w:pPr>
    </w:p>
    <w:p w14:paraId="7FA3F25B" w14:textId="77777777" w:rsidR="00AA1C9B" w:rsidRDefault="00AA1C9B" w:rsidP="002C492A">
      <w:pPr>
        <w:ind w:hanging="720"/>
        <w:rPr>
          <w:rFonts w:cs="Times New Roman"/>
          <w:color w:val="000000"/>
        </w:rPr>
      </w:pPr>
    </w:p>
    <w:p w14:paraId="39AC1A64" w14:textId="77777777" w:rsidR="00AA1C9B" w:rsidRDefault="00AA1C9B" w:rsidP="002C492A">
      <w:pPr>
        <w:ind w:hanging="720"/>
        <w:rPr>
          <w:rFonts w:cs="Times New Roman"/>
          <w:color w:val="000000"/>
        </w:rPr>
      </w:pPr>
    </w:p>
    <w:p w14:paraId="53F003A9" w14:textId="77777777" w:rsidR="00AA1C9B" w:rsidRDefault="00AA1C9B" w:rsidP="002C492A">
      <w:pPr>
        <w:ind w:hanging="720"/>
        <w:rPr>
          <w:rFonts w:cs="Times New Roman"/>
          <w:color w:val="000000"/>
        </w:rPr>
      </w:pPr>
    </w:p>
    <w:p w14:paraId="7D08B866" w14:textId="77777777" w:rsidR="00AA1C9B" w:rsidRDefault="00AA1C9B" w:rsidP="002C492A">
      <w:pPr>
        <w:ind w:hanging="720"/>
        <w:rPr>
          <w:rFonts w:cs="Times New Roman"/>
          <w:color w:val="000000"/>
        </w:rPr>
      </w:pPr>
    </w:p>
    <w:p w14:paraId="0C22C472" w14:textId="77777777" w:rsidR="00AA1C9B" w:rsidRDefault="00AA1C9B" w:rsidP="002C492A">
      <w:pPr>
        <w:ind w:hanging="720"/>
        <w:rPr>
          <w:rFonts w:cs="Times New Roman"/>
          <w:color w:val="000000"/>
        </w:rPr>
      </w:pPr>
    </w:p>
    <w:p w14:paraId="51260C2D" w14:textId="77777777" w:rsidR="00AA1C9B" w:rsidRDefault="00AA1C9B" w:rsidP="002C492A">
      <w:pPr>
        <w:ind w:hanging="720"/>
        <w:rPr>
          <w:rFonts w:cs="Times New Roman"/>
          <w:color w:val="000000"/>
        </w:rPr>
      </w:pPr>
    </w:p>
    <w:p w14:paraId="3D58A301" w14:textId="77777777" w:rsidR="00AA1C9B" w:rsidRDefault="00AA1C9B" w:rsidP="002C492A">
      <w:pPr>
        <w:ind w:hanging="720"/>
        <w:rPr>
          <w:rFonts w:cs="Times New Roman"/>
          <w:color w:val="000000"/>
        </w:rPr>
      </w:pPr>
    </w:p>
    <w:p w14:paraId="72D9C4CB" w14:textId="77777777" w:rsidR="000E135F" w:rsidRDefault="000E135F" w:rsidP="002C492A">
      <w:pPr>
        <w:ind w:hanging="720"/>
        <w:rPr>
          <w:rFonts w:cs="Times New Roman"/>
          <w:color w:val="000000"/>
        </w:rPr>
      </w:pPr>
    </w:p>
    <w:p w14:paraId="33131C1F" w14:textId="77777777" w:rsidR="00AA1C9B" w:rsidRDefault="00AA1C9B" w:rsidP="002C492A">
      <w:pPr>
        <w:ind w:hanging="720"/>
        <w:rPr>
          <w:rFonts w:cs="Times New Roman"/>
          <w:color w:val="000000"/>
        </w:rPr>
      </w:pPr>
    </w:p>
    <w:p w14:paraId="4BC0AD40" w14:textId="5E027B93" w:rsidR="00560DE1" w:rsidRPr="00AA1C9B" w:rsidRDefault="00AA1C9B" w:rsidP="00AA1C9B">
      <w:pPr>
        <w:pStyle w:val="Heading1"/>
      </w:pPr>
      <w:bookmarkStart w:id="18" w:name="_Toc222230022"/>
      <w:r w:rsidRPr="00AA1C9B">
        <w:lastRenderedPageBreak/>
        <w:t xml:space="preserve">8. </w:t>
      </w:r>
      <w:r w:rsidR="00715839" w:rsidRPr="00AA1C9B">
        <w:t>A</w:t>
      </w:r>
      <w:r w:rsidR="00674F69" w:rsidRPr="00AA1C9B">
        <w:t>ppendices</w:t>
      </w:r>
      <w:bookmarkEnd w:id="18"/>
    </w:p>
    <w:p w14:paraId="2269343B" w14:textId="77777777" w:rsidR="003C518A" w:rsidRDefault="003C518A" w:rsidP="00AA1C9B">
      <w:pPr>
        <w:ind w:firstLine="0"/>
        <w:rPr>
          <w:rFonts w:cs="Times New Roman"/>
          <w:color w:val="000000"/>
          <w:szCs w:val="24"/>
        </w:rPr>
      </w:pPr>
    </w:p>
    <w:p w14:paraId="70887E2C" w14:textId="48CDBBBC" w:rsidR="003C518A" w:rsidRPr="003C518A" w:rsidRDefault="003C518A" w:rsidP="00AA1C9B">
      <w:pPr>
        <w:ind w:firstLine="0"/>
        <w:rPr>
          <w:rFonts w:cs="Times New Roman"/>
          <w:color w:val="000000"/>
          <w:szCs w:val="24"/>
        </w:rPr>
      </w:pPr>
      <w:r w:rsidRPr="003C518A">
        <w:rPr>
          <w:rFonts w:cs="Times New Roman"/>
          <w:color w:val="000000"/>
          <w:szCs w:val="24"/>
        </w:rPr>
        <w:t>Note:</w:t>
      </w:r>
      <w:r>
        <w:rPr>
          <w:rFonts w:cs="Times New Roman"/>
          <w:color w:val="000000"/>
          <w:szCs w:val="24"/>
        </w:rPr>
        <w:t xml:space="preserve"> Appendices can be downloaded from </w:t>
      </w:r>
      <w:r w:rsidRPr="007345D2">
        <w:rPr>
          <w:rFonts w:cs="Times New Roman"/>
          <w:color w:val="000000"/>
          <w:szCs w:val="24"/>
        </w:rPr>
        <w:t>the North Carolina Geological Survey</w:t>
      </w:r>
      <w:r>
        <w:rPr>
          <w:rFonts w:cs="Times New Roman"/>
          <w:color w:val="000000"/>
          <w:szCs w:val="24"/>
        </w:rPr>
        <w:t xml:space="preserve"> website.</w:t>
      </w:r>
    </w:p>
    <w:p w14:paraId="22797B6E" w14:textId="77777777" w:rsidR="003C518A" w:rsidRDefault="003C518A" w:rsidP="00AA1C9B">
      <w:pPr>
        <w:ind w:firstLine="0"/>
        <w:rPr>
          <w:rFonts w:cs="Times New Roman"/>
          <w:i/>
          <w:iCs/>
          <w:color w:val="000000"/>
          <w:szCs w:val="24"/>
        </w:rPr>
      </w:pPr>
    </w:p>
    <w:p w14:paraId="1F92A48C" w14:textId="39057C2C" w:rsidR="00C05AF6" w:rsidRPr="00AA1C9B" w:rsidRDefault="00390C26" w:rsidP="00AA1C9B">
      <w:pPr>
        <w:ind w:firstLine="0"/>
        <w:rPr>
          <w:rFonts w:cs="Times New Roman"/>
          <w:i/>
          <w:iCs/>
          <w:color w:val="000000"/>
          <w:szCs w:val="24"/>
        </w:rPr>
      </w:pPr>
      <w:r w:rsidRPr="00AA1C9B">
        <w:rPr>
          <w:rFonts w:cs="Times New Roman"/>
          <w:i/>
          <w:iCs/>
          <w:color w:val="000000"/>
          <w:szCs w:val="24"/>
        </w:rPr>
        <w:t>Appendix 1</w:t>
      </w:r>
    </w:p>
    <w:p w14:paraId="7503FDF0" w14:textId="10E74E21" w:rsidR="00C05AF6" w:rsidRPr="007345D2" w:rsidRDefault="00C24386" w:rsidP="00AA1C9B">
      <w:pPr>
        <w:ind w:firstLine="0"/>
        <w:rPr>
          <w:rFonts w:cs="Times New Roman"/>
          <w:color w:val="000000"/>
          <w:szCs w:val="24"/>
        </w:rPr>
      </w:pPr>
      <w:r>
        <w:rPr>
          <w:rFonts w:cs="Times New Roman"/>
          <w:color w:val="000000"/>
          <w:szCs w:val="24"/>
        </w:rPr>
        <w:t>Tungsten Queen Field Sheets</w:t>
      </w:r>
    </w:p>
    <w:p w14:paraId="5F49AFF2" w14:textId="77777777" w:rsidR="00C05AF6" w:rsidRPr="007345D2" w:rsidRDefault="00C05AF6" w:rsidP="00AA1C9B">
      <w:pPr>
        <w:ind w:firstLine="0"/>
        <w:rPr>
          <w:rFonts w:cs="Times New Roman"/>
          <w:color w:val="000000"/>
          <w:szCs w:val="24"/>
        </w:rPr>
      </w:pPr>
    </w:p>
    <w:p w14:paraId="25257B95" w14:textId="06C8C05F" w:rsidR="00C266CA" w:rsidRPr="00AA1C9B" w:rsidRDefault="00390C26" w:rsidP="00AA1C9B">
      <w:pPr>
        <w:ind w:firstLine="0"/>
        <w:rPr>
          <w:rFonts w:cs="Times New Roman"/>
          <w:i/>
          <w:iCs/>
          <w:color w:val="000000"/>
          <w:szCs w:val="24"/>
        </w:rPr>
      </w:pPr>
      <w:r w:rsidRPr="00AA1C9B">
        <w:rPr>
          <w:rFonts w:cs="Times New Roman"/>
          <w:i/>
          <w:iCs/>
          <w:color w:val="000000"/>
          <w:szCs w:val="24"/>
        </w:rPr>
        <w:t>Appendix 2</w:t>
      </w:r>
    </w:p>
    <w:p w14:paraId="5A77E5FC" w14:textId="3125C445" w:rsidR="00C266CA" w:rsidRPr="007345D2" w:rsidRDefault="00631D7E" w:rsidP="00AA1C9B">
      <w:pPr>
        <w:ind w:firstLine="0"/>
        <w:rPr>
          <w:rFonts w:cs="Times New Roman"/>
          <w:color w:val="00B050"/>
          <w:szCs w:val="24"/>
        </w:rPr>
      </w:pPr>
      <w:r w:rsidRPr="007345D2">
        <w:rPr>
          <w:rFonts w:cs="Times New Roman"/>
          <w:color w:val="000000"/>
          <w:szCs w:val="24"/>
        </w:rPr>
        <w:t xml:space="preserve">Tungsten Queen </w:t>
      </w:r>
      <w:r w:rsidR="00201C79">
        <w:rPr>
          <w:rFonts w:cs="Times New Roman"/>
          <w:color w:val="000000"/>
          <w:szCs w:val="24"/>
        </w:rPr>
        <w:t>Sonic C</w:t>
      </w:r>
      <w:r w:rsidR="00C266CA" w:rsidRPr="007345D2">
        <w:rPr>
          <w:rFonts w:cs="Times New Roman"/>
          <w:color w:val="000000"/>
          <w:szCs w:val="24"/>
        </w:rPr>
        <w:t xml:space="preserve">ore </w:t>
      </w:r>
      <w:r w:rsidR="00201C79">
        <w:rPr>
          <w:rFonts w:cs="Times New Roman"/>
          <w:color w:val="000000"/>
          <w:szCs w:val="24"/>
        </w:rPr>
        <w:t>Photos</w:t>
      </w:r>
    </w:p>
    <w:p w14:paraId="3D28C07C" w14:textId="77777777" w:rsidR="00D755B6" w:rsidRPr="007345D2" w:rsidRDefault="00D755B6" w:rsidP="00AA1C9B">
      <w:pPr>
        <w:ind w:firstLine="0"/>
        <w:rPr>
          <w:rFonts w:cs="Times New Roman"/>
          <w:szCs w:val="24"/>
        </w:rPr>
      </w:pPr>
    </w:p>
    <w:p w14:paraId="1B45B354" w14:textId="16D9D202" w:rsidR="00D755B6" w:rsidRPr="00AA1C9B" w:rsidRDefault="00390C26" w:rsidP="00AA1C9B">
      <w:pPr>
        <w:ind w:firstLine="0"/>
        <w:rPr>
          <w:rFonts w:cs="Times New Roman"/>
          <w:i/>
          <w:iCs/>
          <w:szCs w:val="24"/>
        </w:rPr>
      </w:pPr>
      <w:r w:rsidRPr="00AA1C9B">
        <w:rPr>
          <w:rFonts w:cs="Times New Roman"/>
          <w:i/>
          <w:iCs/>
          <w:szCs w:val="24"/>
        </w:rPr>
        <w:t>Appendix 3</w:t>
      </w:r>
      <w:r w:rsidR="00D755B6" w:rsidRPr="00AA1C9B">
        <w:rPr>
          <w:rFonts w:cs="Times New Roman"/>
          <w:i/>
          <w:iCs/>
          <w:szCs w:val="24"/>
        </w:rPr>
        <w:t xml:space="preserve"> </w:t>
      </w:r>
    </w:p>
    <w:p w14:paraId="5AD086AD" w14:textId="2F73B341" w:rsidR="00D755B6" w:rsidRPr="007345D2" w:rsidRDefault="00B640F7" w:rsidP="00AA1C9B">
      <w:pPr>
        <w:ind w:firstLine="0"/>
        <w:rPr>
          <w:rFonts w:cs="Times New Roman"/>
          <w:color w:val="000000"/>
          <w:szCs w:val="24"/>
        </w:rPr>
      </w:pPr>
      <w:r>
        <w:rPr>
          <w:rFonts w:cs="Times New Roman"/>
          <w:szCs w:val="24"/>
        </w:rPr>
        <w:t xml:space="preserve">Tungsten Queen </w:t>
      </w:r>
      <w:r w:rsidR="00D755B6" w:rsidRPr="007345D2">
        <w:rPr>
          <w:rFonts w:cs="Times New Roman"/>
          <w:szCs w:val="24"/>
        </w:rPr>
        <w:t>Geochem</w:t>
      </w:r>
      <w:r w:rsidR="00A44874" w:rsidRPr="007345D2">
        <w:rPr>
          <w:rFonts w:cs="Times New Roman"/>
          <w:szCs w:val="24"/>
        </w:rPr>
        <w:t>ical</w:t>
      </w:r>
      <w:r w:rsidR="00D755B6" w:rsidRPr="007345D2">
        <w:rPr>
          <w:rFonts w:cs="Times New Roman"/>
          <w:szCs w:val="24"/>
        </w:rPr>
        <w:t xml:space="preserve"> </w:t>
      </w:r>
      <w:r>
        <w:rPr>
          <w:rFonts w:cs="Times New Roman"/>
          <w:szCs w:val="24"/>
        </w:rPr>
        <w:t>D</w:t>
      </w:r>
      <w:r w:rsidR="00D755B6" w:rsidRPr="007345D2">
        <w:rPr>
          <w:rFonts w:cs="Times New Roman"/>
          <w:szCs w:val="24"/>
        </w:rPr>
        <w:t>ata</w:t>
      </w:r>
    </w:p>
    <w:p w14:paraId="622FAB09" w14:textId="77777777" w:rsidR="00E51840" w:rsidRPr="007345D2" w:rsidRDefault="00E51840" w:rsidP="00AA1C9B">
      <w:pPr>
        <w:ind w:firstLine="0"/>
        <w:rPr>
          <w:rFonts w:cs="Times New Roman"/>
          <w:color w:val="000000"/>
          <w:szCs w:val="24"/>
        </w:rPr>
      </w:pPr>
    </w:p>
    <w:p w14:paraId="6AF31143" w14:textId="16C28F9F" w:rsidR="00E51840" w:rsidRPr="00AA1C9B" w:rsidRDefault="00E51840" w:rsidP="00AA1C9B">
      <w:pPr>
        <w:ind w:firstLine="0"/>
        <w:rPr>
          <w:rFonts w:cs="Times New Roman"/>
          <w:i/>
          <w:iCs/>
          <w:color w:val="000000"/>
          <w:szCs w:val="24"/>
        </w:rPr>
      </w:pPr>
      <w:r w:rsidRPr="00AA1C9B">
        <w:rPr>
          <w:rFonts w:cs="Times New Roman"/>
          <w:i/>
          <w:iCs/>
          <w:color w:val="000000"/>
          <w:szCs w:val="24"/>
        </w:rPr>
        <w:t>Appendix 4</w:t>
      </w:r>
    </w:p>
    <w:p w14:paraId="60447314" w14:textId="52E9C4BD" w:rsidR="00680276" w:rsidRPr="007345D2" w:rsidRDefault="001C5A8D" w:rsidP="00AA1C9B">
      <w:pPr>
        <w:ind w:firstLine="0"/>
        <w:rPr>
          <w:rFonts w:cs="Times New Roman"/>
          <w:color w:val="000000"/>
          <w:szCs w:val="24"/>
        </w:rPr>
      </w:pPr>
      <w:r>
        <w:rPr>
          <w:rFonts w:cs="Times New Roman"/>
          <w:szCs w:val="24"/>
        </w:rPr>
        <w:t xml:space="preserve">Tungsten Queen </w:t>
      </w:r>
      <w:r w:rsidR="00680276" w:rsidRPr="007345D2">
        <w:rPr>
          <w:rFonts w:cs="Times New Roman"/>
          <w:szCs w:val="24"/>
        </w:rPr>
        <w:t>PCA data</w:t>
      </w:r>
    </w:p>
    <w:p w14:paraId="18F08E5C" w14:textId="77777777" w:rsidR="00E51840" w:rsidRDefault="00E51840" w:rsidP="00321E76">
      <w:pPr>
        <w:ind w:firstLine="0"/>
        <w:rPr>
          <w:rFonts w:cstheme="minorHAnsi"/>
          <w:szCs w:val="24"/>
        </w:rPr>
      </w:pPr>
    </w:p>
    <w:p w14:paraId="67F4EC6D" w14:textId="77777777" w:rsidR="00321E76" w:rsidRDefault="00321E76" w:rsidP="00321E76">
      <w:pPr>
        <w:ind w:firstLine="0"/>
        <w:rPr>
          <w:rFonts w:cstheme="minorHAnsi"/>
          <w:szCs w:val="24"/>
        </w:rPr>
      </w:pPr>
    </w:p>
    <w:p w14:paraId="5509167F" w14:textId="77777777" w:rsidR="00321E76" w:rsidRDefault="00321E76" w:rsidP="00321E76">
      <w:pPr>
        <w:ind w:firstLine="0"/>
        <w:rPr>
          <w:rFonts w:cstheme="minorHAnsi"/>
          <w:szCs w:val="24"/>
        </w:rPr>
      </w:pPr>
    </w:p>
    <w:p w14:paraId="17254D9F" w14:textId="77777777" w:rsidR="00321E76" w:rsidRDefault="00321E76" w:rsidP="00321E76">
      <w:pPr>
        <w:ind w:firstLine="0"/>
        <w:rPr>
          <w:rFonts w:cstheme="minorHAnsi"/>
          <w:szCs w:val="24"/>
        </w:rPr>
      </w:pPr>
    </w:p>
    <w:p w14:paraId="0D874A53" w14:textId="77777777" w:rsidR="00321E76" w:rsidRDefault="00321E76" w:rsidP="00321E76">
      <w:pPr>
        <w:ind w:firstLine="0"/>
        <w:rPr>
          <w:rFonts w:cstheme="minorHAnsi"/>
          <w:szCs w:val="24"/>
        </w:rPr>
      </w:pPr>
    </w:p>
    <w:p w14:paraId="67C946D6" w14:textId="77777777" w:rsidR="00321E76" w:rsidRDefault="00321E76" w:rsidP="00321E76">
      <w:pPr>
        <w:ind w:firstLine="0"/>
        <w:rPr>
          <w:rFonts w:cstheme="minorHAnsi"/>
          <w:szCs w:val="24"/>
        </w:rPr>
      </w:pPr>
    </w:p>
    <w:p w14:paraId="77B5BC26" w14:textId="77777777" w:rsidR="00321E76" w:rsidRDefault="00321E76" w:rsidP="00321E76">
      <w:pPr>
        <w:ind w:firstLine="0"/>
        <w:rPr>
          <w:rFonts w:cstheme="minorHAnsi"/>
          <w:szCs w:val="24"/>
        </w:rPr>
      </w:pPr>
    </w:p>
    <w:p w14:paraId="220BA3B8" w14:textId="77777777" w:rsidR="00321E76" w:rsidRDefault="00321E76" w:rsidP="00321E76">
      <w:pPr>
        <w:ind w:firstLine="0"/>
        <w:rPr>
          <w:rFonts w:cstheme="minorHAnsi"/>
          <w:szCs w:val="24"/>
        </w:rPr>
      </w:pPr>
    </w:p>
    <w:p w14:paraId="63FA148D" w14:textId="77777777" w:rsidR="00321E76" w:rsidRDefault="00321E76" w:rsidP="00321E76">
      <w:pPr>
        <w:ind w:firstLine="0"/>
        <w:rPr>
          <w:rFonts w:cstheme="minorHAnsi"/>
          <w:szCs w:val="24"/>
        </w:rPr>
      </w:pPr>
    </w:p>
    <w:p w14:paraId="123C4725" w14:textId="77777777" w:rsidR="00321E76" w:rsidRDefault="00321E76" w:rsidP="00321E76">
      <w:pPr>
        <w:ind w:firstLine="0"/>
        <w:rPr>
          <w:rFonts w:cstheme="minorHAnsi"/>
          <w:szCs w:val="24"/>
        </w:rPr>
      </w:pPr>
    </w:p>
    <w:p w14:paraId="72BA5768" w14:textId="77777777" w:rsidR="00321E76" w:rsidRDefault="00321E76" w:rsidP="00321E76">
      <w:pPr>
        <w:ind w:firstLine="0"/>
        <w:rPr>
          <w:rFonts w:cstheme="minorHAnsi"/>
          <w:szCs w:val="24"/>
        </w:rPr>
      </w:pPr>
    </w:p>
    <w:p w14:paraId="4352D8AD" w14:textId="77777777" w:rsidR="00321E76" w:rsidRDefault="00321E76" w:rsidP="00321E76">
      <w:pPr>
        <w:ind w:firstLine="0"/>
        <w:rPr>
          <w:rFonts w:cstheme="minorHAnsi"/>
          <w:szCs w:val="24"/>
        </w:rPr>
      </w:pPr>
    </w:p>
    <w:p w14:paraId="64AC540F" w14:textId="77777777" w:rsidR="00321E76" w:rsidRDefault="00321E76" w:rsidP="00321E76">
      <w:pPr>
        <w:ind w:firstLine="0"/>
        <w:rPr>
          <w:rFonts w:cstheme="minorHAnsi"/>
          <w:szCs w:val="24"/>
        </w:rPr>
      </w:pPr>
    </w:p>
    <w:p w14:paraId="222E086E" w14:textId="77777777" w:rsidR="00321E76" w:rsidRDefault="00321E76" w:rsidP="00321E76">
      <w:pPr>
        <w:ind w:firstLine="0"/>
        <w:rPr>
          <w:rFonts w:cstheme="minorHAnsi"/>
          <w:szCs w:val="24"/>
        </w:rPr>
      </w:pPr>
    </w:p>
    <w:p w14:paraId="1880BE87" w14:textId="77777777" w:rsidR="00321E76" w:rsidRDefault="00321E76" w:rsidP="00321E76">
      <w:pPr>
        <w:ind w:firstLine="0"/>
        <w:rPr>
          <w:rFonts w:cstheme="minorHAnsi"/>
          <w:szCs w:val="24"/>
        </w:rPr>
      </w:pPr>
    </w:p>
    <w:p w14:paraId="675006C2" w14:textId="77777777" w:rsidR="00321E76" w:rsidRDefault="00321E76" w:rsidP="00321E76">
      <w:pPr>
        <w:ind w:firstLine="0"/>
        <w:rPr>
          <w:rFonts w:cstheme="minorHAnsi"/>
          <w:szCs w:val="24"/>
        </w:rPr>
      </w:pPr>
    </w:p>
    <w:p w14:paraId="62B4B805" w14:textId="77777777" w:rsidR="00321E76" w:rsidRDefault="00321E76" w:rsidP="00321E76">
      <w:pPr>
        <w:ind w:firstLine="0"/>
        <w:rPr>
          <w:rFonts w:cstheme="minorHAnsi"/>
          <w:szCs w:val="24"/>
        </w:rPr>
      </w:pPr>
    </w:p>
    <w:p w14:paraId="2CA210FE" w14:textId="77777777" w:rsidR="00321E76" w:rsidRDefault="00321E76" w:rsidP="00321E76">
      <w:pPr>
        <w:ind w:firstLine="0"/>
        <w:rPr>
          <w:rFonts w:cstheme="minorHAnsi"/>
          <w:szCs w:val="24"/>
        </w:rPr>
      </w:pPr>
    </w:p>
    <w:p w14:paraId="27DCEFF0" w14:textId="77777777" w:rsidR="00321E76" w:rsidRDefault="00321E76" w:rsidP="00321E76">
      <w:pPr>
        <w:ind w:firstLine="0"/>
        <w:rPr>
          <w:rFonts w:cstheme="minorHAnsi"/>
          <w:szCs w:val="24"/>
        </w:rPr>
      </w:pPr>
    </w:p>
    <w:p w14:paraId="747B350F" w14:textId="77777777" w:rsidR="00321E76" w:rsidRDefault="00321E76" w:rsidP="00321E76">
      <w:pPr>
        <w:ind w:firstLine="0"/>
        <w:rPr>
          <w:rFonts w:cstheme="minorHAnsi"/>
          <w:szCs w:val="24"/>
        </w:rPr>
      </w:pPr>
    </w:p>
    <w:p w14:paraId="252D035A" w14:textId="77777777" w:rsidR="00321E76" w:rsidRDefault="00321E76" w:rsidP="00321E76">
      <w:pPr>
        <w:ind w:firstLine="0"/>
        <w:rPr>
          <w:rFonts w:cstheme="minorHAnsi"/>
          <w:szCs w:val="24"/>
        </w:rPr>
      </w:pPr>
    </w:p>
    <w:p w14:paraId="04109D70" w14:textId="77777777" w:rsidR="00321E76" w:rsidRDefault="00321E76" w:rsidP="00321E76">
      <w:pPr>
        <w:ind w:firstLine="0"/>
        <w:rPr>
          <w:rFonts w:cstheme="minorHAnsi"/>
          <w:szCs w:val="24"/>
        </w:rPr>
      </w:pPr>
    </w:p>
    <w:p w14:paraId="6DD4C60A" w14:textId="77777777" w:rsidR="00321E76" w:rsidRDefault="00321E76" w:rsidP="00321E76">
      <w:pPr>
        <w:ind w:firstLine="0"/>
        <w:rPr>
          <w:rFonts w:cstheme="minorHAnsi"/>
          <w:szCs w:val="24"/>
        </w:rPr>
      </w:pPr>
    </w:p>
    <w:p w14:paraId="1F49C1F1" w14:textId="77777777" w:rsidR="00321E76" w:rsidRDefault="00321E76" w:rsidP="00321E76">
      <w:pPr>
        <w:ind w:firstLine="0"/>
        <w:rPr>
          <w:rFonts w:cstheme="minorHAnsi"/>
          <w:szCs w:val="24"/>
        </w:rPr>
      </w:pPr>
    </w:p>
    <w:p w14:paraId="407CD9F6" w14:textId="77777777" w:rsidR="00321E76" w:rsidRDefault="00321E76" w:rsidP="00321E76">
      <w:pPr>
        <w:ind w:firstLine="0"/>
        <w:rPr>
          <w:rFonts w:cstheme="minorHAnsi"/>
          <w:szCs w:val="24"/>
        </w:rPr>
      </w:pPr>
    </w:p>
    <w:p w14:paraId="1397D2C6" w14:textId="77777777" w:rsidR="00321E76" w:rsidRDefault="00321E76" w:rsidP="00321E76">
      <w:pPr>
        <w:ind w:firstLine="0"/>
        <w:rPr>
          <w:rFonts w:cstheme="minorHAnsi"/>
          <w:szCs w:val="24"/>
        </w:rPr>
      </w:pPr>
    </w:p>
    <w:p w14:paraId="6937D3B1" w14:textId="77777777" w:rsidR="00321E76" w:rsidRDefault="00321E76" w:rsidP="00321E76">
      <w:pPr>
        <w:ind w:firstLine="0"/>
        <w:rPr>
          <w:rFonts w:cstheme="minorHAnsi"/>
          <w:szCs w:val="24"/>
        </w:rPr>
      </w:pPr>
    </w:p>
    <w:p w14:paraId="17013F47" w14:textId="77777777" w:rsidR="00321E76" w:rsidRDefault="00321E76" w:rsidP="00321E76">
      <w:pPr>
        <w:ind w:firstLine="0"/>
        <w:rPr>
          <w:rFonts w:cstheme="minorHAnsi"/>
          <w:szCs w:val="24"/>
        </w:rPr>
      </w:pPr>
    </w:p>
    <w:p w14:paraId="6A6B8786" w14:textId="77777777" w:rsidR="00321E76" w:rsidRDefault="00321E76" w:rsidP="00321E76">
      <w:pPr>
        <w:ind w:firstLine="0"/>
        <w:rPr>
          <w:rFonts w:cstheme="minorHAnsi"/>
          <w:szCs w:val="24"/>
        </w:rPr>
      </w:pPr>
    </w:p>
    <w:p w14:paraId="1295A4BD" w14:textId="2F0BA836" w:rsidR="00321E76" w:rsidRPr="00E83643" w:rsidRDefault="00E83643" w:rsidP="00E83643">
      <w:pPr>
        <w:pStyle w:val="Heading1"/>
      </w:pPr>
      <w:bookmarkStart w:id="19" w:name="_Toc222230023"/>
      <w:r>
        <w:lastRenderedPageBreak/>
        <w:t xml:space="preserve">9. </w:t>
      </w:r>
      <w:r w:rsidR="00321E76" w:rsidRPr="00E83643">
        <w:t>T</w:t>
      </w:r>
      <w:r>
        <w:t xml:space="preserve">erms of Use for </w:t>
      </w:r>
      <w:r w:rsidR="00321E76" w:rsidRPr="00E83643">
        <w:t xml:space="preserve">NCGS </w:t>
      </w:r>
      <w:r>
        <w:t>Products</w:t>
      </w:r>
      <w:bookmarkEnd w:id="19"/>
    </w:p>
    <w:p w14:paraId="11DDAF7E" w14:textId="1C0D38D4" w:rsidR="00321E76" w:rsidRPr="003D2193" w:rsidRDefault="00321E76" w:rsidP="00170323">
      <w:pPr>
        <w:ind w:firstLine="0"/>
        <w:rPr>
          <w:rFonts w:cs="Times New Roman"/>
        </w:rPr>
      </w:pPr>
      <w:r w:rsidRPr="003D2193">
        <w:rPr>
          <w:rFonts w:cs="Times New Roman"/>
        </w:rPr>
        <w:t xml:space="preserve">The use of information contained </w:t>
      </w:r>
      <w:r>
        <w:rPr>
          <w:rFonts w:cs="Times New Roman"/>
        </w:rPr>
        <w:t xml:space="preserve">within </w:t>
      </w:r>
      <w:r w:rsidRPr="003D2193">
        <w:rPr>
          <w:rFonts w:cs="Times New Roman"/>
          <w:b/>
          <w:bCs/>
          <w:i/>
          <w:iCs/>
        </w:rPr>
        <w:t>Critical Mineral Characterization of the Tungsten Queen Mine Tailings, Vance County, North Carolina</w:t>
      </w:r>
      <w:r w:rsidRPr="003D2193">
        <w:rPr>
          <w:rFonts w:cs="Times New Roman"/>
        </w:rPr>
        <w:t xml:space="preserve">, as well as </w:t>
      </w:r>
      <w:r>
        <w:rPr>
          <w:rFonts w:cs="Times New Roman"/>
        </w:rPr>
        <w:t>the additional data contained within the appendices</w:t>
      </w:r>
      <w:r w:rsidRPr="003D2193">
        <w:rPr>
          <w:rFonts w:cs="Times New Roman"/>
        </w:rPr>
        <w:t>, is encouraged for any persons or entities, with emphasis on industry professionals, county and municipal governments, and other state government agencies working within North Carolina. As part of our mission states, the NCGS examines, surveys, and maps the geology, mineral resources, and topography of the state to encourage the wise conservation and use of these resources by industry, commerce, agriculture, and government agencies for the general welfare of the citizens of North Carolina. The NCGS conducts basic and applied research projects in environmental geology, mineral resource exploration, hazards mapping, and systematic geologic mapping. Services include identifying rock and mineral samples submitted by citizens and providing consulting services and specially prepared reports to agencies that require geological information. In addition to</w:t>
      </w:r>
      <w:r>
        <w:rPr>
          <w:rFonts w:cs="Times New Roman"/>
        </w:rPr>
        <w:t xml:space="preserve"> </w:t>
      </w:r>
      <w:r w:rsidRPr="003D2193">
        <w:rPr>
          <w:rFonts w:cs="Times New Roman"/>
        </w:rPr>
        <w:t>digital means of distribution</w:t>
      </w:r>
      <w:r>
        <w:rPr>
          <w:rFonts w:cs="Times New Roman"/>
        </w:rPr>
        <w:t>, via interactive web-map products,</w:t>
      </w:r>
      <w:r w:rsidRPr="003D2193">
        <w:rPr>
          <w:rFonts w:cs="Times New Roman"/>
        </w:rPr>
        <w:t xml:space="preserve"> the Geological Survey Section publishes Bulletins, Information Circulars, Open-file Reports and Maps, Field Trip Guidebooks, Geologic Map Series, and Special Publications</w:t>
      </w:r>
      <w:r>
        <w:rPr>
          <w:rFonts w:cs="Times New Roman"/>
        </w:rPr>
        <w:t>, all of which</w:t>
      </w:r>
      <w:r w:rsidRPr="003D2193">
        <w:rPr>
          <w:rFonts w:cs="Times New Roman"/>
        </w:rPr>
        <w:t xml:space="preserve"> can be</w:t>
      </w:r>
      <w:r>
        <w:rPr>
          <w:rFonts w:cs="Times New Roman"/>
        </w:rPr>
        <w:t xml:space="preserve"> requested </w:t>
      </w:r>
      <w:r w:rsidRPr="003D2193">
        <w:rPr>
          <w:rFonts w:cs="Times New Roman"/>
        </w:rPr>
        <w:t xml:space="preserve">from the NCGS publications ordering page. </w:t>
      </w:r>
    </w:p>
    <w:p w14:paraId="00A23D88" w14:textId="77777777" w:rsidR="00321E76" w:rsidRPr="003D2193" w:rsidRDefault="00321E76" w:rsidP="00321E76">
      <w:pPr>
        <w:rPr>
          <w:rFonts w:cs="Times New Roman"/>
        </w:rPr>
      </w:pPr>
    </w:p>
    <w:p w14:paraId="6B1F4C31" w14:textId="0B4BA05B" w:rsidR="00321E76" w:rsidRPr="000B72AC" w:rsidRDefault="000B72AC" w:rsidP="000B72AC">
      <w:pPr>
        <w:pStyle w:val="Heading1"/>
      </w:pPr>
      <w:bookmarkStart w:id="20" w:name="_Toc222230024"/>
      <w:r>
        <w:t xml:space="preserve">10. </w:t>
      </w:r>
      <w:r w:rsidR="005F5D7C">
        <w:t>Acknowledgement</w:t>
      </w:r>
      <w:bookmarkEnd w:id="20"/>
      <w:r w:rsidR="005F5D7C">
        <w:t xml:space="preserve"> </w:t>
      </w:r>
      <w:r w:rsidR="00321E76" w:rsidRPr="000B72AC">
        <w:t xml:space="preserve"> </w:t>
      </w:r>
    </w:p>
    <w:p w14:paraId="4B0F5B8E" w14:textId="77777777" w:rsidR="00A8633C" w:rsidRDefault="00A8633C" w:rsidP="00A8633C">
      <w:pPr>
        <w:ind w:firstLine="0"/>
        <w:rPr>
          <w:rFonts w:cs="Times New Roman"/>
        </w:rPr>
      </w:pPr>
      <w:r w:rsidRPr="00A8633C">
        <w:rPr>
          <w:rFonts w:cs="Times New Roman"/>
        </w:rPr>
        <w:t>Townsville Timber, Inc.</w:t>
      </w:r>
      <w:proofErr w:type="gramStart"/>
      <w:r w:rsidRPr="00A8633C">
        <w:rPr>
          <w:rFonts w:cs="Times New Roman"/>
        </w:rPr>
        <w:t xml:space="preserve"> for</w:t>
      </w:r>
      <w:proofErr w:type="gramEnd"/>
      <w:r w:rsidRPr="00A8633C">
        <w:rPr>
          <w:rFonts w:cs="Times New Roman"/>
        </w:rPr>
        <w:t xml:space="preserve"> their project support and access permission to the Tungsten Queen mine site.</w:t>
      </w:r>
    </w:p>
    <w:p w14:paraId="3330658E" w14:textId="4F55C936" w:rsidR="00A8633C" w:rsidRPr="00A8633C" w:rsidRDefault="00A8633C" w:rsidP="00A8633C">
      <w:pPr>
        <w:ind w:firstLine="0"/>
        <w:rPr>
          <w:rFonts w:cs="Times New Roman"/>
        </w:rPr>
      </w:pPr>
      <w:r w:rsidRPr="00A8633C">
        <w:rPr>
          <w:rFonts w:cs="Times New Roman"/>
        </w:rPr>
        <w:t>United States Tungsten, Inc. for their cooperative discussions and support throughout the project.</w:t>
      </w:r>
    </w:p>
    <w:p w14:paraId="1ED3BFC0" w14:textId="1953575D" w:rsidR="002649D3" w:rsidRDefault="002649D3" w:rsidP="00170323">
      <w:pPr>
        <w:ind w:firstLine="0"/>
        <w:contextualSpacing w:val="0"/>
        <w:rPr>
          <w:rFonts w:cs="Times New Roman"/>
        </w:rPr>
      </w:pPr>
      <w:r>
        <w:rPr>
          <w:rFonts w:cs="Times New Roman"/>
        </w:rPr>
        <w:t xml:space="preserve">Cascade Drilling Services, for </w:t>
      </w:r>
      <w:r w:rsidR="00443643">
        <w:rPr>
          <w:rFonts w:cs="Times New Roman"/>
        </w:rPr>
        <w:t>their help with recovering drill core from the site.</w:t>
      </w:r>
    </w:p>
    <w:p w14:paraId="5E330A0C" w14:textId="703E3DBF" w:rsidR="00321E76" w:rsidRPr="003D2193" w:rsidRDefault="00321E76" w:rsidP="00170323">
      <w:pPr>
        <w:ind w:firstLine="0"/>
        <w:contextualSpacing w:val="0"/>
        <w:rPr>
          <w:rFonts w:cs="Times New Roman"/>
        </w:rPr>
      </w:pPr>
      <w:r>
        <w:rPr>
          <w:rFonts w:cs="Times New Roman"/>
        </w:rPr>
        <w:t xml:space="preserve">U.S. Geological Survey, for funding grant </w:t>
      </w:r>
      <w:r w:rsidRPr="00725F0F">
        <w:rPr>
          <w:rFonts w:cs="Times New Roman"/>
        </w:rPr>
        <w:t>G23AC00423</w:t>
      </w:r>
      <w:r>
        <w:rPr>
          <w:rFonts w:cs="Times New Roman"/>
        </w:rPr>
        <w:t>.</w:t>
      </w:r>
    </w:p>
    <w:p w14:paraId="2DE3ADF7" w14:textId="77777777" w:rsidR="00321E76" w:rsidRPr="007345D2" w:rsidRDefault="00321E76" w:rsidP="00321E76">
      <w:pPr>
        <w:ind w:firstLine="0"/>
        <w:rPr>
          <w:rFonts w:cstheme="minorHAnsi"/>
          <w:szCs w:val="24"/>
        </w:rPr>
      </w:pPr>
    </w:p>
    <w:sectPr w:rsidR="00321E76" w:rsidRPr="007345D2" w:rsidSect="002F4AB7">
      <w:footerReference w:type="default" r:id="rId5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26800" w14:textId="77777777" w:rsidR="00D20C82" w:rsidRDefault="00D20C82" w:rsidP="00B75BD3">
      <w:pPr>
        <w:spacing w:after="0"/>
      </w:pPr>
      <w:r>
        <w:separator/>
      </w:r>
    </w:p>
  </w:endnote>
  <w:endnote w:type="continuationSeparator" w:id="0">
    <w:p w14:paraId="6FFE6477" w14:textId="77777777" w:rsidR="00D20C82" w:rsidRDefault="00D20C82" w:rsidP="00B75BD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9019784"/>
      <w:docPartObj>
        <w:docPartGallery w:val="Page Numbers (Bottom of Page)"/>
        <w:docPartUnique/>
      </w:docPartObj>
    </w:sdtPr>
    <w:sdtEndPr>
      <w:rPr>
        <w:noProof/>
      </w:rPr>
    </w:sdtEndPr>
    <w:sdtContent>
      <w:p w14:paraId="5A58ADEC" w14:textId="14BFBD3A" w:rsidR="002F4AB7" w:rsidRDefault="002F4A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67FE85" w14:textId="77777777" w:rsidR="002F4AB7" w:rsidRDefault="002F4A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75070" w14:textId="77777777" w:rsidR="00D20C82" w:rsidRDefault="00D20C82" w:rsidP="00B75BD3">
      <w:pPr>
        <w:spacing w:after="0"/>
      </w:pPr>
      <w:r>
        <w:separator/>
      </w:r>
    </w:p>
  </w:footnote>
  <w:footnote w:type="continuationSeparator" w:id="0">
    <w:p w14:paraId="15562368" w14:textId="77777777" w:rsidR="00D20C82" w:rsidRDefault="00D20C82" w:rsidP="00B75BD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21591"/>
    <w:multiLevelType w:val="multilevel"/>
    <w:tmpl w:val="3732D536"/>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2E35209"/>
    <w:multiLevelType w:val="hybridMultilevel"/>
    <w:tmpl w:val="837A7766"/>
    <w:lvl w:ilvl="0" w:tplc="4FD654BE">
      <w:start w:val="1"/>
      <w:numFmt w:val="bullet"/>
      <w:lvlText w:val="-"/>
      <w:lvlJc w:val="left"/>
      <w:pPr>
        <w:ind w:left="1080" w:hanging="360"/>
      </w:pPr>
      <w:rPr>
        <w:rFonts w:ascii="Aptos" w:eastAsiaTheme="minorHAnsi"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6AC6CCA"/>
    <w:multiLevelType w:val="hybridMultilevel"/>
    <w:tmpl w:val="58F066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1A7CB8"/>
    <w:multiLevelType w:val="hybridMultilevel"/>
    <w:tmpl w:val="D8C451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D97A29"/>
    <w:multiLevelType w:val="hybridMultilevel"/>
    <w:tmpl w:val="297854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235DF6"/>
    <w:multiLevelType w:val="hybridMultilevel"/>
    <w:tmpl w:val="73225F96"/>
    <w:lvl w:ilvl="0" w:tplc="C9D80B7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267015">
    <w:abstractNumId w:val="4"/>
  </w:num>
  <w:num w:numId="2" w16cid:durableId="717243121">
    <w:abstractNumId w:val="5"/>
  </w:num>
  <w:num w:numId="3" w16cid:durableId="991371320">
    <w:abstractNumId w:val="2"/>
  </w:num>
  <w:num w:numId="4" w16cid:durableId="1787121793">
    <w:abstractNumId w:val="1"/>
  </w:num>
  <w:num w:numId="5" w16cid:durableId="2005815954">
    <w:abstractNumId w:val="0"/>
  </w:num>
  <w:num w:numId="6" w16cid:durableId="6697148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2DC"/>
    <w:rsid w:val="00000770"/>
    <w:rsid w:val="0000126E"/>
    <w:rsid w:val="00001D36"/>
    <w:rsid w:val="000021AA"/>
    <w:rsid w:val="00002388"/>
    <w:rsid w:val="000027B4"/>
    <w:rsid w:val="00002BD5"/>
    <w:rsid w:val="00002E05"/>
    <w:rsid w:val="00002FBA"/>
    <w:rsid w:val="000036E7"/>
    <w:rsid w:val="00003A1C"/>
    <w:rsid w:val="00003AEC"/>
    <w:rsid w:val="000047B7"/>
    <w:rsid w:val="00004B06"/>
    <w:rsid w:val="00004C71"/>
    <w:rsid w:val="00005A5E"/>
    <w:rsid w:val="0000626E"/>
    <w:rsid w:val="000069F8"/>
    <w:rsid w:val="00006A9C"/>
    <w:rsid w:val="00006AE6"/>
    <w:rsid w:val="00006F47"/>
    <w:rsid w:val="00007325"/>
    <w:rsid w:val="000079F5"/>
    <w:rsid w:val="00007A50"/>
    <w:rsid w:val="00007DF7"/>
    <w:rsid w:val="0001033D"/>
    <w:rsid w:val="0001040C"/>
    <w:rsid w:val="0001170D"/>
    <w:rsid w:val="00012CF3"/>
    <w:rsid w:val="0001350C"/>
    <w:rsid w:val="00013A9A"/>
    <w:rsid w:val="00014361"/>
    <w:rsid w:val="00014A3D"/>
    <w:rsid w:val="00014E0F"/>
    <w:rsid w:val="00014F0D"/>
    <w:rsid w:val="00015065"/>
    <w:rsid w:val="0001642F"/>
    <w:rsid w:val="00016EC3"/>
    <w:rsid w:val="00016FA5"/>
    <w:rsid w:val="000177BC"/>
    <w:rsid w:val="00017827"/>
    <w:rsid w:val="00017AB7"/>
    <w:rsid w:val="000202C5"/>
    <w:rsid w:val="00020C5E"/>
    <w:rsid w:val="00021890"/>
    <w:rsid w:val="0002251B"/>
    <w:rsid w:val="00022A54"/>
    <w:rsid w:val="00022CC6"/>
    <w:rsid w:val="00023628"/>
    <w:rsid w:val="00023AE6"/>
    <w:rsid w:val="00023BA0"/>
    <w:rsid w:val="00023EBE"/>
    <w:rsid w:val="00024236"/>
    <w:rsid w:val="00024D82"/>
    <w:rsid w:val="00024EC0"/>
    <w:rsid w:val="000250EF"/>
    <w:rsid w:val="000252DF"/>
    <w:rsid w:val="000263B5"/>
    <w:rsid w:val="000264B4"/>
    <w:rsid w:val="00026FDC"/>
    <w:rsid w:val="000273D3"/>
    <w:rsid w:val="00030014"/>
    <w:rsid w:val="000302E1"/>
    <w:rsid w:val="0003047E"/>
    <w:rsid w:val="00030554"/>
    <w:rsid w:val="00030764"/>
    <w:rsid w:val="00030A7C"/>
    <w:rsid w:val="00031309"/>
    <w:rsid w:val="00031E23"/>
    <w:rsid w:val="00032A2B"/>
    <w:rsid w:val="00032E7A"/>
    <w:rsid w:val="00034824"/>
    <w:rsid w:val="00035301"/>
    <w:rsid w:val="0003599B"/>
    <w:rsid w:val="00035DBF"/>
    <w:rsid w:val="00036224"/>
    <w:rsid w:val="00036FD5"/>
    <w:rsid w:val="0003721A"/>
    <w:rsid w:val="0003743B"/>
    <w:rsid w:val="0004056E"/>
    <w:rsid w:val="0004171A"/>
    <w:rsid w:val="000420B4"/>
    <w:rsid w:val="00042EDB"/>
    <w:rsid w:val="000432C7"/>
    <w:rsid w:val="00043323"/>
    <w:rsid w:val="0004364A"/>
    <w:rsid w:val="00043773"/>
    <w:rsid w:val="00043F64"/>
    <w:rsid w:val="0004479E"/>
    <w:rsid w:val="00044EBE"/>
    <w:rsid w:val="00044FF6"/>
    <w:rsid w:val="000454CE"/>
    <w:rsid w:val="00046D89"/>
    <w:rsid w:val="00047405"/>
    <w:rsid w:val="0005003E"/>
    <w:rsid w:val="0005007A"/>
    <w:rsid w:val="00050B0D"/>
    <w:rsid w:val="00050BEF"/>
    <w:rsid w:val="00050F75"/>
    <w:rsid w:val="00051D34"/>
    <w:rsid w:val="00052889"/>
    <w:rsid w:val="0005311B"/>
    <w:rsid w:val="000536F6"/>
    <w:rsid w:val="000537D1"/>
    <w:rsid w:val="00053B12"/>
    <w:rsid w:val="0005431A"/>
    <w:rsid w:val="000546BE"/>
    <w:rsid w:val="00054F03"/>
    <w:rsid w:val="00054FD9"/>
    <w:rsid w:val="000556B5"/>
    <w:rsid w:val="00055DB8"/>
    <w:rsid w:val="000568B8"/>
    <w:rsid w:val="00056A7E"/>
    <w:rsid w:val="00057371"/>
    <w:rsid w:val="00057755"/>
    <w:rsid w:val="000600E2"/>
    <w:rsid w:val="000609F9"/>
    <w:rsid w:val="00060EA2"/>
    <w:rsid w:val="000610E8"/>
    <w:rsid w:val="00061302"/>
    <w:rsid w:val="000623C5"/>
    <w:rsid w:val="00062F28"/>
    <w:rsid w:val="000636C3"/>
    <w:rsid w:val="0006419A"/>
    <w:rsid w:val="000650F2"/>
    <w:rsid w:val="000672FE"/>
    <w:rsid w:val="00067467"/>
    <w:rsid w:val="000674DA"/>
    <w:rsid w:val="00067AB6"/>
    <w:rsid w:val="00067E40"/>
    <w:rsid w:val="0007000F"/>
    <w:rsid w:val="0007171B"/>
    <w:rsid w:val="0007191D"/>
    <w:rsid w:val="000722EA"/>
    <w:rsid w:val="00072752"/>
    <w:rsid w:val="0007294E"/>
    <w:rsid w:val="0007300E"/>
    <w:rsid w:val="00073140"/>
    <w:rsid w:val="00073546"/>
    <w:rsid w:val="00073ADF"/>
    <w:rsid w:val="00074B8F"/>
    <w:rsid w:val="000756A0"/>
    <w:rsid w:val="0007578F"/>
    <w:rsid w:val="00077A5F"/>
    <w:rsid w:val="00077EED"/>
    <w:rsid w:val="000803CE"/>
    <w:rsid w:val="000812AE"/>
    <w:rsid w:val="000818A7"/>
    <w:rsid w:val="0008327A"/>
    <w:rsid w:val="000838F8"/>
    <w:rsid w:val="000839A2"/>
    <w:rsid w:val="000853DD"/>
    <w:rsid w:val="0008559B"/>
    <w:rsid w:val="00085DC4"/>
    <w:rsid w:val="00087647"/>
    <w:rsid w:val="0008783D"/>
    <w:rsid w:val="00087A86"/>
    <w:rsid w:val="00090107"/>
    <w:rsid w:val="0009098A"/>
    <w:rsid w:val="00090B9A"/>
    <w:rsid w:val="000914B2"/>
    <w:rsid w:val="00092018"/>
    <w:rsid w:val="00093388"/>
    <w:rsid w:val="0009373A"/>
    <w:rsid w:val="00093908"/>
    <w:rsid w:val="00093F9C"/>
    <w:rsid w:val="000955BE"/>
    <w:rsid w:val="00095696"/>
    <w:rsid w:val="00095997"/>
    <w:rsid w:val="00095D14"/>
    <w:rsid w:val="00095E54"/>
    <w:rsid w:val="00096FA7"/>
    <w:rsid w:val="000971D5"/>
    <w:rsid w:val="000A00BF"/>
    <w:rsid w:val="000A0D9C"/>
    <w:rsid w:val="000A0FC7"/>
    <w:rsid w:val="000A3F4C"/>
    <w:rsid w:val="000A4231"/>
    <w:rsid w:val="000A585F"/>
    <w:rsid w:val="000A59CF"/>
    <w:rsid w:val="000A5B4D"/>
    <w:rsid w:val="000A5C6B"/>
    <w:rsid w:val="000A60D0"/>
    <w:rsid w:val="000A61F8"/>
    <w:rsid w:val="000A628C"/>
    <w:rsid w:val="000A660D"/>
    <w:rsid w:val="000A675B"/>
    <w:rsid w:val="000A6C0C"/>
    <w:rsid w:val="000A76EA"/>
    <w:rsid w:val="000B01FB"/>
    <w:rsid w:val="000B16A3"/>
    <w:rsid w:val="000B1B83"/>
    <w:rsid w:val="000B2DB5"/>
    <w:rsid w:val="000B2FE7"/>
    <w:rsid w:val="000B3417"/>
    <w:rsid w:val="000B35BF"/>
    <w:rsid w:val="000B3D9C"/>
    <w:rsid w:val="000B4C33"/>
    <w:rsid w:val="000B52D0"/>
    <w:rsid w:val="000B5B8D"/>
    <w:rsid w:val="000B68DD"/>
    <w:rsid w:val="000B6F4D"/>
    <w:rsid w:val="000B71D4"/>
    <w:rsid w:val="000B72AC"/>
    <w:rsid w:val="000C0B5A"/>
    <w:rsid w:val="000C0C18"/>
    <w:rsid w:val="000C1C93"/>
    <w:rsid w:val="000C2864"/>
    <w:rsid w:val="000C2B4B"/>
    <w:rsid w:val="000C3717"/>
    <w:rsid w:val="000C3AFA"/>
    <w:rsid w:val="000C3BBA"/>
    <w:rsid w:val="000C3E71"/>
    <w:rsid w:val="000C3F73"/>
    <w:rsid w:val="000C440F"/>
    <w:rsid w:val="000C4A49"/>
    <w:rsid w:val="000C4BF5"/>
    <w:rsid w:val="000C4E20"/>
    <w:rsid w:val="000C51AE"/>
    <w:rsid w:val="000C5F77"/>
    <w:rsid w:val="000C633B"/>
    <w:rsid w:val="000C63F4"/>
    <w:rsid w:val="000C67EC"/>
    <w:rsid w:val="000C77B9"/>
    <w:rsid w:val="000C7A36"/>
    <w:rsid w:val="000D0ED3"/>
    <w:rsid w:val="000D1196"/>
    <w:rsid w:val="000D13B1"/>
    <w:rsid w:val="000D1DC9"/>
    <w:rsid w:val="000D210E"/>
    <w:rsid w:val="000D28A9"/>
    <w:rsid w:val="000D29F1"/>
    <w:rsid w:val="000D2A19"/>
    <w:rsid w:val="000D2B79"/>
    <w:rsid w:val="000D2CEE"/>
    <w:rsid w:val="000D33B6"/>
    <w:rsid w:val="000D397D"/>
    <w:rsid w:val="000D3B89"/>
    <w:rsid w:val="000D3C3C"/>
    <w:rsid w:val="000D3EB6"/>
    <w:rsid w:val="000D4788"/>
    <w:rsid w:val="000D5F5D"/>
    <w:rsid w:val="000D6263"/>
    <w:rsid w:val="000D7D73"/>
    <w:rsid w:val="000D7DC8"/>
    <w:rsid w:val="000E135F"/>
    <w:rsid w:val="000E1BB7"/>
    <w:rsid w:val="000E2545"/>
    <w:rsid w:val="000E36AB"/>
    <w:rsid w:val="000E3731"/>
    <w:rsid w:val="000E426F"/>
    <w:rsid w:val="000E51CE"/>
    <w:rsid w:val="000E558A"/>
    <w:rsid w:val="000E6908"/>
    <w:rsid w:val="000E69FC"/>
    <w:rsid w:val="000E6B60"/>
    <w:rsid w:val="000E72BA"/>
    <w:rsid w:val="000E777D"/>
    <w:rsid w:val="000E7C84"/>
    <w:rsid w:val="000F0479"/>
    <w:rsid w:val="000F04D9"/>
    <w:rsid w:val="000F0BF4"/>
    <w:rsid w:val="000F0BFE"/>
    <w:rsid w:val="000F1A60"/>
    <w:rsid w:val="000F1C99"/>
    <w:rsid w:val="000F1E78"/>
    <w:rsid w:val="000F1FA9"/>
    <w:rsid w:val="000F2466"/>
    <w:rsid w:val="000F2BD1"/>
    <w:rsid w:val="000F2F87"/>
    <w:rsid w:val="000F3029"/>
    <w:rsid w:val="000F39CD"/>
    <w:rsid w:val="000F3ED6"/>
    <w:rsid w:val="000F4141"/>
    <w:rsid w:val="000F4203"/>
    <w:rsid w:val="000F5144"/>
    <w:rsid w:val="000F56AD"/>
    <w:rsid w:val="000F56F0"/>
    <w:rsid w:val="000F5A2A"/>
    <w:rsid w:val="000F5B88"/>
    <w:rsid w:val="000F6897"/>
    <w:rsid w:val="000F6DBD"/>
    <w:rsid w:val="000F6F20"/>
    <w:rsid w:val="000F73C8"/>
    <w:rsid w:val="000F7457"/>
    <w:rsid w:val="000F7E39"/>
    <w:rsid w:val="00100012"/>
    <w:rsid w:val="00100A9D"/>
    <w:rsid w:val="00100D40"/>
    <w:rsid w:val="00100E90"/>
    <w:rsid w:val="001022B5"/>
    <w:rsid w:val="00102812"/>
    <w:rsid w:val="00104DC4"/>
    <w:rsid w:val="00104E70"/>
    <w:rsid w:val="00104F14"/>
    <w:rsid w:val="0010548D"/>
    <w:rsid w:val="001057A9"/>
    <w:rsid w:val="00105B68"/>
    <w:rsid w:val="00105C82"/>
    <w:rsid w:val="00107246"/>
    <w:rsid w:val="00107264"/>
    <w:rsid w:val="001074FC"/>
    <w:rsid w:val="001076C4"/>
    <w:rsid w:val="00107969"/>
    <w:rsid w:val="00111660"/>
    <w:rsid w:val="0011260B"/>
    <w:rsid w:val="00113971"/>
    <w:rsid w:val="00113E59"/>
    <w:rsid w:val="00113EE9"/>
    <w:rsid w:val="00114812"/>
    <w:rsid w:val="00114A9A"/>
    <w:rsid w:val="00114D12"/>
    <w:rsid w:val="00115F12"/>
    <w:rsid w:val="00116427"/>
    <w:rsid w:val="001205D3"/>
    <w:rsid w:val="00120AA9"/>
    <w:rsid w:val="00121EE6"/>
    <w:rsid w:val="00122343"/>
    <w:rsid w:val="00122780"/>
    <w:rsid w:val="00122793"/>
    <w:rsid w:val="00122809"/>
    <w:rsid w:val="00122C5B"/>
    <w:rsid w:val="0012376A"/>
    <w:rsid w:val="00123C6E"/>
    <w:rsid w:val="00123F9B"/>
    <w:rsid w:val="0012524C"/>
    <w:rsid w:val="00125F09"/>
    <w:rsid w:val="00126150"/>
    <w:rsid w:val="00126239"/>
    <w:rsid w:val="00126FD4"/>
    <w:rsid w:val="001276CC"/>
    <w:rsid w:val="001300E0"/>
    <w:rsid w:val="00130201"/>
    <w:rsid w:val="00130DAD"/>
    <w:rsid w:val="00130ED5"/>
    <w:rsid w:val="00131007"/>
    <w:rsid w:val="00131067"/>
    <w:rsid w:val="00131353"/>
    <w:rsid w:val="00131556"/>
    <w:rsid w:val="001315FC"/>
    <w:rsid w:val="00131968"/>
    <w:rsid w:val="00131B83"/>
    <w:rsid w:val="00132025"/>
    <w:rsid w:val="00132288"/>
    <w:rsid w:val="00132910"/>
    <w:rsid w:val="001333A5"/>
    <w:rsid w:val="001337BC"/>
    <w:rsid w:val="0013551A"/>
    <w:rsid w:val="00135E98"/>
    <w:rsid w:val="00136339"/>
    <w:rsid w:val="00136578"/>
    <w:rsid w:val="00137673"/>
    <w:rsid w:val="0013792C"/>
    <w:rsid w:val="00140B37"/>
    <w:rsid w:val="00141038"/>
    <w:rsid w:val="001411D7"/>
    <w:rsid w:val="00142533"/>
    <w:rsid w:val="00142CB6"/>
    <w:rsid w:val="00142D70"/>
    <w:rsid w:val="00143250"/>
    <w:rsid w:val="00143299"/>
    <w:rsid w:val="001434A3"/>
    <w:rsid w:val="00143DB0"/>
    <w:rsid w:val="00144E46"/>
    <w:rsid w:val="00147191"/>
    <w:rsid w:val="00150195"/>
    <w:rsid w:val="00150850"/>
    <w:rsid w:val="00150CDC"/>
    <w:rsid w:val="001510A0"/>
    <w:rsid w:val="00151761"/>
    <w:rsid w:val="00151BCD"/>
    <w:rsid w:val="00152262"/>
    <w:rsid w:val="001522D1"/>
    <w:rsid w:val="0015314E"/>
    <w:rsid w:val="001538D9"/>
    <w:rsid w:val="00154BD3"/>
    <w:rsid w:val="00155640"/>
    <w:rsid w:val="001559E2"/>
    <w:rsid w:val="00157392"/>
    <w:rsid w:val="001576AE"/>
    <w:rsid w:val="00157ECD"/>
    <w:rsid w:val="00160677"/>
    <w:rsid w:val="001606C8"/>
    <w:rsid w:val="00160B25"/>
    <w:rsid w:val="00161102"/>
    <w:rsid w:val="00161625"/>
    <w:rsid w:val="001618D0"/>
    <w:rsid w:val="00162A40"/>
    <w:rsid w:val="001634B7"/>
    <w:rsid w:val="00163751"/>
    <w:rsid w:val="00163795"/>
    <w:rsid w:val="00164901"/>
    <w:rsid w:val="00164949"/>
    <w:rsid w:val="00164B09"/>
    <w:rsid w:val="00164D14"/>
    <w:rsid w:val="00164DA4"/>
    <w:rsid w:val="00164FEF"/>
    <w:rsid w:val="00165577"/>
    <w:rsid w:val="0016561F"/>
    <w:rsid w:val="00166802"/>
    <w:rsid w:val="00167106"/>
    <w:rsid w:val="0016775D"/>
    <w:rsid w:val="00167B63"/>
    <w:rsid w:val="00170323"/>
    <w:rsid w:val="001707D8"/>
    <w:rsid w:val="00171022"/>
    <w:rsid w:val="00171825"/>
    <w:rsid w:val="001719A2"/>
    <w:rsid w:val="0017204E"/>
    <w:rsid w:val="0017230C"/>
    <w:rsid w:val="001738D5"/>
    <w:rsid w:val="00173CAF"/>
    <w:rsid w:val="00173F3C"/>
    <w:rsid w:val="00174354"/>
    <w:rsid w:val="001749CC"/>
    <w:rsid w:val="00174ABC"/>
    <w:rsid w:val="00174CC4"/>
    <w:rsid w:val="00174EDB"/>
    <w:rsid w:val="00175AD8"/>
    <w:rsid w:val="00175C5A"/>
    <w:rsid w:val="001760D0"/>
    <w:rsid w:val="00176501"/>
    <w:rsid w:val="00176C5E"/>
    <w:rsid w:val="00176D3C"/>
    <w:rsid w:val="00176FBC"/>
    <w:rsid w:val="00177CD2"/>
    <w:rsid w:val="00180125"/>
    <w:rsid w:val="0018049B"/>
    <w:rsid w:val="0018052B"/>
    <w:rsid w:val="00180F05"/>
    <w:rsid w:val="001816CF"/>
    <w:rsid w:val="00183556"/>
    <w:rsid w:val="00183885"/>
    <w:rsid w:val="00183DA6"/>
    <w:rsid w:val="001845C9"/>
    <w:rsid w:val="00184C23"/>
    <w:rsid w:val="00185716"/>
    <w:rsid w:val="001857CC"/>
    <w:rsid w:val="00185AB5"/>
    <w:rsid w:val="00185E88"/>
    <w:rsid w:val="00186D02"/>
    <w:rsid w:val="00187F69"/>
    <w:rsid w:val="00190860"/>
    <w:rsid w:val="00190F65"/>
    <w:rsid w:val="00191D94"/>
    <w:rsid w:val="0019215F"/>
    <w:rsid w:val="0019282D"/>
    <w:rsid w:val="00192F44"/>
    <w:rsid w:val="00193429"/>
    <w:rsid w:val="00194231"/>
    <w:rsid w:val="00194AE7"/>
    <w:rsid w:val="00195051"/>
    <w:rsid w:val="00195259"/>
    <w:rsid w:val="001957B8"/>
    <w:rsid w:val="001957C0"/>
    <w:rsid w:val="00195A9F"/>
    <w:rsid w:val="0019603F"/>
    <w:rsid w:val="00196726"/>
    <w:rsid w:val="00197FB1"/>
    <w:rsid w:val="001A0005"/>
    <w:rsid w:val="001A036A"/>
    <w:rsid w:val="001A05CD"/>
    <w:rsid w:val="001A0D2F"/>
    <w:rsid w:val="001A12A1"/>
    <w:rsid w:val="001A1AE7"/>
    <w:rsid w:val="001A2732"/>
    <w:rsid w:val="001A2B18"/>
    <w:rsid w:val="001A2DC9"/>
    <w:rsid w:val="001A2E99"/>
    <w:rsid w:val="001A4088"/>
    <w:rsid w:val="001A49B5"/>
    <w:rsid w:val="001A4CA9"/>
    <w:rsid w:val="001A4FCC"/>
    <w:rsid w:val="001A5376"/>
    <w:rsid w:val="001A549E"/>
    <w:rsid w:val="001A6255"/>
    <w:rsid w:val="001A6D94"/>
    <w:rsid w:val="001A7755"/>
    <w:rsid w:val="001B08E6"/>
    <w:rsid w:val="001B10D4"/>
    <w:rsid w:val="001B139D"/>
    <w:rsid w:val="001B1B8A"/>
    <w:rsid w:val="001B1C2A"/>
    <w:rsid w:val="001B2EFD"/>
    <w:rsid w:val="001B32C2"/>
    <w:rsid w:val="001B334D"/>
    <w:rsid w:val="001B374E"/>
    <w:rsid w:val="001B3921"/>
    <w:rsid w:val="001B3CF4"/>
    <w:rsid w:val="001B42DA"/>
    <w:rsid w:val="001B56AD"/>
    <w:rsid w:val="001B594A"/>
    <w:rsid w:val="001B6100"/>
    <w:rsid w:val="001B68E2"/>
    <w:rsid w:val="001B69BC"/>
    <w:rsid w:val="001B6BA6"/>
    <w:rsid w:val="001B7A42"/>
    <w:rsid w:val="001B7ADB"/>
    <w:rsid w:val="001B7B70"/>
    <w:rsid w:val="001B7C1F"/>
    <w:rsid w:val="001C00E9"/>
    <w:rsid w:val="001C0414"/>
    <w:rsid w:val="001C0975"/>
    <w:rsid w:val="001C0BF8"/>
    <w:rsid w:val="001C124C"/>
    <w:rsid w:val="001C1D93"/>
    <w:rsid w:val="001C2F19"/>
    <w:rsid w:val="001C3F06"/>
    <w:rsid w:val="001C4916"/>
    <w:rsid w:val="001C4E77"/>
    <w:rsid w:val="001C58A3"/>
    <w:rsid w:val="001C5A8D"/>
    <w:rsid w:val="001C6852"/>
    <w:rsid w:val="001C73A5"/>
    <w:rsid w:val="001C7B41"/>
    <w:rsid w:val="001D0050"/>
    <w:rsid w:val="001D075A"/>
    <w:rsid w:val="001D11D7"/>
    <w:rsid w:val="001D13D5"/>
    <w:rsid w:val="001D145F"/>
    <w:rsid w:val="001D1ADB"/>
    <w:rsid w:val="001D2314"/>
    <w:rsid w:val="001D2351"/>
    <w:rsid w:val="001D2CB3"/>
    <w:rsid w:val="001D2DDE"/>
    <w:rsid w:val="001D30CE"/>
    <w:rsid w:val="001D3867"/>
    <w:rsid w:val="001D4238"/>
    <w:rsid w:val="001D4902"/>
    <w:rsid w:val="001D4FD8"/>
    <w:rsid w:val="001D58A9"/>
    <w:rsid w:val="001D5A6F"/>
    <w:rsid w:val="001D606E"/>
    <w:rsid w:val="001D6476"/>
    <w:rsid w:val="001D663D"/>
    <w:rsid w:val="001D66A5"/>
    <w:rsid w:val="001D6928"/>
    <w:rsid w:val="001D75CB"/>
    <w:rsid w:val="001D7747"/>
    <w:rsid w:val="001D7AA3"/>
    <w:rsid w:val="001E0D8D"/>
    <w:rsid w:val="001E244E"/>
    <w:rsid w:val="001E3088"/>
    <w:rsid w:val="001E5465"/>
    <w:rsid w:val="001E5807"/>
    <w:rsid w:val="001E5A3C"/>
    <w:rsid w:val="001E5DF6"/>
    <w:rsid w:val="001E5F63"/>
    <w:rsid w:val="001E6326"/>
    <w:rsid w:val="001E6E92"/>
    <w:rsid w:val="001E6F4F"/>
    <w:rsid w:val="001E73CD"/>
    <w:rsid w:val="001E7D2F"/>
    <w:rsid w:val="001F0536"/>
    <w:rsid w:val="001F0672"/>
    <w:rsid w:val="001F0B2F"/>
    <w:rsid w:val="001F16AA"/>
    <w:rsid w:val="001F2A5D"/>
    <w:rsid w:val="001F2A82"/>
    <w:rsid w:val="001F3398"/>
    <w:rsid w:val="001F34CF"/>
    <w:rsid w:val="001F3EA7"/>
    <w:rsid w:val="001F43EF"/>
    <w:rsid w:val="001F4BDB"/>
    <w:rsid w:val="001F4F82"/>
    <w:rsid w:val="001F5039"/>
    <w:rsid w:val="001F578B"/>
    <w:rsid w:val="001F598B"/>
    <w:rsid w:val="001F5B69"/>
    <w:rsid w:val="001F5CB8"/>
    <w:rsid w:val="001F5DD5"/>
    <w:rsid w:val="001F6347"/>
    <w:rsid w:val="001F64F9"/>
    <w:rsid w:val="001F6F6B"/>
    <w:rsid w:val="001F77C3"/>
    <w:rsid w:val="001F7E65"/>
    <w:rsid w:val="001F7F9F"/>
    <w:rsid w:val="002000AD"/>
    <w:rsid w:val="002002A3"/>
    <w:rsid w:val="00200B5A"/>
    <w:rsid w:val="00200EC6"/>
    <w:rsid w:val="00200ECA"/>
    <w:rsid w:val="00201BAE"/>
    <w:rsid w:val="00201BF1"/>
    <w:rsid w:val="00201C79"/>
    <w:rsid w:val="00202C13"/>
    <w:rsid w:val="002033D7"/>
    <w:rsid w:val="0020364C"/>
    <w:rsid w:val="00203C5B"/>
    <w:rsid w:val="00204ED9"/>
    <w:rsid w:val="002051E3"/>
    <w:rsid w:val="002053EF"/>
    <w:rsid w:val="0020712B"/>
    <w:rsid w:val="002073AE"/>
    <w:rsid w:val="00207CB4"/>
    <w:rsid w:val="002100FD"/>
    <w:rsid w:val="00210D4A"/>
    <w:rsid w:val="00211E80"/>
    <w:rsid w:val="00212486"/>
    <w:rsid w:val="00212AEC"/>
    <w:rsid w:val="00213305"/>
    <w:rsid w:val="0021381D"/>
    <w:rsid w:val="00213894"/>
    <w:rsid w:val="002142C0"/>
    <w:rsid w:val="002147C5"/>
    <w:rsid w:val="002151D9"/>
    <w:rsid w:val="00215B0C"/>
    <w:rsid w:val="00216427"/>
    <w:rsid w:val="00216A9C"/>
    <w:rsid w:val="00216EF0"/>
    <w:rsid w:val="002170FC"/>
    <w:rsid w:val="00217381"/>
    <w:rsid w:val="002176D7"/>
    <w:rsid w:val="00217797"/>
    <w:rsid w:val="00217934"/>
    <w:rsid w:val="00217979"/>
    <w:rsid w:val="00217A7D"/>
    <w:rsid w:val="00217F94"/>
    <w:rsid w:val="002200EE"/>
    <w:rsid w:val="0022097B"/>
    <w:rsid w:val="00220B9A"/>
    <w:rsid w:val="00220F03"/>
    <w:rsid w:val="002217C5"/>
    <w:rsid w:val="00221A6E"/>
    <w:rsid w:val="0022218F"/>
    <w:rsid w:val="002221F2"/>
    <w:rsid w:val="00222530"/>
    <w:rsid w:val="002225BE"/>
    <w:rsid w:val="002226EF"/>
    <w:rsid w:val="00222A4B"/>
    <w:rsid w:val="002233F9"/>
    <w:rsid w:val="002236C7"/>
    <w:rsid w:val="00224DF3"/>
    <w:rsid w:val="00225AFE"/>
    <w:rsid w:val="00225F75"/>
    <w:rsid w:val="0022748D"/>
    <w:rsid w:val="00227592"/>
    <w:rsid w:val="00227C5C"/>
    <w:rsid w:val="00230249"/>
    <w:rsid w:val="002306A3"/>
    <w:rsid w:val="00230870"/>
    <w:rsid w:val="002308B9"/>
    <w:rsid w:val="0023177E"/>
    <w:rsid w:val="0023266C"/>
    <w:rsid w:val="00233B51"/>
    <w:rsid w:val="00233B79"/>
    <w:rsid w:val="00234392"/>
    <w:rsid w:val="0023498D"/>
    <w:rsid w:val="00234C3A"/>
    <w:rsid w:val="00234DE9"/>
    <w:rsid w:val="0023549F"/>
    <w:rsid w:val="0023576E"/>
    <w:rsid w:val="00235979"/>
    <w:rsid w:val="00236FA6"/>
    <w:rsid w:val="00237004"/>
    <w:rsid w:val="00237072"/>
    <w:rsid w:val="00240B95"/>
    <w:rsid w:val="00242723"/>
    <w:rsid w:val="00242D1B"/>
    <w:rsid w:val="0024319A"/>
    <w:rsid w:val="0024381B"/>
    <w:rsid w:val="00243FAD"/>
    <w:rsid w:val="002450E6"/>
    <w:rsid w:val="002473D8"/>
    <w:rsid w:val="002475E8"/>
    <w:rsid w:val="00247D5C"/>
    <w:rsid w:val="00250F13"/>
    <w:rsid w:val="002518A3"/>
    <w:rsid w:val="00253042"/>
    <w:rsid w:val="002532AB"/>
    <w:rsid w:val="002534CE"/>
    <w:rsid w:val="00253ABD"/>
    <w:rsid w:val="002541DC"/>
    <w:rsid w:val="00254936"/>
    <w:rsid w:val="00255420"/>
    <w:rsid w:val="00255663"/>
    <w:rsid w:val="00255FAC"/>
    <w:rsid w:val="00256875"/>
    <w:rsid w:val="00256B7D"/>
    <w:rsid w:val="00256B9D"/>
    <w:rsid w:val="00256C6A"/>
    <w:rsid w:val="002579B9"/>
    <w:rsid w:val="00257A7A"/>
    <w:rsid w:val="00257B94"/>
    <w:rsid w:val="00257CD7"/>
    <w:rsid w:val="0026012D"/>
    <w:rsid w:val="00260487"/>
    <w:rsid w:val="0026098D"/>
    <w:rsid w:val="00260C15"/>
    <w:rsid w:val="00260E92"/>
    <w:rsid w:val="00260EEB"/>
    <w:rsid w:val="00260FF0"/>
    <w:rsid w:val="0026126D"/>
    <w:rsid w:val="00261A26"/>
    <w:rsid w:val="002620CA"/>
    <w:rsid w:val="00262E9F"/>
    <w:rsid w:val="00262FC3"/>
    <w:rsid w:val="002636D0"/>
    <w:rsid w:val="00263778"/>
    <w:rsid w:val="002639A1"/>
    <w:rsid w:val="00263F97"/>
    <w:rsid w:val="002646F4"/>
    <w:rsid w:val="0026490A"/>
    <w:rsid w:val="002649D3"/>
    <w:rsid w:val="002650FA"/>
    <w:rsid w:val="0026530B"/>
    <w:rsid w:val="002655EB"/>
    <w:rsid w:val="002657F3"/>
    <w:rsid w:val="00265E91"/>
    <w:rsid w:val="00266171"/>
    <w:rsid w:val="00266E27"/>
    <w:rsid w:val="00266FFE"/>
    <w:rsid w:val="002675D9"/>
    <w:rsid w:val="0027163A"/>
    <w:rsid w:val="00271CCB"/>
    <w:rsid w:val="00271FF9"/>
    <w:rsid w:val="00272391"/>
    <w:rsid w:val="0027279F"/>
    <w:rsid w:val="00272817"/>
    <w:rsid w:val="002736C6"/>
    <w:rsid w:val="002736E4"/>
    <w:rsid w:val="00273F3D"/>
    <w:rsid w:val="00274388"/>
    <w:rsid w:val="00274DD3"/>
    <w:rsid w:val="00275650"/>
    <w:rsid w:val="00275CE9"/>
    <w:rsid w:val="00275F3E"/>
    <w:rsid w:val="00276FF9"/>
    <w:rsid w:val="002770EA"/>
    <w:rsid w:val="00280556"/>
    <w:rsid w:val="00280DBB"/>
    <w:rsid w:val="00281761"/>
    <w:rsid w:val="00281ABD"/>
    <w:rsid w:val="00282112"/>
    <w:rsid w:val="00282EB5"/>
    <w:rsid w:val="00283C64"/>
    <w:rsid w:val="00284A33"/>
    <w:rsid w:val="00284DFC"/>
    <w:rsid w:val="00284FBD"/>
    <w:rsid w:val="0028513E"/>
    <w:rsid w:val="0028543E"/>
    <w:rsid w:val="00285F95"/>
    <w:rsid w:val="00285FDD"/>
    <w:rsid w:val="002862A1"/>
    <w:rsid w:val="0028649C"/>
    <w:rsid w:val="00286A6B"/>
    <w:rsid w:val="00286C46"/>
    <w:rsid w:val="00286C71"/>
    <w:rsid w:val="00287108"/>
    <w:rsid w:val="00287C91"/>
    <w:rsid w:val="0029080F"/>
    <w:rsid w:val="00290DB2"/>
    <w:rsid w:val="00290E13"/>
    <w:rsid w:val="00290E7E"/>
    <w:rsid w:val="002911D0"/>
    <w:rsid w:val="00291FE9"/>
    <w:rsid w:val="00292312"/>
    <w:rsid w:val="00292A06"/>
    <w:rsid w:val="00292BEE"/>
    <w:rsid w:val="00292C1F"/>
    <w:rsid w:val="00292CD8"/>
    <w:rsid w:val="00293A70"/>
    <w:rsid w:val="00293EB9"/>
    <w:rsid w:val="00294171"/>
    <w:rsid w:val="00294961"/>
    <w:rsid w:val="00295249"/>
    <w:rsid w:val="0029548E"/>
    <w:rsid w:val="00295812"/>
    <w:rsid w:val="00295901"/>
    <w:rsid w:val="00295F8A"/>
    <w:rsid w:val="00296D40"/>
    <w:rsid w:val="00296E2A"/>
    <w:rsid w:val="0029743C"/>
    <w:rsid w:val="002977B6"/>
    <w:rsid w:val="002A0050"/>
    <w:rsid w:val="002A08B9"/>
    <w:rsid w:val="002A0970"/>
    <w:rsid w:val="002A1358"/>
    <w:rsid w:val="002A24A4"/>
    <w:rsid w:val="002A2959"/>
    <w:rsid w:val="002A2F48"/>
    <w:rsid w:val="002A3021"/>
    <w:rsid w:val="002A5AB8"/>
    <w:rsid w:val="002A5BF9"/>
    <w:rsid w:val="002A5ECE"/>
    <w:rsid w:val="002A62F0"/>
    <w:rsid w:val="002A63B3"/>
    <w:rsid w:val="002A6902"/>
    <w:rsid w:val="002A6A49"/>
    <w:rsid w:val="002A7932"/>
    <w:rsid w:val="002B03B1"/>
    <w:rsid w:val="002B1700"/>
    <w:rsid w:val="002B18C0"/>
    <w:rsid w:val="002B1B9A"/>
    <w:rsid w:val="002B1C33"/>
    <w:rsid w:val="002B2C81"/>
    <w:rsid w:val="002B3651"/>
    <w:rsid w:val="002B3B21"/>
    <w:rsid w:val="002B457C"/>
    <w:rsid w:val="002B4C42"/>
    <w:rsid w:val="002B520D"/>
    <w:rsid w:val="002B5256"/>
    <w:rsid w:val="002B569F"/>
    <w:rsid w:val="002B5713"/>
    <w:rsid w:val="002B58F0"/>
    <w:rsid w:val="002B609D"/>
    <w:rsid w:val="002B6D13"/>
    <w:rsid w:val="002B7F25"/>
    <w:rsid w:val="002C0615"/>
    <w:rsid w:val="002C0B42"/>
    <w:rsid w:val="002C0E05"/>
    <w:rsid w:val="002C0F81"/>
    <w:rsid w:val="002C15B0"/>
    <w:rsid w:val="002C1C0E"/>
    <w:rsid w:val="002C22B6"/>
    <w:rsid w:val="002C2EB7"/>
    <w:rsid w:val="002C36F5"/>
    <w:rsid w:val="002C41B4"/>
    <w:rsid w:val="002C4513"/>
    <w:rsid w:val="002C492A"/>
    <w:rsid w:val="002C4E6A"/>
    <w:rsid w:val="002C558D"/>
    <w:rsid w:val="002C57FA"/>
    <w:rsid w:val="002C5C0D"/>
    <w:rsid w:val="002C61B3"/>
    <w:rsid w:val="002C66B3"/>
    <w:rsid w:val="002C693C"/>
    <w:rsid w:val="002C6981"/>
    <w:rsid w:val="002C720C"/>
    <w:rsid w:val="002C73B4"/>
    <w:rsid w:val="002C7AE5"/>
    <w:rsid w:val="002C7D0E"/>
    <w:rsid w:val="002C7DCF"/>
    <w:rsid w:val="002D07BA"/>
    <w:rsid w:val="002D0B46"/>
    <w:rsid w:val="002D1040"/>
    <w:rsid w:val="002D1705"/>
    <w:rsid w:val="002D1F69"/>
    <w:rsid w:val="002D1F8B"/>
    <w:rsid w:val="002D36D0"/>
    <w:rsid w:val="002D3745"/>
    <w:rsid w:val="002D3958"/>
    <w:rsid w:val="002D515B"/>
    <w:rsid w:val="002D5774"/>
    <w:rsid w:val="002D5B2C"/>
    <w:rsid w:val="002D606E"/>
    <w:rsid w:val="002D6468"/>
    <w:rsid w:val="002D655D"/>
    <w:rsid w:val="002D6F1E"/>
    <w:rsid w:val="002E0283"/>
    <w:rsid w:val="002E0340"/>
    <w:rsid w:val="002E0B6A"/>
    <w:rsid w:val="002E1213"/>
    <w:rsid w:val="002E19FC"/>
    <w:rsid w:val="002E1B50"/>
    <w:rsid w:val="002E2641"/>
    <w:rsid w:val="002E4801"/>
    <w:rsid w:val="002E4ECA"/>
    <w:rsid w:val="002E5BDE"/>
    <w:rsid w:val="002E61A3"/>
    <w:rsid w:val="002E6AE5"/>
    <w:rsid w:val="002E7B98"/>
    <w:rsid w:val="002E7ECA"/>
    <w:rsid w:val="002F0702"/>
    <w:rsid w:val="002F0A5E"/>
    <w:rsid w:val="002F0A8F"/>
    <w:rsid w:val="002F2A18"/>
    <w:rsid w:val="002F30D1"/>
    <w:rsid w:val="002F3239"/>
    <w:rsid w:val="002F39FD"/>
    <w:rsid w:val="002F4142"/>
    <w:rsid w:val="002F472F"/>
    <w:rsid w:val="002F4777"/>
    <w:rsid w:val="002F4AB7"/>
    <w:rsid w:val="002F4D32"/>
    <w:rsid w:val="002F52AD"/>
    <w:rsid w:val="002F68B1"/>
    <w:rsid w:val="003005DA"/>
    <w:rsid w:val="00300BA7"/>
    <w:rsid w:val="003011C1"/>
    <w:rsid w:val="003023AD"/>
    <w:rsid w:val="00302BB6"/>
    <w:rsid w:val="00302BFE"/>
    <w:rsid w:val="00303038"/>
    <w:rsid w:val="003033A6"/>
    <w:rsid w:val="0030353E"/>
    <w:rsid w:val="0030419C"/>
    <w:rsid w:val="00304420"/>
    <w:rsid w:val="00305366"/>
    <w:rsid w:val="00305A08"/>
    <w:rsid w:val="00305A83"/>
    <w:rsid w:val="00306221"/>
    <w:rsid w:val="00306F9E"/>
    <w:rsid w:val="00306FB5"/>
    <w:rsid w:val="003072C7"/>
    <w:rsid w:val="00310E57"/>
    <w:rsid w:val="00311A5A"/>
    <w:rsid w:val="00312CAF"/>
    <w:rsid w:val="0031324A"/>
    <w:rsid w:val="00313BB8"/>
    <w:rsid w:val="00313CB1"/>
    <w:rsid w:val="00314EB0"/>
    <w:rsid w:val="0031541D"/>
    <w:rsid w:val="00315488"/>
    <w:rsid w:val="00316ECB"/>
    <w:rsid w:val="00317B9B"/>
    <w:rsid w:val="00320A39"/>
    <w:rsid w:val="003219FF"/>
    <w:rsid w:val="00321E76"/>
    <w:rsid w:val="00321FE8"/>
    <w:rsid w:val="0032226D"/>
    <w:rsid w:val="0032280F"/>
    <w:rsid w:val="00324197"/>
    <w:rsid w:val="003243D8"/>
    <w:rsid w:val="00324493"/>
    <w:rsid w:val="00324DA2"/>
    <w:rsid w:val="0032636D"/>
    <w:rsid w:val="003266F6"/>
    <w:rsid w:val="003268D7"/>
    <w:rsid w:val="00326C0A"/>
    <w:rsid w:val="00327297"/>
    <w:rsid w:val="003274D2"/>
    <w:rsid w:val="0032783A"/>
    <w:rsid w:val="003278A7"/>
    <w:rsid w:val="003301A6"/>
    <w:rsid w:val="00330224"/>
    <w:rsid w:val="003306BB"/>
    <w:rsid w:val="003317A2"/>
    <w:rsid w:val="00331BD1"/>
    <w:rsid w:val="00331CE8"/>
    <w:rsid w:val="003326F1"/>
    <w:rsid w:val="00332E18"/>
    <w:rsid w:val="0033385C"/>
    <w:rsid w:val="003338AB"/>
    <w:rsid w:val="003338F4"/>
    <w:rsid w:val="00333B85"/>
    <w:rsid w:val="0033467C"/>
    <w:rsid w:val="0033549F"/>
    <w:rsid w:val="00335777"/>
    <w:rsid w:val="00335D0D"/>
    <w:rsid w:val="003362AF"/>
    <w:rsid w:val="00336524"/>
    <w:rsid w:val="00336CB9"/>
    <w:rsid w:val="00336CBC"/>
    <w:rsid w:val="0033787D"/>
    <w:rsid w:val="00337F19"/>
    <w:rsid w:val="003402BB"/>
    <w:rsid w:val="00341063"/>
    <w:rsid w:val="0034116A"/>
    <w:rsid w:val="00341EAA"/>
    <w:rsid w:val="00342952"/>
    <w:rsid w:val="003429BA"/>
    <w:rsid w:val="00342CA1"/>
    <w:rsid w:val="00342EE1"/>
    <w:rsid w:val="00343F66"/>
    <w:rsid w:val="0034459F"/>
    <w:rsid w:val="00345371"/>
    <w:rsid w:val="00345FB1"/>
    <w:rsid w:val="003477DC"/>
    <w:rsid w:val="003477E9"/>
    <w:rsid w:val="00347881"/>
    <w:rsid w:val="003478AB"/>
    <w:rsid w:val="00350093"/>
    <w:rsid w:val="00350219"/>
    <w:rsid w:val="003502EB"/>
    <w:rsid w:val="003509C4"/>
    <w:rsid w:val="00350EB8"/>
    <w:rsid w:val="00350F58"/>
    <w:rsid w:val="003513DE"/>
    <w:rsid w:val="003521EF"/>
    <w:rsid w:val="00352208"/>
    <w:rsid w:val="00352445"/>
    <w:rsid w:val="00352581"/>
    <w:rsid w:val="00353C11"/>
    <w:rsid w:val="00354281"/>
    <w:rsid w:val="00354532"/>
    <w:rsid w:val="0035496C"/>
    <w:rsid w:val="0035536C"/>
    <w:rsid w:val="003556A6"/>
    <w:rsid w:val="00355895"/>
    <w:rsid w:val="003565DB"/>
    <w:rsid w:val="003566E5"/>
    <w:rsid w:val="00356AAB"/>
    <w:rsid w:val="00356FF6"/>
    <w:rsid w:val="0035795A"/>
    <w:rsid w:val="00360435"/>
    <w:rsid w:val="00360789"/>
    <w:rsid w:val="003619FE"/>
    <w:rsid w:val="00361AA1"/>
    <w:rsid w:val="00361E16"/>
    <w:rsid w:val="003624D2"/>
    <w:rsid w:val="00362D43"/>
    <w:rsid w:val="00363AFE"/>
    <w:rsid w:val="00364021"/>
    <w:rsid w:val="00364512"/>
    <w:rsid w:val="003657C8"/>
    <w:rsid w:val="00365AB3"/>
    <w:rsid w:val="003662AF"/>
    <w:rsid w:val="003666EE"/>
    <w:rsid w:val="00366990"/>
    <w:rsid w:val="00366F03"/>
    <w:rsid w:val="00367061"/>
    <w:rsid w:val="003673BC"/>
    <w:rsid w:val="00370725"/>
    <w:rsid w:val="003707D5"/>
    <w:rsid w:val="00370DFA"/>
    <w:rsid w:val="0037236D"/>
    <w:rsid w:val="00373B07"/>
    <w:rsid w:val="003740B7"/>
    <w:rsid w:val="003740C8"/>
    <w:rsid w:val="00374926"/>
    <w:rsid w:val="00374D2E"/>
    <w:rsid w:val="00374DE9"/>
    <w:rsid w:val="0037564E"/>
    <w:rsid w:val="00375660"/>
    <w:rsid w:val="00375FC1"/>
    <w:rsid w:val="0037656F"/>
    <w:rsid w:val="0037693D"/>
    <w:rsid w:val="0037726C"/>
    <w:rsid w:val="00380674"/>
    <w:rsid w:val="00381534"/>
    <w:rsid w:val="00381D3C"/>
    <w:rsid w:val="00383436"/>
    <w:rsid w:val="00383D64"/>
    <w:rsid w:val="003845F4"/>
    <w:rsid w:val="0038464B"/>
    <w:rsid w:val="003848CB"/>
    <w:rsid w:val="00385290"/>
    <w:rsid w:val="003855CF"/>
    <w:rsid w:val="00386130"/>
    <w:rsid w:val="0038616C"/>
    <w:rsid w:val="00386D3B"/>
    <w:rsid w:val="00387D2F"/>
    <w:rsid w:val="00390C26"/>
    <w:rsid w:val="00392101"/>
    <w:rsid w:val="0039262D"/>
    <w:rsid w:val="003928DC"/>
    <w:rsid w:val="00392F72"/>
    <w:rsid w:val="00392F89"/>
    <w:rsid w:val="00393BA1"/>
    <w:rsid w:val="00394474"/>
    <w:rsid w:val="00394FDC"/>
    <w:rsid w:val="00395192"/>
    <w:rsid w:val="00395E35"/>
    <w:rsid w:val="003960B0"/>
    <w:rsid w:val="003966A5"/>
    <w:rsid w:val="00396828"/>
    <w:rsid w:val="00396DE4"/>
    <w:rsid w:val="00396E2C"/>
    <w:rsid w:val="003976DB"/>
    <w:rsid w:val="00397DD7"/>
    <w:rsid w:val="003A0A15"/>
    <w:rsid w:val="003A0EEC"/>
    <w:rsid w:val="003A12F4"/>
    <w:rsid w:val="003A224C"/>
    <w:rsid w:val="003A25CE"/>
    <w:rsid w:val="003A25DA"/>
    <w:rsid w:val="003A2C01"/>
    <w:rsid w:val="003A31B6"/>
    <w:rsid w:val="003A3211"/>
    <w:rsid w:val="003A376D"/>
    <w:rsid w:val="003A3E0D"/>
    <w:rsid w:val="003A4D83"/>
    <w:rsid w:val="003A4DB6"/>
    <w:rsid w:val="003A5367"/>
    <w:rsid w:val="003A56D4"/>
    <w:rsid w:val="003A56F3"/>
    <w:rsid w:val="003A5849"/>
    <w:rsid w:val="003A584F"/>
    <w:rsid w:val="003A5B4F"/>
    <w:rsid w:val="003A5E54"/>
    <w:rsid w:val="003A75F8"/>
    <w:rsid w:val="003A7712"/>
    <w:rsid w:val="003A774F"/>
    <w:rsid w:val="003A7B7C"/>
    <w:rsid w:val="003A7D5A"/>
    <w:rsid w:val="003B047A"/>
    <w:rsid w:val="003B0CFC"/>
    <w:rsid w:val="003B0E56"/>
    <w:rsid w:val="003B11D9"/>
    <w:rsid w:val="003B19B2"/>
    <w:rsid w:val="003B2089"/>
    <w:rsid w:val="003B2570"/>
    <w:rsid w:val="003B27F1"/>
    <w:rsid w:val="003B3248"/>
    <w:rsid w:val="003B3260"/>
    <w:rsid w:val="003B459F"/>
    <w:rsid w:val="003B487B"/>
    <w:rsid w:val="003B4FE4"/>
    <w:rsid w:val="003B51BE"/>
    <w:rsid w:val="003B5BE5"/>
    <w:rsid w:val="003B663C"/>
    <w:rsid w:val="003B6950"/>
    <w:rsid w:val="003B79DD"/>
    <w:rsid w:val="003C03F7"/>
    <w:rsid w:val="003C04AC"/>
    <w:rsid w:val="003C05F4"/>
    <w:rsid w:val="003C15AE"/>
    <w:rsid w:val="003C1962"/>
    <w:rsid w:val="003C24A1"/>
    <w:rsid w:val="003C3433"/>
    <w:rsid w:val="003C45A5"/>
    <w:rsid w:val="003C518A"/>
    <w:rsid w:val="003C5BE0"/>
    <w:rsid w:val="003C5D6F"/>
    <w:rsid w:val="003C62C7"/>
    <w:rsid w:val="003C7AC9"/>
    <w:rsid w:val="003D1189"/>
    <w:rsid w:val="003D16C4"/>
    <w:rsid w:val="003D244B"/>
    <w:rsid w:val="003D2A38"/>
    <w:rsid w:val="003D35D2"/>
    <w:rsid w:val="003D3EBE"/>
    <w:rsid w:val="003D41CB"/>
    <w:rsid w:val="003D47CF"/>
    <w:rsid w:val="003D6478"/>
    <w:rsid w:val="003D7191"/>
    <w:rsid w:val="003D71B1"/>
    <w:rsid w:val="003D7262"/>
    <w:rsid w:val="003D78F3"/>
    <w:rsid w:val="003D7C84"/>
    <w:rsid w:val="003D7DAC"/>
    <w:rsid w:val="003D7E8F"/>
    <w:rsid w:val="003E00D0"/>
    <w:rsid w:val="003E05DE"/>
    <w:rsid w:val="003E0800"/>
    <w:rsid w:val="003E14CE"/>
    <w:rsid w:val="003E1610"/>
    <w:rsid w:val="003E28D9"/>
    <w:rsid w:val="003E2E8A"/>
    <w:rsid w:val="003E3308"/>
    <w:rsid w:val="003E34EB"/>
    <w:rsid w:val="003E3611"/>
    <w:rsid w:val="003E362F"/>
    <w:rsid w:val="003E382B"/>
    <w:rsid w:val="003E4289"/>
    <w:rsid w:val="003E46A8"/>
    <w:rsid w:val="003E486A"/>
    <w:rsid w:val="003E49A1"/>
    <w:rsid w:val="003E4B91"/>
    <w:rsid w:val="003E581A"/>
    <w:rsid w:val="003E60DE"/>
    <w:rsid w:val="003E6DBA"/>
    <w:rsid w:val="003E7FCA"/>
    <w:rsid w:val="003F0A2C"/>
    <w:rsid w:val="003F0C71"/>
    <w:rsid w:val="003F11EA"/>
    <w:rsid w:val="003F143A"/>
    <w:rsid w:val="003F15EE"/>
    <w:rsid w:val="003F27F1"/>
    <w:rsid w:val="003F2ECC"/>
    <w:rsid w:val="003F2ED7"/>
    <w:rsid w:val="003F305C"/>
    <w:rsid w:val="003F33CC"/>
    <w:rsid w:val="003F522E"/>
    <w:rsid w:val="003F525F"/>
    <w:rsid w:val="003F538F"/>
    <w:rsid w:val="003F5A55"/>
    <w:rsid w:val="003F5BDC"/>
    <w:rsid w:val="003F7152"/>
    <w:rsid w:val="003F7181"/>
    <w:rsid w:val="003F71FD"/>
    <w:rsid w:val="003F7DB2"/>
    <w:rsid w:val="00400968"/>
    <w:rsid w:val="00401589"/>
    <w:rsid w:val="00401757"/>
    <w:rsid w:val="00401917"/>
    <w:rsid w:val="00401D84"/>
    <w:rsid w:val="00402456"/>
    <w:rsid w:val="00402599"/>
    <w:rsid w:val="0040276A"/>
    <w:rsid w:val="00402CDD"/>
    <w:rsid w:val="00403222"/>
    <w:rsid w:val="00403BB2"/>
    <w:rsid w:val="00403DDF"/>
    <w:rsid w:val="004041D7"/>
    <w:rsid w:val="004052ED"/>
    <w:rsid w:val="00406651"/>
    <w:rsid w:val="00406CE3"/>
    <w:rsid w:val="004077AC"/>
    <w:rsid w:val="00407B8D"/>
    <w:rsid w:val="00407EEC"/>
    <w:rsid w:val="00410326"/>
    <w:rsid w:val="00410758"/>
    <w:rsid w:val="00410784"/>
    <w:rsid w:val="00410ED6"/>
    <w:rsid w:val="00410F54"/>
    <w:rsid w:val="00411102"/>
    <w:rsid w:val="0041187F"/>
    <w:rsid w:val="00411FCE"/>
    <w:rsid w:val="004125DC"/>
    <w:rsid w:val="0041310B"/>
    <w:rsid w:val="00413908"/>
    <w:rsid w:val="00414A31"/>
    <w:rsid w:val="00415B33"/>
    <w:rsid w:val="004161A7"/>
    <w:rsid w:val="0041644F"/>
    <w:rsid w:val="00416949"/>
    <w:rsid w:val="00416C29"/>
    <w:rsid w:val="00416F20"/>
    <w:rsid w:val="00416F68"/>
    <w:rsid w:val="0041744C"/>
    <w:rsid w:val="00417681"/>
    <w:rsid w:val="00417E01"/>
    <w:rsid w:val="00417EEC"/>
    <w:rsid w:val="004207DF"/>
    <w:rsid w:val="00420C5A"/>
    <w:rsid w:val="004213BD"/>
    <w:rsid w:val="004226FD"/>
    <w:rsid w:val="00422AC9"/>
    <w:rsid w:val="00422B4A"/>
    <w:rsid w:val="00422D82"/>
    <w:rsid w:val="00423406"/>
    <w:rsid w:val="00423790"/>
    <w:rsid w:val="0042392D"/>
    <w:rsid w:val="00423971"/>
    <w:rsid w:val="00424975"/>
    <w:rsid w:val="00424C0A"/>
    <w:rsid w:val="00424DA3"/>
    <w:rsid w:val="004251BB"/>
    <w:rsid w:val="0042565A"/>
    <w:rsid w:val="00425C5F"/>
    <w:rsid w:val="00425E9D"/>
    <w:rsid w:val="00426075"/>
    <w:rsid w:val="00426A35"/>
    <w:rsid w:val="00426B96"/>
    <w:rsid w:val="00427DDC"/>
    <w:rsid w:val="004300E4"/>
    <w:rsid w:val="00430957"/>
    <w:rsid w:val="004315A7"/>
    <w:rsid w:val="004321C7"/>
    <w:rsid w:val="004322B7"/>
    <w:rsid w:val="00432362"/>
    <w:rsid w:val="004327C3"/>
    <w:rsid w:val="00432A96"/>
    <w:rsid w:val="004337D5"/>
    <w:rsid w:val="00433977"/>
    <w:rsid w:val="00433C7E"/>
    <w:rsid w:val="00434A73"/>
    <w:rsid w:val="00434D1D"/>
    <w:rsid w:val="00435C44"/>
    <w:rsid w:val="00435CCC"/>
    <w:rsid w:val="00436644"/>
    <w:rsid w:val="00436AB7"/>
    <w:rsid w:val="004375AA"/>
    <w:rsid w:val="00437FD7"/>
    <w:rsid w:val="004402FC"/>
    <w:rsid w:val="0044059D"/>
    <w:rsid w:val="00440FB5"/>
    <w:rsid w:val="00441DD3"/>
    <w:rsid w:val="004424A3"/>
    <w:rsid w:val="00442C55"/>
    <w:rsid w:val="00443396"/>
    <w:rsid w:val="00443643"/>
    <w:rsid w:val="00443782"/>
    <w:rsid w:val="00443D39"/>
    <w:rsid w:val="00444447"/>
    <w:rsid w:val="00444A96"/>
    <w:rsid w:val="00444BF2"/>
    <w:rsid w:val="00444BF5"/>
    <w:rsid w:val="00444E29"/>
    <w:rsid w:val="00444EBD"/>
    <w:rsid w:val="00445752"/>
    <w:rsid w:val="004471F1"/>
    <w:rsid w:val="0044748B"/>
    <w:rsid w:val="00447742"/>
    <w:rsid w:val="0044779A"/>
    <w:rsid w:val="00447C97"/>
    <w:rsid w:val="004505BC"/>
    <w:rsid w:val="00451069"/>
    <w:rsid w:val="00451504"/>
    <w:rsid w:val="00451D4A"/>
    <w:rsid w:val="004520E5"/>
    <w:rsid w:val="00452347"/>
    <w:rsid w:val="004527B8"/>
    <w:rsid w:val="00452CC7"/>
    <w:rsid w:val="0045321E"/>
    <w:rsid w:val="0045339B"/>
    <w:rsid w:val="004533FC"/>
    <w:rsid w:val="00454885"/>
    <w:rsid w:val="00454E05"/>
    <w:rsid w:val="00454E4C"/>
    <w:rsid w:val="0045527A"/>
    <w:rsid w:val="00455C2C"/>
    <w:rsid w:val="00456536"/>
    <w:rsid w:val="00456BE5"/>
    <w:rsid w:val="00457822"/>
    <w:rsid w:val="00457B40"/>
    <w:rsid w:val="00457D44"/>
    <w:rsid w:val="00457EF8"/>
    <w:rsid w:val="00457F9E"/>
    <w:rsid w:val="00460466"/>
    <w:rsid w:val="00460D7E"/>
    <w:rsid w:val="0046284E"/>
    <w:rsid w:val="004634CA"/>
    <w:rsid w:val="00463BBC"/>
    <w:rsid w:val="0046417B"/>
    <w:rsid w:val="0046420E"/>
    <w:rsid w:val="00464808"/>
    <w:rsid w:val="004648C7"/>
    <w:rsid w:val="00464A04"/>
    <w:rsid w:val="00464E5B"/>
    <w:rsid w:val="00465502"/>
    <w:rsid w:val="004667CA"/>
    <w:rsid w:val="00466A54"/>
    <w:rsid w:val="00466B65"/>
    <w:rsid w:val="00466C9D"/>
    <w:rsid w:val="00467125"/>
    <w:rsid w:val="00467138"/>
    <w:rsid w:val="0046746A"/>
    <w:rsid w:val="004678FD"/>
    <w:rsid w:val="00467DCC"/>
    <w:rsid w:val="00470161"/>
    <w:rsid w:val="0047054D"/>
    <w:rsid w:val="00470808"/>
    <w:rsid w:val="004717E0"/>
    <w:rsid w:val="004722C1"/>
    <w:rsid w:val="004727C0"/>
    <w:rsid w:val="00472887"/>
    <w:rsid w:val="00472EE8"/>
    <w:rsid w:val="00473BE1"/>
    <w:rsid w:val="00473C5B"/>
    <w:rsid w:val="00475231"/>
    <w:rsid w:val="00475EFB"/>
    <w:rsid w:val="0047617E"/>
    <w:rsid w:val="00476230"/>
    <w:rsid w:val="004762F2"/>
    <w:rsid w:val="00476926"/>
    <w:rsid w:val="00476AD6"/>
    <w:rsid w:val="00476D52"/>
    <w:rsid w:val="00477546"/>
    <w:rsid w:val="00477A7B"/>
    <w:rsid w:val="00480323"/>
    <w:rsid w:val="00480C10"/>
    <w:rsid w:val="00480D9A"/>
    <w:rsid w:val="00480E1F"/>
    <w:rsid w:val="004810CE"/>
    <w:rsid w:val="004814E9"/>
    <w:rsid w:val="004815DD"/>
    <w:rsid w:val="00481C1E"/>
    <w:rsid w:val="00482799"/>
    <w:rsid w:val="0048279A"/>
    <w:rsid w:val="00482B9B"/>
    <w:rsid w:val="00483520"/>
    <w:rsid w:val="00483B48"/>
    <w:rsid w:val="00484AF2"/>
    <w:rsid w:val="00484E61"/>
    <w:rsid w:val="004857DE"/>
    <w:rsid w:val="004858AC"/>
    <w:rsid w:val="00486668"/>
    <w:rsid w:val="0049078B"/>
    <w:rsid w:val="00490B62"/>
    <w:rsid w:val="00490F72"/>
    <w:rsid w:val="00491A81"/>
    <w:rsid w:val="0049207F"/>
    <w:rsid w:val="004921D5"/>
    <w:rsid w:val="00492E4E"/>
    <w:rsid w:val="0049330F"/>
    <w:rsid w:val="00493500"/>
    <w:rsid w:val="0049392E"/>
    <w:rsid w:val="00494D00"/>
    <w:rsid w:val="00494F56"/>
    <w:rsid w:val="00495590"/>
    <w:rsid w:val="00495C2D"/>
    <w:rsid w:val="00496421"/>
    <w:rsid w:val="00496BFC"/>
    <w:rsid w:val="00497EA9"/>
    <w:rsid w:val="00497ED8"/>
    <w:rsid w:val="004A00A5"/>
    <w:rsid w:val="004A0595"/>
    <w:rsid w:val="004A11B5"/>
    <w:rsid w:val="004A11F4"/>
    <w:rsid w:val="004A12EB"/>
    <w:rsid w:val="004A13AA"/>
    <w:rsid w:val="004A1526"/>
    <w:rsid w:val="004A15D9"/>
    <w:rsid w:val="004A314B"/>
    <w:rsid w:val="004A3A1E"/>
    <w:rsid w:val="004A41D7"/>
    <w:rsid w:val="004A438F"/>
    <w:rsid w:val="004A48F6"/>
    <w:rsid w:val="004A57B0"/>
    <w:rsid w:val="004A5CBA"/>
    <w:rsid w:val="004A6460"/>
    <w:rsid w:val="004A6589"/>
    <w:rsid w:val="004A6703"/>
    <w:rsid w:val="004A682B"/>
    <w:rsid w:val="004A6C9F"/>
    <w:rsid w:val="004A7754"/>
    <w:rsid w:val="004A7B54"/>
    <w:rsid w:val="004B0257"/>
    <w:rsid w:val="004B0435"/>
    <w:rsid w:val="004B05BC"/>
    <w:rsid w:val="004B0D85"/>
    <w:rsid w:val="004B1BBE"/>
    <w:rsid w:val="004B22E1"/>
    <w:rsid w:val="004B28F0"/>
    <w:rsid w:val="004B2FFD"/>
    <w:rsid w:val="004B3042"/>
    <w:rsid w:val="004B33BD"/>
    <w:rsid w:val="004B39BB"/>
    <w:rsid w:val="004B3C34"/>
    <w:rsid w:val="004B3DF1"/>
    <w:rsid w:val="004B4DE3"/>
    <w:rsid w:val="004B4E37"/>
    <w:rsid w:val="004B5492"/>
    <w:rsid w:val="004B5D02"/>
    <w:rsid w:val="004B6CCC"/>
    <w:rsid w:val="004B7CC0"/>
    <w:rsid w:val="004C0066"/>
    <w:rsid w:val="004C00DF"/>
    <w:rsid w:val="004C05CA"/>
    <w:rsid w:val="004C065D"/>
    <w:rsid w:val="004C1E2E"/>
    <w:rsid w:val="004C210C"/>
    <w:rsid w:val="004C278E"/>
    <w:rsid w:val="004C2CA8"/>
    <w:rsid w:val="004C2F80"/>
    <w:rsid w:val="004C3980"/>
    <w:rsid w:val="004C3CB9"/>
    <w:rsid w:val="004C4145"/>
    <w:rsid w:val="004C42BA"/>
    <w:rsid w:val="004C44CA"/>
    <w:rsid w:val="004C4F49"/>
    <w:rsid w:val="004C5411"/>
    <w:rsid w:val="004C5BB8"/>
    <w:rsid w:val="004C658A"/>
    <w:rsid w:val="004C75C0"/>
    <w:rsid w:val="004C764D"/>
    <w:rsid w:val="004C768B"/>
    <w:rsid w:val="004C76F9"/>
    <w:rsid w:val="004D011E"/>
    <w:rsid w:val="004D090F"/>
    <w:rsid w:val="004D0FAB"/>
    <w:rsid w:val="004D10D1"/>
    <w:rsid w:val="004D1588"/>
    <w:rsid w:val="004D19FE"/>
    <w:rsid w:val="004D1A60"/>
    <w:rsid w:val="004D2693"/>
    <w:rsid w:val="004D28F7"/>
    <w:rsid w:val="004D30BF"/>
    <w:rsid w:val="004D3187"/>
    <w:rsid w:val="004D3593"/>
    <w:rsid w:val="004D381D"/>
    <w:rsid w:val="004D390D"/>
    <w:rsid w:val="004D3B3A"/>
    <w:rsid w:val="004D494D"/>
    <w:rsid w:val="004D4C69"/>
    <w:rsid w:val="004D50CE"/>
    <w:rsid w:val="004D5944"/>
    <w:rsid w:val="004D6F5D"/>
    <w:rsid w:val="004D7063"/>
    <w:rsid w:val="004D771C"/>
    <w:rsid w:val="004D7976"/>
    <w:rsid w:val="004E05D6"/>
    <w:rsid w:val="004E17FC"/>
    <w:rsid w:val="004E234D"/>
    <w:rsid w:val="004E3091"/>
    <w:rsid w:val="004E36DB"/>
    <w:rsid w:val="004E3758"/>
    <w:rsid w:val="004E3CD6"/>
    <w:rsid w:val="004E3E46"/>
    <w:rsid w:val="004E421B"/>
    <w:rsid w:val="004E42B9"/>
    <w:rsid w:val="004E4526"/>
    <w:rsid w:val="004E4A40"/>
    <w:rsid w:val="004E5765"/>
    <w:rsid w:val="004E5A76"/>
    <w:rsid w:val="004E61BA"/>
    <w:rsid w:val="004F0D99"/>
    <w:rsid w:val="004F165B"/>
    <w:rsid w:val="004F1833"/>
    <w:rsid w:val="004F21C9"/>
    <w:rsid w:val="004F2681"/>
    <w:rsid w:val="004F2DB7"/>
    <w:rsid w:val="004F2E4F"/>
    <w:rsid w:val="004F42A5"/>
    <w:rsid w:val="004F4DF0"/>
    <w:rsid w:val="004F4F52"/>
    <w:rsid w:val="004F5D9D"/>
    <w:rsid w:val="004F5F7F"/>
    <w:rsid w:val="004F7726"/>
    <w:rsid w:val="004F7D7D"/>
    <w:rsid w:val="004F7F90"/>
    <w:rsid w:val="00501EBB"/>
    <w:rsid w:val="005021DD"/>
    <w:rsid w:val="00503055"/>
    <w:rsid w:val="0050557C"/>
    <w:rsid w:val="0050573D"/>
    <w:rsid w:val="00507D7E"/>
    <w:rsid w:val="005113AE"/>
    <w:rsid w:val="005114C6"/>
    <w:rsid w:val="00513D46"/>
    <w:rsid w:val="0051458A"/>
    <w:rsid w:val="00514F03"/>
    <w:rsid w:val="00515413"/>
    <w:rsid w:val="0051583D"/>
    <w:rsid w:val="005167D4"/>
    <w:rsid w:val="00516902"/>
    <w:rsid w:val="005169B8"/>
    <w:rsid w:val="005174D3"/>
    <w:rsid w:val="005176BE"/>
    <w:rsid w:val="005203FD"/>
    <w:rsid w:val="00520A66"/>
    <w:rsid w:val="00520B57"/>
    <w:rsid w:val="00520BFF"/>
    <w:rsid w:val="00522289"/>
    <w:rsid w:val="005227F8"/>
    <w:rsid w:val="00522C47"/>
    <w:rsid w:val="00522FF4"/>
    <w:rsid w:val="005236AB"/>
    <w:rsid w:val="00523E15"/>
    <w:rsid w:val="00524586"/>
    <w:rsid w:val="0052460C"/>
    <w:rsid w:val="005249D2"/>
    <w:rsid w:val="00524B76"/>
    <w:rsid w:val="00526146"/>
    <w:rsid w:val="00526B2F"/>
    <w:rsid w:val="00526CB9"/>
    <w:rsid w:val="005277FE"/>
    <w:rsid w:val="00527DCD"/>
    <w:rsid w:val="0053011A"/>
    <w:rsid w:val="00530483"/>
    <w:rsid w:val="00530E5E"/>
    <w:rsid w:val="00531192"/>
    <w:rsid w:val="005314A5"/>
    <w:rsid w:val="00531D87"/>
    <w:rsid w:val="00533186"/>
    <w:rsid w:val="00533452"/>
    <w:rsid w:val="005338F3"/>
    <w:rsid w:val="00533A8D"/>
    <w:rsid w:val="00533B19"/>
    <w:rsid w:val="00533CC0"/>
    <w:rsid w:val="00534333"/>
    <w:rsid w:val="0053438B"/>
    <w:rsid w:val="00535389"/>
    <w:rsid w:val="00535E49"/>
    <w:rsid w:val="005364DB"/>
    <w:rsid w:val="00537056"/>
    <w:rsid w:val="00537285"/>
    <w:rsid w:val="00537AA0"/>
    <w:rsid w:val="00537E6F"/>
    <w:rsid w:val="00537F3E"/>
    <w:rsid w:val="00540680"/>
    <w:rsid w:val="0054123B"/>
    <w:rsid w:val="0054196F"/>
    <w:rsid w:val="00541A43"/>
    <w:rsid w:val="00541B6C"/>
    <w:rsid w:val="00541E06"/>
    <w:rsid w:val="00542D5A"/>
    <w:rsid w:val="0054301C"/>
    <w:rsid w:val="0054311D"/>
    <w:rsid w:val="005432EF"/>
    <w:rsid w:val="00543373"/>
    <w:rsid w:val="00544CE8"/>
    <w:rsid w:val="00545DE7"/>
    <w:rsid w:val="005469CA"/>
    <w:rsid w:val="00546D04"/>
    <w:rsid w:val="00547B24"/>
    <w:rsid w:val="00547C8C"/>
    <w:rsid w:val="005502E7"/>
    <w:rsid w:val="00551BD1"/>
    <w:rsid w:val="00552082"/>
    <w:rsid w:val="0055208E"/>
    <w:rsid w:val="005535B8"/>
    <w:rsid w:val="00554430"/>
    <w:rsid w:val="0055508D"/>
    <w:rsid w:val="00555597"/>
    <w:rsid w:val="005559B4"/>
    <w:rsid w:val="0055690D"/>
    <w:rsid w:val="00556A51"/>
    <w:rsid w:val="00557439"/>
    <w:rsid w:val="0055775C"/>
    <w:rsid w:val="005604AE"/>
    <w:rsid w:val="00560DE1"/>
    <w:rsid w:val="00561561"/>
    <w:rsid w:val="005623CC"/>
    <w:rsid w:val="0056387F"/>
    <w:rsid w:val="00563A7C"/>
    <w:rsid w:val="00563B70"/>
    <w:rsid w:val="0056417C"/>
    <w:rsid w:val="00564FFD"/>
    <w:rsid w:val="005653ED"/>
    <w:rsid w:val="005658E3"/>
    <w:rsid w:val="00565A96"/>
    <w:rsid w:val="00566818"/>
    <w:rsid w:val="005669C9"/>
    <w:rsid w:val="00566B36"/>
    <w:rsid w:val="00566F32"/>
    <w:rsid w:val="0056716D"/>
    <w:rsid w:val="0056769C"/>
    <w:rsid w:val="005679E0"/>
    <w:rsid w:val="00567AFE"/>
    <w:rsid w:val="00570981"/>
    <w:rsid w:val="00570AEB"/>
    <w:rsid w:val="005711AF"/>
    <w:rsid w:val="00571B06"/>
    <w:rsid w:val="00572A15"/>
    <w:rsid w:val="00573081"/>
    <w:rsid w:val="005739CD"/>
    <w:rsid w:val="00573AAE"/>
    <w:rsid w:val="00573B56"/>
    <w:rsid w:val="0057413F"/>
    <w:rsid w:val="00574C1F"/>
    <w:rsid w:val="00575456"/>
    <w:rsid w:val="00575AD7"/>
    <w:rsid w:val="00576E08"/>
    <w:rsid w:val="00580147"/>
    <w:rsid w:val="005803FB"/>
    <w:rsid w:val="005809BA"/>
    <w:rsid w:val="00580ED3"/>
    <w:rsid w:val="00582611"/>
    <w:rsid w:val="00582FB0"/>
    <w:rsid w:val="00583313"/>
    <w:rsid w:val="00583BAD"/>
    <w:rsid w:val="00584C96"/>
    <w:rsid w:val="0058636D"/>
    <w:rsid w:val="005864E2"/>
    <w:rsid w:val="0058708D"/>
    <w:rsid w:val="005870A2"/>
    <w:rsid w:val="005871C8"/>
    <w:rsid w:val="005875AE"/>
    <w:rsid w:val="00591552"/>
    <w:rsid w:val="005919E9"/>
    <w:rsid w:val="00591C59"/>
    <w:rsid w:val="0059253E"/>
    <w:rsid w:val="005931BD"/>
    <w:rsid w:val="00593399"/>
    <w:rsid w:val="005934DE"/>
    <w:rsid w:val="00594170"/>
    <w:rsid w:val="00595A48"/>
    <w:rsid w:val="00595D56"/>
    <w:rsid w:val="00596BC3"/>
    <w:rsid w:val="00597088"/>
    <w:rsid w:val="00597900"/>
    <w:rsid w:val="00597D7B"/>
    <w:rsid w:val="005A01E4"/>
    <w:rsid w:val="005A0202"/>
    <w:rsid w:val="005A0224"/>
    <w:rsid w:val="005A0A67"/>
    <w:rsid w:val="005A0CCC"/>
    <w:rsid w:val="005A0D2E"/>
    <w:rsid w:val="005A11B0"/>
    <w:rsid w:val="005A1356"/>
    <w:rsid w:val="005A176C"/>
    <w:rsid w:val="005A186C"/>
    <w:rsid w:val="005A1F07"/>
    <w:rsid w:val="005A2205"/>
    <w:rsid w:val="005A2770"/>
    <w:rsid w:val="005A28A2"/>
    <w:rsid w:val="005A311A"/>
    <w:rsid w:val="005A36FD"/>
    <w:rsid w:val="005A3AC8"/>
    <w:rsid w:val="005A3B47"/>
    <w:rsid w:val="005A4111"/>
    <w:rsid w:val="005A4619"/>
    <w:rsid w:val="005A4F7E"/>
    <w:rsid w:val="005A5F89"/>
    <w:rsid w:val="005A62C7"/>
    <w:rsid w:val="005A635F"/>
    <w:rsid w:val="005A72AB"/>
    <w:rsid w:val="005A740C"/>
    <w:rsid w:val="005B02AE"/>
    <w:rsid w:val="005B07D0"/>
    <w:rsid w:val="005B153A"/>
    <w:rsid w:val="005B18A8"/>
    <w:rsid w:val="005B1D5D"/>
    <w:rsid w:val="005B1E3B"/>
    <w:rsid w:val="005B2141"/>
    <w:rsid w:val="005B331B"/>
    <w:rsid w:val="005B37BE"/>
    <w:rsid w:val="005B4B9B"/>
    <w:rsid w:val="005B4DED"/>
    <w:rsid w:val="005B4FD1"/>
    <w:rsid w:val="005B5126"/>
    <w:rsid w:val="005B5436"/>
    <w:rsid w:val="005B54FB"/>
    <w:rsid w:val="005B642C"/>
    <w:rsid w:val="005B6D05"/>
    <w:rsid w:val="005C199C"/>
    <w:rsid w:val="005C1C95"/>
    <w:rsid w:val="005C23FD"/>
    <w:rsid w:val="005C2B02"/>
    <w:rsid w:val="005C3777"/>
    <w:rsid w:val="005C3E70"/>
    <w:rsid w:val="005C482B"/>
    <w:rsid w:val="005C4ADF"/>
    <w:rsid w:val="005C4B60"/>
    <w:rsid w:val="005C5009"/>
    <w:rsid w:val="005C52E2"/>
    <w:rsid w:val="005C52F9"/>
    <w:rsid w:val="005C5B64"/>
    <w:rsid w:val="005C6BC4"/>
    <w:rsid w:val="005C7D13"/>
    <w:rsid w:val="005C7DB5"/>
    <w:rsid w:val="005D0569"/>
    <w:rsid w:val="005D0842"/>
    <w:rsid w:val="005D13C0"/>
    <w:rsid w:val="005D17D2"/>
    <w:rsid w:val="005D1811"/>
    <w:rsid w:val="005D2622"/>
    <w:rsid w:val="005D30E2"/>
    <w:rsid w:val="005D3811"/>
    <w:rsid w:val="005D3A01"/>
    <w:rsid w:val="005D46FC"/>
    <w:rsid w:val="005D4A76"/>
    <w:rsid w:val="005D4D27"/>
    <w:rsid w:val="005D51BE"/>
    <w:rsid w:val="005D52D4"/>
    <w:rsid w:val="005D615E"/>
    <w:rsid w:val="005D6D0A"/>
    <w:rsid w:val="005D6E77"/>
    <w:rsid w:val="005E041C"/>
    <w:rsid w:val="005E05F1"/>
    <w:rsid w:val="005E0937"/>
    <w:rsid w:val="005E0BD6"/>
    <w:rsid w:val="005E0E43"/>
    <w:rsid w:val="005E1131"/>
    <w:rsid w:val="005E1216"/>
    <w:rsid w:val="005E15B3"/>
    <w:rsid w:val="005E1D36"/>
    <w:rsid w:val="005E247C"/>
    <w:rsid w:val="005E26AC"/>
    <w:rsid w:val="005E311D"/>
    <w:rsid w:val="005E31F8"/>
    <w:rsid w:val="005E333F"/>
    <w:rsid w:val="005E361E"/>
    <w:rsid w:val="005E3F11"/>
    <w:rsid w:val="005E46A8"/>
    <w:rsid w:val="005E498F"/>
    <w:rsid w:val="005E5765"/>
    <w:rsid w:val="005E58C0"/>
    <w:rsid w:val="005E5E75"/>
    <w:rsid w:val="005E6492"/>
    <w:rsid w:val="005E684A"/>
    <w:rsid w:val="005E69FD"/>
    <w:rsid w:val="005E6DD7"/>
    <w:rsid w:val="005E74B0"/>
    <w:rsid w:val="005E793F"/>
    <w:rsid w:val="005E7A85"/>
    <w:rsid w:val="005E7EC0"/>
    <w:rsid w:val="005F00F9"/>
    <w:rsid w:val="005F0605"/>
    <w:rsid w:val="005F065D"/>
    <w:rsid w:val="005F0836"/>
    <w:rsid w:val="005F2A31"/>
    <w:rsid w:val="005F3B97"/>
    <w:rsid w:val="005F46E6"/>
    <w:rsid w:val="005F475E"/>
    <w:rsid w:val="005F513A"/>
    <w:rsid w:val="005F5752"/>
    <w:rsid w:val="005F5B2C"/>
    <w:rsid w:val="005F5D7C"/>
    <w:rsid w:val="005F61F1"/>
    <w:rsid w:val="005F62AE"/>
    <w:rsid w:val="005F6567"/>
    <w:rsid w:val="005F752F"/>
    <w:rsid w:val="005F7F98"/>
    <w:rsid w:val="00600772"/>
    <w:rsid w:val="00600F6B"/>
    <w:rsid w:val="00600FE2"/>
    <w:rsid w:val="00601ACC"/>
    <w:rsid w:val="00603CAB"/>
    <w:rsid w:val="00604693"/>
    <w:rsid w:val="00604852"/>
    <w:rsid w:val="00605F45"/>
    <w:rsid w:val="00606085"/>
    <w:rsid w:val="00606B8A"/>
    <w:rsid w:val="006075CD"/>
    <w:rsid w:val="00607873"/>
    <w:rsid w:val="00607FB7"/>
    <w:rsid w:val="00610509"/>
    <w:rsid w:val="00611CE7"/>
    <w:rsid w:val="006126CB"/>
    <w:rsid w:val="00613273"/>
    <w:rsid w:val="006142D9"/>
    <w:rsid w:val="00615118"/>
    <w:rsid w:val="006155FD"/>
    <w:rsid w:val="00615DA9"/>
    <w:rsid w:val="00616D1F"/>
    <w:rsid w:val="006172D2"/>
    <w:rsid w:val="0061763B"/>
    <w:rsid w:val="006177C5"/>
    <w:rsid w:val="00617977"/>
    <w:rsid w:val="00621422"/>
    <w:rsid w:val="006218E8"/>
    <w:rsid w:val="006221AC"/>
    <w:rsid w:val="006222D8"/>
    <w:rsid w:val="006227E9"/>
    <w:rsid w:val="00622B9D"/>
    <w:rsid w:val="006231F3"/>
    <w:rsid w:val="00623B86"/>
    <w:rsid w:val="006245A0"/>
    <w:rsid w:val="00625048"/>
    <w:rsid w:val="00625066"/>
    <w:rsid w:val="00625B14"/>
    <w:rsid w:val="006265AD"/>
    <w:rsid w:val="0062697F"/>
    <w:rsid w:val="00626AB4"/>
    <w:rsid w:val="00626F24"/>
    <w:rsid w:val="00626F3E"/>
    <w:rsid w:val="00627004"/>
    <w:rsid w:val="0062788F"/>
    <w:rsid w:val="006279CF"/>
    <w:rsid w:val="00627A4C"/>
    <w:rsid w:val="00627C60"/>
    <w:rsid w:val="00627D91"/>
    <w:rsid w:val="00627E65"/>
    <w:rsid w:val="00630632"/>
    <w:rsid w:val="006313CB"/>
    <w:rsid w:val="0063174A"/>
    <w:rsid w:val="00631D7E"/>
    <w:rsid w:val="00632D6B"/>
    <w:rsid w:val="00632E29"/>
    <w:rsid w:val="00632E30"/>
    <w:rsid w:val="00633213"/>
    <w:rsid w:val="0063369C"/>
    <w:rsid w:val="006340A4"/>
    <w:rsid w:val="0063416B"/>
    <w:rsid w:val="00634C2C"/>
    <w:rsid w:val="00635083"/>
    <w:rsid w:val="00635201"/>
    <w:rsid w:val="006358A6"/>
    <w:rsid w:val="00635A36"/>
    <w:rsid w:val="00635DA8"/>
    <w:rsid w:val="00635DE4"/>
    <w:rsid w:val="00636E14"/>
    <w:rsid w:val="00637031"/>
    <w:rsid w:val="0063715F"/>
    <w:rsid w:val="006377B0"/>
    <w:rsid w:val="0064046B"/>
    <w:rsid w:val="0064048E"/>
    <w:rsid w:val="0064154E"/>
    <w:rsid w:val="0064237E"/>
    <w:rsid w:val="0064238E"/>
    <w:rsid w:val="0064256D"/>
    <w:rsid w:val="0064260E"/>
    <w:rsid w:val="00642A0C"/>
    <w:rsid w:val="00642B74"/>
    <w:rsid w:val="00643523"/>
    <w:rsid w:val="00643BAF"/>
    <w:rsid w:val="00644446"/>
    <w:rsid w:val="006448D7"/>
    <w:rsid w:val="00644E25"/>
    <w:rsid w:val="006460ED"/>
    <w:rsid w:val="0064682F"/>
    <w:rsid w:val="00646F67"/>
    <w:rsid w:val="006476DC"/>
    <w:rsid w:val="006478D4"/>
    <w:rsid w:val="00647A37"/>
    <w:rsid w:val="00650F82"/>
    <w:rsid w:val="006513A2"/>
    <w:rsid w:val="0065240D"/>
    <w:rsid w:val="006526F1"/>
    <w:rsid w:val="00652C52"/>
    <w:rsid w:val="0065328C"/>
    <w:rsid w:val="00653586"/>
    <w:rsid w:val="00654159"/>
    <w:rsid w:val="00654544"/>
    <w:rsid w:val="0065454A"/>
    <w:rsid w:val="006546D8"/>
    <w:rsid w:val="00655DEC"/>
    <w:rsid w:val="00656EB1"/>
    <w:rsid w:val="0065701C"/>
    <w:rsid w:val="0065710D"/>
    <w:rsid w:val="006573C2"/>
    <w:rsid w:val="006579E3"/>
    <w:rsid w:val="0066194C"/>
    <w:rsid w:val="00662567"/>
    <w:rsid w:val="00662763"/>
    <w:rsid w:val="00663CF1"/>
    <w:rsid w:val="006641F4"/>
    <w:rsid w:val="00664811"/>
    <w:rsid w:val="00664950"/>
    <w:rsid w:val="006649E6"/>
    <w:rsid w:val="006649FE"/>
    <w:rsid w:val="00665459"/>
    <w:rsid w:val="00665740"/>
    <w:rsid w:val="00665A07"/>
    <w:rsid w:val="00666476"/>
    <w:rsid w:val="006664C0"/>
    <w:rsid w:val="00666593"/>
    <w:rsid w:val="00666DA4"/>
    <w:rsid w:val="006672A1"/>
    <w:rsid w:val="00667350"/>
    <w:rsid w:val="0066766D"/>
    <w:rsid w:val="00667D62"/>
    <w:rsid w:val="00667F9F"/>
    <w:rsid w:val="006701A3"/>
    <w:rsid w:val="006701D6"/>
    <w:rsid w:val="00671B44"/>
    <w:rsid w:val="00671BEE"/>
    <w:rsid w:val="0067283F"/>
    <w:rsid w:val="0067313C"/>
    <w:rsid w:val="0067314C"/>
    <w:rsid w:val="00673ADA"/>
    <w:rsid w:val="00674854"/>
    <w:rsid w:val="00674CA1"/>
    <w:rsid w:val="00674F69"/>
    <w:rsid w:val="00675258"/>
    <w:rsid w:val="006754BD"/>
    <w:rsid w:val="0067561A"/>
    <w:rsid w:val="00675AFF"/>
    <w:rsid w:val="00675C77"/>
    <w:rsid w:val="00676529"/>
    <w:rsid w:val="006765D7"/>
    <w:rsid w:val="00680056"/>
    <w:rsid w:val="00680276"/>
    <w:rsid w:val="00680B9A"/>
    <w:rsid w:val="00682054"/>
    <w:rsid w:val="00682FEA"/>
    <w:rsid w:val="00684C6B"/>
    <w:rsid w:val="006858B9"/>
    <w:rsid w:val="00685F4D"/>
    <w:rsid w:val="006861E5"/>
    <w:rsid w:val="00686974"/>
    <w:rsid w:val="006877A8"/>
    <w:rsid w:val="006909DD"/>
    <w:rsid w:val="00691785"/>
    <w:rsid w:val="00692620"/>
    <w:rsid w:val="00692778"/>
    <w:rsid w:val="00692E2E"/>
    <w:rsid w:val="00693263"/>
    <w:rsid w:val="00693EE9"/>
    <w:rsid w:val="006941F3"/>
    <w:rsid w:val="006943BE"/>
    <w:rsid w:val="006944F7"/>
    <w:rsid w:val="0069491F"/>
    <w:rsid w:val="00695613"/>
    <w:rsid w:val="00695C41"/>
    <w:rsid w:val="00695FF6"/>
    <w:rsid w:val="00696CBA"/>
    <w:rsid w:val="00696E60"/>
    <w:rsid w:val="0069754F"/>
    <w:rsid w:val="00697843"/>
    <w:rsid w:val="006979A1"/>
    <w:rsid w:val="006A006F"/>
    <w:rsid w:val="006A0BE8"/>
    <w:rsid w:val="006A113B"/>
    <w:rsid w:val="006A161D"/>
    <w:rsid w:val="006A1872"/>
    <w:rsid w:val="006A2BD6"/>
    <w:rsid w:val="006A4191"/>
    <w:rsid w:val="006A4633"/>
    <w:rsid w:val="006A51C8"/>
    <w:rsid w:val="006A5203"/>
    <w:rsid w:val="006A5C32"/>
    <w:rsid w:val="006A6A6D"/>
    <w:rsid w:val="006A6B8E"/>
    <w:rsid w:val="006A724C"/>
    <w:rsid w:val="006A7311"/>
    <w:rsid w:val="006A7442"/>
    <w:rsid w:val="006A7B00"/>
    <w:rsid w:val="006B08DD"/>
    <w:rsid w:val="006B0C86"/>
    <w:rsid w:val="006B1536"/>
    <w:rsid w:val="006B1AEA"/>
    <w:rsid w:val="006B1D54"/>
    <w:rsid w:val="006B2FAF"/>
    <w:rsid w:val="006B386D"/>
    <w:rsid w:val="006B3E55"/>
    <w:rsid w:val="006B44C7"/>
    <w:rsid w:val="006B48A9"/>
    <w:rsid w:val="006B4909"/>
    <w:rsid w:val="006B4DB0"/>
    <w:rsid w:val="006B4F4A"/>
    <w:rsid w:val="006B564E"/>
    <w:rsid w:val="006B58A3"/>
    <w:rsid w:val="006B6E9F"/>
    <w:rsid w:val="006B738F"/>
    <w:rsid w:val="006B7DD1"/>
    <w:rsid w:val="006C01FA"/>
    <w:rsid w:val="006C05A7"/>
    <w:rsid w:val="006C08F6"/>
    <w:rsid w:val="006C103A"/>
    <w:rsid w:val="006C1AE0"/>
    <w:rsid w:val="006C1F75"/>
    <w:rsid w:val="006C241A"/>
    <w:rsid w:val="006C2512"/>
    <w:rsid w:val="006C2BE1"/>
    <w:rsid w:val="006C3401"/>
    <w:rsid w:val="006C3CA7"/>
    <w:rsid w:val="006C3E42"/>
    <w:rsid w:val="006C47D6"/>
    <w:rsid w:val="006C4DFE"/>
    <w:rsid w:val="006C618C"/>
    <w:rsid w:val="006C622F"/>
    <w:rsid w:val="006C62BB"/>
    <w:rsid w:val="006C63F6"/>
    <w:rsid w:val="006C6F0A"/>
    <w:rsid w:val="006C71D4"/>
    <w:rsid w:val="006C764D"/>
    <w:rsid w:val="006C7A19"/>
    <w:rsid w:val="006C7A21"/>
    <w:rsid w:val="006D0DEA"/>
    <w:rsid w:val="006D1085"/>
    <w:rsid w:val="006D14CE"/>
    <w:rsid w:val="006D1689"/>
    <w:rsid w:val="006D20EE"/>
    <w:rsid w:val="006D243F"/>
    <w:rsid w:val="006D3114"/>
    <w:rsid w:val="006D3982"/>
    <w:rsid w:val="006D3C0F"/>
    <w:rsid w:val="006D3DA0"/>
    <w:rsid w:val="006D4F7B"/>
    <w:rsid w:val="006D540E"/>
    <w:rsid w:val="006D5C28"/>
    <w:rsid w:val="006D5D22"/>
    <w:rsid w:val="006D63C6"/>
    <w:rsid w:val="006D7273"/>
    <w:rsid w:val="006E0089"/>
    <w:rsid w:val="006E113F"/>
    <w:rsid w:val="006E1DB0"/>
    <w:rsid w:val="006E1DB6"/>
    <w:rsid w:val="006E1FD6"/>
    <w:rsid w:val="006E20AD"/>
    <w:rsid w:val="006E228F"/>
    <w:rsid w:val="006E35D5"/>
    <w:rsid w:val="006E75A4"/>
    <w:rsid w:val="006E7703"/>
    <w:rsid w:val="006E7F1F"/>
    <w:rsid w:val="006F0346"/>
    <w:rsid w:val="006F046F"/>
    <w:rsid w:val="006F151A"/>
    <w:rsid w:val="006F3188"/>
    <w:rsid w:val="006F35E6"/>
    <w:rsid w:val="006F40CF"/>
    <w:rsid w:val="006F4ACC"/>
    <w:rsid w:val="006F5C1D"/>
    <w:rsid w:val="006F63E9"/>
    <w:rsid w:val="006F73DB"/>
    <w:rsid w:val="006F767E"/>
    <w:rsid w:val="006F775B"/>
    <w:rsid w:val="006F77FE"/>
    <w:rsid w:val="00700A0C"/>
    <w:rsid w:val="007011E7"/>
    <w:rsid w:val="00701629"/>
    <w:rsid w:val="007016D9"/>
    <w:rsid w:val="00702331"/>
    <w:rsid w:val="00702F11"/>
    <w:rsid w:val="0070339F"/>
    <w:rsid w:val="007035D8"/>
    <w:rsid w:val="00704A8D"/>
    <w:rsid w:val="007065C8"/>
    <w:rsid w:val="00706C53"/>
    <w:rsid w:val="00707D1F"/>
    <w:rsid w:val="00710B39"/>
    <w:rsid w:val="00711747"/>
    <w:rsid w:val="007117DB"/>
    <w:rsid w:val="00711FFE"/>
    <w:rsid w:val="00712003"/>
    <w:rsid w:val="0071245C"/>
    <w:rsid w:val="00712885"/>
    <w:rsid w:val="00712A90"/>
    <w:rsid w:val="007131D8"/>
    <w:rsid w:val="007132D1"/>
    <w:rsid w:val="00713778"/>
    <w:rsid w:val="007137BB"/>
    <w:rsid w:val="00714E7E"/>
    <w:rsid w:val="007153F9"/>
    <w:rsid w:val="007154E9"/>
    <w:rsid w:val="00715839"/>
    <w:rsid w:val="00717355"/>
    <w:rsid w:val="00717606"/>
    <w:rsid w:val="00720180"/>
    <w:rsid w:val="007202CE"/>
    <w:rsid w:val="0072075F"/>
    <w:rsid w:val="0072094D"/>
    <w:rsid w:val="00721114"/>
    <w:rsid w:val="007211FF"/>
    <w:rsid w:val="00721B0F"/>
    <w:rsid w:val="00722A3C"/>
    <w:rsid w:val="00723207"/>
    <w:rsid w:val="00723C6C"/>
    <w:rsid w:val="0072411F"/>
    <w:rsid w:val="00724645"/>
    <w:rsid w:val="00724963"/>
    <w:rsid w:val="00724B87"/>
    <w:rsid w:val="0072512D"/>
    <w:rsid w:val="007269C5"/>
    <w:rsid w:val="00726A34"/>
    <w:rsid w:val="00726B1F"/>
    <w:rsid w:val="007277A8"/>
    <w:rsid w:val="0073102B"/>
    <w:rsid w:val="00731346"/>
    <w:rsid w:val="00731586"/>
    <w:rsid w:val="00731EB9"/>
    <w:rsid w:val="007331F2"/>
    <w:rsid w:val="00733593"/>
    <w:rsid w:val="00733A2C"/>
    <w:rsid w:val="0073408B"/>
    <w:rsid w:val="007345D2"/>
    <w:rsid w:val="00734894"/>
    <w:rsid w:val="007348DC"/>
    <w:rsid w:val="00735ABD"/>
    <w:rsid w:val="00735F31"/>
    <w:rsid w:val="0073678D"/>
    <w:rsid w:val="00736867"/>
    <w:rsid w:val="00736A33"/>
    <w:rsid w:val="0073763C"/>
    <w:rsid w:val="00740128"/>
    <w:rsid w:val="0074058E"/>
    <w:rsid w:val="00740C1E"/>
    <w:rsid w:val="00740E9B"/>
    <w:rsid w:val="00740FC1"/>
    <w:rsid w:val="0074142F"/>
    <w:rsid w:val="007416A7"/>
    <w:rsid w:val="00741715"/>
    <w:rsid w:val="007426CC"/>
    <w:rsid w:val="0074378E"/>
    <w:rsid w:val="00743DF9"/>
    <w:rsid w:val="007441B1"/>
    <w:rsid w:val="007443BC"/>
    <w:rsid w:val="0074496D"/>
    <w:rsid w:val="00744C09"/>
    <w:rsid w:val="00746251"/>
    <w:rsid w:val="00746291"/>
    <w:rsid w:val="00747812"/>
    <w:rsid w:val="00747C70"/>
    <w:rsid w:val="007500FB"/>
    <w:rsid w:val="00750150"/>
    <w:rsid w:val="007505F8"/>
    <w:rsid w:val="00750DC3"/>
    <w:rsid w:val="00752EB8"/>
    <w:rsid w:val="00755576"/>
    <w:rsid w:val="007555DE"/>
    <w:rsid w:val="007559D7"/>
    <w:rsid w:val="00755DC4"/>
    <w:rsid w:val="00756494"/>
    <w:rsid w:val="0075691F"/>
    <w:rsid w:val="00756A40"/>
    <w:rsid w:val="00757F81"/>
    <w:rsid w:val="007617D3"/>
    <w:rsid w:val="00761AC1"/>
    <w:rsid w:val="00761EFC"/>
    <w:rsid w:val="00762532"/>
    <w:rsid w:val="00762998"/>
    <w:rsid w:val="00762A54"/>
    <w:rsid w:val="00762D4A"/>
    <w:rsid w:val="007631B1"/>
    <w:rsid w:val="00763876"/>
    <w:rsid w:val="0076391C"/>
    <w:rsid w:val="00764564"/>
    <w:rsid w:val="0076588F"/>
    <w:rsid w:val="007663A8"/>
    <w:rsid w:val="007668BA"/>
    <w:rsid w:val="00766D5F"/>
    <w:rsid w:val="0076770C"/>
    <w:rsid w:val="00770510"/>
    <w:rsid w:val="00770797"/>
    <w:rsid w:val="00770FA8"/>
    <w:rsid w:val="0077126A"/>
    <w:rsid w:val="00771AA0"/>
    <w:rsid w:val="00771ACA"/>
    <w:rsid w:val="00771F53"/>
    <w:rsid w:val="00772198"/>
    <w:rsid w:val="0077239A"/>
    <w:rsid w:val="0077315F"/>
    <w:rsid w:val="00773478"/>
    <w:rsid w:val="007744DF"/>
    <w:rsid w:val="007756BD"/>
    <w:rsid w:val="00775E5C"/>
    <w:rsid w:val="00775FC5"/>
    <w:rsid w:val="00775FD5"/>
    <w:rsid w:val="00775FDC"/>
    <w:rsid w:val="0077705E"/>
    <w:rsid w:val="007771E2"/>
    <w:rsid w:val="0077721C"/>
    <w:rsid w:val="007773D0"/>
    <w:rsid w:val="007779A5"/>
    <w:rsid w:val="00777BB6"/>
    <w:rsid w:val="00777BCC"/>
    <w:rsid w:val="00777D09"/>
    <w:rsid w:val="00780034"/>
    <w:rsid w:val="0078044B"/>
    <w:rsid w:val="007804EC"/>
    <w:rsid w:val="00780B1E"/>
    <w:rsid w:val="007819A9"/>
    <w:rsid w:val="00782783"/>
    <w:rsid w:val="0078326B"/>
    <w:rsid w:val="007836BD"/>
    <w:rsid w:val="00783977"/>
    <w:rsid w:val="00783A0E"/>
    <w:rsid w:val="007843DA"/>
    <w:rsid w:val="00784658"/>
    <w:rsid w:val="0078478F"/>
    <w:rsid w:val="00784C5C"/>
    <w:rsid w:val="00784F68"/>
    <w:rsid w:val="00785715"/>
    <w:rsid w:val="0078604F"/>
    <w:rsid w:val="00786FBB"/>
    <w:rsid w:val="007871F1"/>
    <w:rsid w:val="007874AF"/>
    <w:rsid w:val="007879D0"/>
    <w:rsid w:val="00790744"/>
    <w:rsid w:val="00790DBB"/>
    <w:rsid w:val="0079136A"/>
    <w:rsid w:val="007916A9"/>
    <w:rsid w:val="00791B48"/>
    <w:rsid w:val="00791D47"/>
    <w:rsid w:val="00791F0A"/>
    <w:rsid w:val="00792C54"/>
    <w:rsid w:val="00793177"/>
    <w:rsid w:val="0079356C"/>
    <w:rsid w:val="007935C6"/>
    <w:rsid w:val="00794807"/>
    <w:rsid w:val="007948BA"/>
    <w:rsid w:val="00794FF2"/>
    <w:rsid w:val="0079500E"/>
    <w:rsid w:val="00795A2A"/>
    <w:rsid w:val="00795F30"/>
    <w:rsid w:val="00796124"/>
    <w:rsid w:val="00796634"/>
    <w:rsid w:val="00796822"/>
    <w:rsid w:val="00796ABC"/>
    <w:rsid w:val="00796BB9"/>
    <w:rsid w:val="00796C3B"/>
    <w:rsid w:val="00796CD1"/>
    <w:rsid w:val="00797C81"/>
    <w:rsid w:val="00797D03"/>
    <w:rsid w:val="007A00C6"/>
    <w:rsid w:val="007A268D"/>
    <w:rsid w:val="007A2995"/>
    <w:rsid w:val="007A3596"/>
    <w:rsid w:val="007A37F2"/>
    <w:rsid w:val="007A39FB"/>
    <w:rsid w:val="007A3A1C"/>
    <w:rsid w:val="007A3D81"/>
    <w:rsid w:val="007A4148"/>
    <w:rsid w:val="007A4474"/>
    <w:rsid w:val="007A49AF"/>
    <w:rsid w:val="007A4A09"/>
    <w:rsid w:val="007A50E5"/>
    <w:rsid w:val="007A5A81"/>
    <w:rsid w:val="007A5E7C"/>
    <w:rsid w:val="007A64DF"/>
    <w:rsid w:val="007A6AD5"/>
    <w:rsid w:val="007A6F9B"/>
    <w:rsid w:val="007A771B"/>
    <w:rsid w:val="007A787E"/>
    <w:rsid w:val="007B0C34"/>
    <w:rsid w:val="007B0D9F"/>
    <w:rsid w:val="007B112E"/>
    <w:rsid w:val="007B2172"/>
    <w:rsid w:val="007B24ED"/>
    <w:rsid w:val="007B32ED"/>
    <w:rsid w:val="007B3AB1"/>
    <w:rsid w:val="007B3D90"/>
    <w:rsid w:val="007B4162"/>
    <w:rsid w:val="007B43C1"/>
    <w:rsid w:val="007B454F"/>
    <w:rsid w:val="007B5529"/>
    <w:rsid w:val="007B5726"/>
    <w:rsid w:val="007B5A7F"/>
    <w:rsid w:val="007B5C45"/>
    <w:rsid w:val="007B5D42"/>
    <w:rsid w:val="007B5D5E"/>
    <w:rsid w:val="007B6C1E"/>
    <w:rsid w:val="007B6D8F"/>
    <w:rsid w:val="007B74EB"/>
    <w:rsid w:val="007B7839"/>
    <w:rsid w:val="007C02B8"/>
    <w:rsid w:val="007C0AC9"/>
    <w:rsid w:val="007C1174"/>
    <w:rsid w:val="007C223F"/>
    <w:rsid w:val="007C2445"/>
    <w:rsid w:val="007C28E5"/>
    <w:rsid w:val="007C2DD0"/>
    <w:rsid w:val="007C3726"/>
    <w:rsid w:val="007C3AF8"/>
    <w:rsid w:val="007C3BF6"/>
    <w:rsid w:val="007C3C0E"/>
    <w:rsid w:val="007C3CC2"/>
    <w:rsid w:val="007C3CC5"/>
    <w:rsid w:val="007C4506"/>
    <w:rsid w:val="007C469E"/>
    <w:rsid w:val="007C6AF0"/>
    <w:rsid w:val="007C789F"/>
    <w:rsid w:val="007D0EC8"/>
    <w:rsid w:val="007D2090"/>
    <w:rsid w:val="007D21BE"/>
    <w:rsid w:val="007D2660"/>
    <w:rsid w:val="007D2ECA"/>
    <w:rsid w:val="007D3C50"/>
    <w:rsid w:val="007D4158"/>
    <w:rsid w:val="007D425C"/>
    <w:rsid w:val="007D443E"/>
    <w:rsid w:val="007D5C41"/>
    <w:rsid w:val="007D6A7F"/>
    <w:rsid w:val="007D6C57"/>
    <w:rsid w:val="007D733B"/>
    <w:rsid w:val="007E0865"/>
    <w:rsid w:val="007E16C0"/>
    <w:rsid w:val="007E1743"/>
    <w:rsid w:val="007E1A1A"/>
    <w:rsid w:val="007E1C55"/>
    <w:rsid w:val="007E225F"/>
    <w:rsid w:val="007E3AA8"/>
    <w:rsid w:val="007E4267"/>
    <w:rsid w:val="007E4946"/>
    <w:rsid w:val="007E4E17"/>
    <w:rsid w:val="007E50B2"/>
    <w:rsid w:val="007E5635"/>
    <w:rsid w:val="007E56C0"/>
    <w:rsid w:val="007E666F"/>
    <w:rsid w:val="007E7520"/>
    <w:rsid w:val="007E7FEE"/>
    <w:rsid w:val="007F0D68"/>
    <w:rsid w:val="007F0ED1"/>
    <w:rsid w:val="007F116E"/>
    <w:rsid w:val="007F1309"/>
    <w:rsid w:val="007F2049"/>
    <w:rsid w:val="007F2873"/>
    <w:rsid w:val="007F2A94"/>
    <w:rsid w:val="007F2B0A"/>
    <w:rsid w:val="007F2DFE"/>
    <w:rsid w:val="007F3105"/>
    <w:rsid w:val="007F3D5D"/>
    <w:rsid w:val="007F3E29"/>
    <w:rsid w:val="007F3FB7"/>
    <w:rsid w:val="007F4E6A"/>
    <w:rsid w:val="007F5F27"/>
    <w:rsid w:val="007F7532"/>
    <w:rsid w:val="007F7933"/>
    <w:rsid w:val="007F7DB0"/>
    <w:rsid w:val="008014F8"/>
    <w:rsid w:val="00801A4C"/>
    <w:rsid w:val="00801E54"/>
    <w:rsid w:val="0080332F"/>
    <w:rsid w:val="008038CF"/>
    <w:rsid w:val="00804342"/>
    <w:rsid w:val="0080469A"/>
    <w:rsid w:val="008054EA"/>
    <w:rsid w:val="00806011"/>
    <w:rsid w:val="008078DB"/>
    <w:rsid w:val="008100CA"/>
    <w:rsid w:val="00810133"/>
    <w:rsid w:val="00810F04"/>
    <w:rsid w:val="00811115"/>
    <w:rsid w:val="008111B2"/>
    <w:rsid w:val="008115B0"/>
    <w:rsid w:val="008119A9"/>
    <w:rsid w:val="00811F26"/>
    <w:rsid w:val="00812090"/>
    <w:rsid w:val="00812917"/>
    <w:rsid w:val="00812CB4"/>
    <w:rsid w:val="00812DFD"/>
    <w:rsid w:val="0081347A"/>
    <w:rsid w:val="00814867"/>
    <w:rsid w:val="008149A4"/>
    <w:rsid w:val="008149F5"/>
    <w:rsid w:val="00814E1F"/>
    <w:rsid w:val="00814EBC"/>
    <w:rsid w:val="008155F1"/>
    <w:rsid w:val="00815DDB"/>
    <w:rsid w:val="00815DFE"/>
    <w:rsid w:val="008160D2"/>
    <w:rsid w:val="008170B5"/>
    <w:rsid w:val="008173A2"/>
    <w:rsid w:val="00817839"/>
    <w:rsid w:val="00817AD9"/>
    <w:rsid w:val="00817BC1"/>
    <w:rsid w:val="00822DB5"/>
    <w:rsid w:val="008255C7"/>
    <w:rsid w:val="00825882"/>
    <w:rsid w:val="0082595B"/>
    <w:rsid w:val="00826D6C"/>
    <w:rsid w:val="0082700D"/>
    <w:rsid w:val="00827B35"/>
    <w:rsid w:val="00827F20"/>
    <w:rsid w:val="008300BD"/>
    <w:rsid w:val="00830646"/>
    <w:rsid w:val="00830E39"/>
    <w:rsid w:val="00831016"/>
    <w:rsid w:val="00831099"/>
    <w:rsid w:val="0083229B"/>
    <w:rsid w:val="0083360B"/>
    <w:rsid w:val="00833DF8"/>
    <w:rsid w:val="0083438F"/>
    <w:rsid w:val="00834F6E"/>
    <w:rsid w:val="00835042"/>
    <w:rsid w:val="00835B10"/>
    <w:rsid w:val="00836766"/>
    <w:rsid w:val="0083678A"/>
    <w:rsid w:val="00837C50"/>
    <w:rsid w:val="00837C61"/>
    <w:rsid w:val="00837C7F"/>
    <w:rsid w:val="00840184"/>
    <w:rsid w:val="008403EF"/>
    <w:rsid w:val="00840BEC"/>
    <w:rsid w:val="008410D0"/>
    <w:rsid w:val="008414F6"/>
    <w:rsid w:val="0084248A"/>
    <w:rsid w:val="00842A4D"/>
    <w:rsid w:val="0084315B"/>
    <w:rsid w:val="008434B5"/>
    <w:rsid w:val="00844E7A"/>
    <w:rsid w:val="00846033"/>
    <w:rsid w:val="00846EC1"/>
    <w:rsid w:val="00847014"/>
    <w:rsid w:val="00847E1E"/>
    <w:rsid w:val="00850654"/>
    <w:rsid w:val="00850713"/>
    <w:rsid w:val="008519E4"/>
    <w:rsid w:val="00851D50"/>
    <w:rsid w:val="00852D15"/>
    <w:rsid w:val="00853A36"/>
    <w:rsid w:val="008545C1"/>
    <w:rsid w:val="00855EE1"/>
    <w:rsid w:val="00855EE6"/>
    <w:rsid w:val="00856740"/>
    <w:rsid w:val="00856A09"/>
    <w:rsid w:val="008576C4"/>
    <w:rsid w:val="008600DC"/>
    <w:rsid w:val="008612F4"/>
    <w:rsid w:val="00861364"/>
    <w:rsid w:val="008616F8"/>
    <w:rsid w:val="00861C70"/>
    <w:rsid w:val="00861D9D"/>
    <w:rsid w:val="008626EB"/>
    <w:rsid w:val="00862D5E"/>
    <w:rsid w:val="00862E98"/>
    <w:rsid w:val="00863608"/>
    <w:rsid w:val="00865AF0"/>
    <w:rsid w:val="00865E05"/>
    <w:rsid w:val="00865F39"/>
    <w:rsid w:val="008667EE"/>
    <w:rsid w:val="00867BEB"/>
    <w:rsid w:val="008727D9"/>
    <w:rsid w:val="00872BCA"/>
    <w:rsid w:val="00872F27"/>
    <w:rsid w:val="00873AAF"/>
    <w:rsid w:val="00873AE7"/>
    <w:rsid w:val="00873FB9"/>
    <w:rsid w:val="008744EB"/>
    <w:rsid w:val="00875255"/>
    <w:rsid w:val="008759DF"/>
    <w:rsid w:val="00875D7C"/>
    <w:rsid w:val="00876470"/>
    <w:rsid w:val="008770BB"/>
    <w:rsid w:val="0087773C"/>
    <w:rsid w:val="00877767"/>
    <w:rsid w:val="0087780E"/>
    <w:rsid w:val="008778A3"/>
    <w:rsid w:val="008801AE"/>
    <w:rsid w:val="00880499"/>
    <w:rsid w:val="00880D54"/>
    <w:rsid w:val="00881475"/>
    <w:rsid w:val="00881F1C"/>
    <w:rsid w:val="00882502"/>
    <w:rsid w:val="008826B1"/>
    <w:rsid w:val="0088290A"/>
    <w:rsid w:val="00882DF5"/>
    <w:rsid w:val="00883609"/>
    <w:rsid w:val="00884D73"/>
    <w:rsid w:val="00887A50"/>
    <w:rsid w:val="008900B5"/>
    <w:rsid w:val="00890FB7"/>
    <w:rsid w:val="00891101"/>
    <w:rsid w:val="00891B45"/>
    <w:rsid w:val="00891EA4"/>
    <w:rsid w:val="00892789"/>
    <w:rsid w:val="00892FEC"/>
    <w:rsid w:val="008933EE"/>
    <w:rsid w:val="008935A2"/>
    <w:rsid w:val="008937E3"/>
    <w:rsid w:val="00893BFD"/>
    <w:rsid w:val="00894781"/>
    <w:rsid w:val="0089599A"/>
    <w:rsid w:val="00895C7F"/>
    <w:rsid w:val="008960F7"/>
    <w:rsid w:val="00897D88"/>
    <w:rsid w:val="008A02D9"/>
    <w:rsid w:val="008A0394"/>
    <w:rsid w:val="008A070D"/>
    <w:rsid w:val="008A0D4F"/>
    <w:rsid w:val="008A1BE1"/>
    <w:rsid w:val="008A2407"/>
    <w:rsid w:val="008A2661"/>
    <w:rsid w:val="008A2F54"/>
    <w:rsid w:val="008A35E2"/>
    <w:rsid w:val="008A3861"/>
    <w:rsid w:val="008A4ACA"/>
    <w:rsid w:val="008A4AF1"/>
    <w:rsid w:val="008A4C55"/>
    <w:rsid w:val="008A4E76"/>
    <w:rsid w:val="008A5E3D"/>
    <w:rsid w:val="008A6373"/>
    <w:rsid w:val="008A708F"/>
    <w:rsid w:val="008A7E85"/>
    <w:rsid w:val="008B0141"/>
    <w:rsid w:val="008B03D3"/>
    <w:rsid w:val="008B05AB"/>
    <w:rsid w:val="008B0C9E"/>
    <w:rsid w:val="008B0EB4"/>
    <w:rsid w:val="008B1012"/>
    <w:rsid w:val="008B103D"/>
    <w:rsid w:val="008B23B9"/>
    <w:rsid w:val="008B2558"/>
    <w:rsid w:val="008B2BC8"/>
    <w:rsid w:val="008B3532"/>
    <w:rsid w:val="008B356C"/>
    <w:rsid w:val="008B3BB5"/>
    <w:rsid w:val="008B41E9"/>
    <w:rsid w:val="008B4352"/>
    <w:rsid w:val="008B4A0D"/>
    <w:rsid w:val="008B507D"/>
    <w:rsid w:val="008B5306"/>
    <w:rsid w:val="008B558B"/>
    <w:rsid w:val="008B5FE0"/>
    <w:rsid w:val="008B68D0"/>
    <w:rsid w:val="008B6B8F"/>
    <w:rsid w:val="008B779B"/>
    <w:rsid w:val="008C00F9"/>
    <w:rsid w:val="008C0639"/>
    <w:rsid w:val="008C15EC"/>
    <w:rsid w:val="008C1708"/>
    <w:rsid w:val="008C1D73"/>
    <w:rsid w:val="008C1F2E"/>
    <w:rsid w:val="008C2350"/>
    <w:rsid w:val="008C2BAC"/>
    <w:rsid w:val="008C2C3D"/>
    <w:rsid w:val="008C337B"/>
    <w:rsid w:val="008C3C63"/>
    <w:rsid w:val="008C3CE0"/>
    <w:rsid w:val="008C44C7"/>
    <w:rsid w:val="008C47C9"/>
    <w:rsid w:val="008C4E03"/>
    <w:rsid w:val="008C5BA1"/>
    <w:rsid w:val="008C6682"/>
    <w:rsid w:val="008C6998"/>
    <w:rsid w:val="008C69EC"/>
    <w:rsid w:val="008C714D"/>
    <w:rsid w:val="008C7484"/>
    <w:rsid w:val="008C7CB4"/>
    <w:rsid w:val="008D00FA"/>
    <w:rsid w:val="008D0379"/>
    <w:rsid w:val="008D09C7"/>
    <w:rsid w:val="008D0A90"/>
    <w:rsid w:val="008D0E0F"/>
    <w:rsid w:val="008D0FE4"/>
    <w:rsid w:val="008D15C9"/>
    <w:rsid w:val="008D1779"/>
    <w:rsid w:val="008D1A5A"/>
    <w:rsid w:val="008D2F74"/>
    <w:rsid w:val="008D2FB5"/>
    <w:rsid w:val="008D36BD"/>
    <w:rsid w:val="008D37D9"/>
    <w:rsid w:val="008D397A"/>
    <w:rsid w:val="008D4984"/>
    <w:rsid w:val="008D4E9A"/>
    <w:rsid w:val="008D59C3"/>
    <w:rsid w:val="008D640C"/>
    <w:rsid w:val="008D67B0"/>
    <w:rsid w:val="008D68FE"/>
    <w:rsid w:val="008D7A75"/>
    <w:rsid w:val="008D7BA3"/>
    <w:rsid w:val="008E0050"/>
    <w:rsid w:val="008E0554"/>
    <w:rsid w:val="008E06DB"/>
    <w:rsid w:val="008E1D5F"/>
    <w:rsid w:val="008E2686"/>
    <w:rsid w:val="008E29BB"/>
    <w:rsid w:val="008E32A8"/>
    <w:rsid w:val="008E354A"/>
    <w:rsid w:val="008E3919"/>
    <w:rsid w:val="008E3FA6"/>
    <w:rsid w:val="008E4854"/>
    <w:rsid w:val="008E48F5"/>
    <w:rsid w:val="008E53C6"/>
    <w:rsid w:val="008E5C69"/>
    <w:rsid w:val="008E6172"/>
    <w:rsid w:val="008E637C"/>
    <w:rsid w:val="008E6D2B"/>
    <w:rsid w:val="008E6E16"/>
    <w:rsid w:val="008E7A67"/>
    <w:rsid w:val="008E7D97"/>
    <w:rsid w:val="008F0D04"/>
    <w:rsid w:val="008F1C56"/>
    <w:rsid w:val="008F212E"/>
    <w:rsid w:val="008F2F81"/>
    <w:rsid w:val="008F3EEB"/>
    <w:rsid w:val="008F47CD"/>
    <w:rsid w:val="008F48E7"/>
    <w:rsid w:val="008F5088"/>
    <w:rsid w:val="008F53B6"/>
    <w:rsid w:val="008F5743"/>
    <w:rsid w:val="008F5E86"/>
    <w:rsid w:val="008F5F93"/>
    <w:rsid w:val="008F6326"/>
    <w:rsid w:val="008F6C45"/>
    <w:rsid w:val="008F7DAE"/>
    <w:rsid w:val="0090064C"/>
    <w:rsid w:val="009018B1"/>
    <w:rsid w:val="00901A16"/>
    <w:rsid w:val="009025A6"/>
    <w:rsid w:val="009025EC"/>
    <w:rsid w:val="009026C2"/>
    <w:rsid w:val="00902A8E"/>
    <w:rsid w:val="00902FC6"/>
    <w:rsid w:val="009036BD"/>
    <w:rsid w:val="00903BDC"/>
    <w:rsid w:val="00904F82"/>
    <w:rsid w:val="00906A73"/>
    <w:rsid w:val="009070E0"/>
    <w:rsid w:val="0090750C"/>
    <w:rsid w:val="0090787B"/>
    <w:rsid w:val="00907D8D"/>
    <w:rsid w:val="009107F0"/>
    <w:rsid w:val="00910833"/>
    <w:rsid w:val="009112B2"/>
    <w:rsid w:val="00911394"/>
    <w:rsid w:val="00911A99"/>
    <w:rsid w:val="0091216C"/>
    <w:rsid w:val="00912178"/>
    <w:rsid w:val="00912182"/>
    <w:rsid w:val="00912BBD"/>
    <w:rsid w:val="00912E3F"/>
    <w:rsid w:val="00913023"/>
    <w:rsid w:val="0091468D"/>
    <w:rsid w:val="009148BC"/>
    <w:rsid w:val="00914B79"/>
    <w:rsid w:val="00914CB0"/>
    <w:rsid w:val="0091508B"/>
    <w:rsid w:val="009152C6"/>
    <w:rsid w:val="00915C80"/>
    <w:rsid w:val="00916384"/>
    <w:rsid w:val="00916F3B"/>
    <w:rsid w:val="00917666"/>
    <w:rsid w:val="00917E36"/>
    <w:rsid w:val="00917E91"/>
    <w:rsid w:val="00917F65"/>
    <w:rsid w:val="009207E1"/>
    <w:rsid w:val="009208DB"/>
    <w:rsid w:val="00920EE8"/>
    <w:rsid w:val="00921581"/>
    <w:rsid w:val="00921B4A"/>
    <w:rsid w:val="00921B50"/>
    <w:rsid w:val="00921E6C"/>
    <w:rsid w:val="00922D94"/>
    <w:rsid w:val="00923EFB"/>
    <w:rsid w:val="00924A4B"/>
    <w:rsid w:val="00924B6E"/>
    <w:rsid w:val="0092542B"/>
    <w:rsid w:val="00925662"/>
    <w:rsid w:val="009259F6"/>
    <w:rsid w:val="009263DD"/>
    <w:rsid w:val="00926622"/>
    <w:rsid w:val="009268BC"/>
    <w:rsid w:val="00926B1E"/>
    <w:rsid w:val="00926B80"/>
    <w:rsid w:val="0092709B"/>
    <w:rsid w:val="0093040C"/>
    <w:rsid w:val="009305A7"/>
    <w:rsid w:val="00931B3A"/>
    <w:rsid w:val="00931F8A"/>
    <w:rsid w:val="00932002"/>
    <w:rsid w:val="009335F8"/>
    <w:rsid w:val="00933F41"/>
    <w:rsid w:val="00935199"/>
    <w:rsid w:val="00935AFB"/>
    <w:rsid w:val="00935D9F"/>
    <w:rsid w:val="00936A3D"/>
    <w:rsid w:val="00936F6E"/>
    <w:rsid w:val="00937AB6"/>
    <w:rsid w:val="009402AE"/>
    <w:rsid w:val="00940B23"/>
    <w:rsid w:val="00941141"/>
    <w:rsid w:val="009417E0"/>
    <w:rsid w:val="0094276F"/>
    <w:rsid w:val="00942C14"/>
    <w:rsid w:val="00943702"/>
    <w:rsid w:val="009447DB"/>
    <w:rsid w:val="009448D7"/>
    <w:rsid w:val="00944DD6"/>
    <w:rsid w:val="00945105"/>
    <w:rsid w:val="00945713"/>
    <w:rsid w:val="00945FEC"/>
    <w:rsid w:val="00946513"/>
    <w:rsid w:val="00946581"/>
    <w:rsid w:val="009470B1"/>
    <w:rsid w:val="009475E3"/>
    <w:rsid w:val="00947AD6"/>
    <w:rsid w:val="009501C9"/>
    <w:rsid w:val="00950582"/>
    <w:rsid w:val="009506B6"/>
    <w:rsid w:val="009511C7"/>
    <w:rsid w:val="00951910"/>
    <w:rsid w:val="00951EA9"/>
    <w:rsid w:val="00951EB8"/>
    <w:rsid w:val="009533B0"/>
    <w:rsid w:val="00953E31"/>
    <w:rsid w:val="00953F59"/>
    <w:rsid w:val="0095447B"/>
    <w:rsid w:val="009554C0"/>
    <w:rsid w:val="0095627D"/>
    <w:rsid w:val="009564EB"/>
    <w:rsid w:val="00956E17"/>
    <w:rsid w:val="00957041"/>
    <w:rsid w:val="00957443"/>
    <w:rsid w:val="00957CC6"/>
    <w:rsid w:val="0096078C"/>
    <w:rsid w:val="00960AA2"/>
    <w:rsid w:val="00960E86"/>
    <w:rsid w:val="0096184A"/>
    <w:rsid w:val="00962079"/>
    <w:rsid w:val="009621A4"/>
    <w:rsid w:val="0096238D"/>
    <w:rsid w:val="0096273C"/>
    <w:rsid w:val="009633B2"/>
    <w:rsid w:val="00963952"/>
    <w:rsid w:val="00963E14"/>
    <w:rsid w:val="00964728"/>
    <w:rsid w:val="00964FF7"/>
    <w:rsid w:val="0096542C"/>
    <w:rsid w:val="009664EB"/>
    <w:rsid w:val="0096664E"/>
    <w:rsid w:val="00967050"/>
    <w:rsid w:val="00967C7C"/>
    <w:rsid w:val="00970AF0"/>
    <w:rsid w:val="0097111E"/>
    <w:rsid w:val="00971A1D"/>
    <w:rsid w:val="00972380"/>
    <w:rsid w:val="00974287"/>
    <w:rsid w:val="00975589"/>
    <w:rsid w:val="009765EB"/>
    <w:rsid w:val="0097691C"/>
    <w:rsid w:val="00976A6A"/>
    <w:rsid w:val="00980166"/>
    <w:rsid w:val="00980598"/>
    <w:rsid w:val="00980998"/>
    <w:rsid w:val="00980A83"/>
    <w:rsid w:val="00981454"/>
    <w:rsid w:val="009815EE"/>
    <w:rsid w:val="00983816"/>
    <w:rsid w:val="00983915"/>
    <w:rsid w:val="00983F27"/>
    <w:rsid w:val="0098462E"/>
    <w:rsid w:val="00984994"/>
    <w:rsid w:val="00984FC5"/>
    <w:rsid w:val="009865E7"/>
    <w:rsid w:val="0098689F"/>
    <w:rsid w:val="009870B9"/>
    <w:rsid w:val="00987DC9"/>
    <w:rsid w:val="00990438"/>
    <w:rsid w:val="00991229"/>
    <w:rsid w:val="00991338"/>
    <w:rsid w:val="00991B0B"/>
    <w:rsid w:val="0099252A"/>
    <w:rsid w:val="00993068"/>
    <w:rsid w:val="00993909"/>
    <w:rsid w:val="0099457A"/>
    <w:rsid w:val="00994AC4"/>
    <w:rsid w:val="00995262"/>
    <w:rsid w:val="009954CD"/>
    <w:rsid w:val="00996139"/>
    <w:rsid w:val="009968A0"/>
    <w:rsid w:val="009974D3"/>
    <w:rsid w:val="00997BD0"/>
    <w:rsid w:val="009A0365"/>
    <w:rsid w:val="009A0F67"/>
    <w:rsid w:val="009A1148"/>
    <w:rsid w:val="009A13A7"/>
    <w:rsid w:val="009A1793"/>
    <w:rsid w:val="009A21C8"/>
    <w:rsid w:val="009A25B5"/>
    <w:rsid w:val="009A269D"/>
    <w:rsid w:val="009A2B86"/>
    <w:rsid w:val="009A2CD1"/>
    <w:rsid w:val="009A32D2"/>
    <w:rsid w:val="009A3697"/>
    <w:rsid w:val="009A3FF9"/>
    <w:rsid w:val="009A451E"/>
    <w:rsid w:val="009A45B0"/>
    <w:rsid w:val="009A4662"/>
    <w:rsid w:val="009A6608"/>
    <w:rsid w:val="009A6A01"/>
    <w:rsid w:val="009A7E05"/>
    <w:rsid w:val="009B107B"/>
    <w:rsid w:val="009B1F84"/>
    <w:rsid w:val="009B2008"/>
    <w:rsid w:val="009B25C8"/>
    <w:rsid w:val="009B29FE"/>
    <w:rsid w:val="009B2CDC"/>
    <w:rsid w:val="009B410A"/>
    <w:rsid w:val="009B43C2"/>
    <w:rsid w:val="009B4979"/>
    <w:rsid w:val="009B4D4E"/>
    <w:rsid w:val="009B56D6"/>
    <w:rsid w:val="009B5E71"/>
    <w:rsid w:val="009B5FB0"/>
    <w:rsid w:val="009B6723"/>
    <w:rsid w:val="009B68C2"/>
    <w:rsid w:val="009B6CD0"/>
    <w:rsid w:val="009C0755"/>
    <w:rsid w:val="009C1289"/>
    <w:rsid w:val="009C25F0"/>
    <w:rsid w:val="009C2BF4"/>
    <w:rsid w:val="009C3358"/>
    <w:rsid w:val="009C33E6"/>
    <w:rsid w:val="009C3FF2"/>
    <w:rsid w:val="009C4FA8"/>
    <w:rsid w:val="009C5324"/>
    <w:rsid w:val="009C634A"/>
    <w:rsid w:val="009C685C"/>
    <w:rsid w:val="009C68C5"/>
    <w:rsid w:val="009C6AD4"/>
    <w:rsid w:val="009C7286"/>
    <w:rsid w:val="009C73F1"/>
    <w:rsid w:val="009C797A"/>
    <w:rsid w:val="009C7CDB"/>
    <w:rsid w:val="009D0D44"/>
    <w:rsid w:val="009D1A47"/>
    <w:rsid w:val="009D22F6"/>
    <w:rsid w:val="009D2848"/>
    <w:rsid w:val="009D2C15"/>
    <w:rsid w:val="009D406F"/>
    <w:rsid w:val="009D4C3B"/>
    <w:rsid w:val="009D5781"/>
    <w:rsid w:val="009D5F2E"/>
    <w:rsid w:val="009D63BB"/>
    <w:rsid w:val="009D7971"/>
    <w:rsid w:val="009D7E56"/>
    <w:rsid w:val="009E0D0B"/>
    <w:rsid w:val="009E0DDE"/>
    <w:rsid w:val="009E172E"/>
    <w:rsid w:val="009E1EEB"/>
    <w:rsid w:val="009E316D"/>
    <w:rsid w:val="009E3A3A"/>
    <w:rsid w:val="009E3FC7"/>
    <w:rsid w:val="009E4B3E"/>
    <w:rsid w:val="009E59BF"/>
    <w:rsid w:val="009E60E5"/>
    <w:rsid w:val="009E68E4"/>
    <w:rsid w:val="009E7305"/>
    <w:rsid w:val="009E7D62"/>
    <w:rsid w:val="009E7E67"/>
    <w:rsid w:val="009F02C0"/>
    <w:rsid w:val="009F0735"/>
    <w:rsid w:val="009F0A32"/>
    <w:rsid w:val="009F1901"/>
    <w:rsid w:val="009F2C2D"/>
    <w:rsid w:val="009F4309"/>
    <w:rsid w:val="009F4F33"/>
    <w:rsid w:val="009F5D50"/>
    <w:rsid w:val="009F6B1E"/>
    <w:rsid w:val="00A003F7"/>
    <w:rsid w:val="00A008AF"/>
    <w:rsid w:val="00A01235"/>
    <w:rsid w:val="00A01559"/>
    <w:rsid w:val="00A0185D"/>
    <w:rsid w:val="00A021AE"/>
    <w:rsid w:val="00A03C58"/>
    <w:rsid w:val="00A042CD"/>
    <w:rsid w:val="00A04BEC"/>
    <w:rsid w:val="00A056EF"/>
    <w:rsid w:val="00A05AA1"/>
    <w:rsid w:val="00A05D5D"/>
    <w:rsid w:val="00A05F26"/>
    <w:rsid w:val="00A06623"/>
    <w:rsid w:val="00A06D72"/>
    <w:rsid w:val="00A0768C"/>
    <w:rsid w:val="00A10100"/>
    <w:rsid w:val="00A10DD3"/>
    <w:rsid w:val="00A10F9E"/>
    <w:rsid w:val="00A10FFD"/>
    <w:rsid w:val="00A116EE"/>
    <w:rsid w:val="00A11E85"/>
    <w:rsid w:val="00A12099"/>
    <w:rsid w:val="00A12379"/>
    <w:rsid w:val="00A1341F"/>
    <w:rsid w:val="00A14A93"/>
    <w:rsid w:val="00A14E35"/>
    <w:rsid w:val="00A156AE"/>
    <w:rsid w:val="00A15A53"/>
    <w:rsid w:val="00A15E11"/>
    <w:rsid w:val="00A16943"/>
    <w:rsid w:val="00A2012E"/>
    <w:rsid w:val="00A21697"/>
    <w:rsid w:val="00A22474"/>
    <w:rsid w:val="00A22CBA"/>
    <w:rsid w:val="00A246C3"/>
    <w:rsid w:val="00A24A9E"/>
    <w:rsid w:val="00A24E59"/>
    <w:rsid w:val="00A25C58"/>
    <w:rsid w:val="00A25EBF"/>
    <w:rsid w:val="00A27E8B"/>
    <w:rsid w:val="00A31429"/>
    <w:rsid w:val="00A31C95"/>
    <w:rsid w:val="00A31FAA"/>
    <w:rsid w:val="00A3274C"/>
    <w:rsid w:val="00A3288D"/>
    <w:rsid w:val="00A33151"/>
    <w:rsid w:val="00A33F08"/>
    <w:rsid w:val="00A3455F"/>
    <w:rsid w:val="00A34E3C"/>
    <w:rsid w:val="00A3528C"/>
    <w:rsid w:val="00A363E0"/>
    <w:rsid w:val="00A3666B"/>
    <w:rsid w:val="00A3666E"/>
    <w:rsid w:val="00A369C0"/>
    <w:rsid w:val="00A36E92"/>
    <w:rsid w:val="00A36FB8"/>
    <w:rsid w:val="00A3710C"/>
    <w:rsid w:val="00A4087B"/>
    <w:rsid w:val="00A41818"/>
    <w:rsid w:val="00A420F4"/>
    <w:rsid w:val="00A424BE"/>
    <w:rsid w:val="00A42562"/>
    <w:rsid w:val="00A44047"/>
    <w:rsid w:val="00A44874"/>
    <w:rsid w:val="00A44BBD"/>
    <w:rsid w:val="00A45113"/>
    <w:rsid w:val="00A45182"/>
    <w:rsid w:val="00A47934"/>
    <w:rsid w:val="00A47F02"/>
    <w:rsid w:val="00A5008C"/>
    <w:rsid w:val="00A500C2"/>
    <w:rsid w:val="00A505B5"/>
    <w:rsid w:val="00A50808"/>
    <w:rsid w:val="00A50FCA"/>
    <w:rsid w:val="00A5129B"/>
    <w:rsid w:val="00A51804"/>
    <w:rsid w:val="00A51B09"/>
    <w:rsid w:val="00A51EEA"/>
    <w:rsid w:val="00A53057"/>
    <w:rsid w:val="00A53890"/>
    <w:rsid w:val="00A53F76"/>
    <w:rsid w:val="00A54223"/>
    <w:rsid w:val="00A552D4"/>
    <w:rsid w:val="00A55A46"/>
    <w:rsid w:val="00A56619"/>
    <w:rsid w:val="00A5705F"/>
    <w:rsid w:val="00A570D5"/>
    <w:rsid w:val="00A603AF"/>
    <w:rsid w:val="00A60A20"/>
    <w:rsid w:val="00A60D21"/>
    <w:rsid w:val="00A61832"/>
    <w:rsid w:val="00A6252F"/>
    <w:rsid w:val="00A629B9"/>
    <w:rsid w:val="00A62AE5"/>
    <w:rsid w:val="00A62C8B"/>
    <w:rsid w:val="00A63C8B"/>
    <w:rsid w:val="00A63D28"/>
    <w:rsid w:val="00A6549B"/>
    <w:rsid w:val="00A657F2"/>
    <w:rsid w:val="00A66031"/>
    <w:rsid w:val="00A67DCE"/>
    <w:rsid w:val="00A70375"/>
    <w:rsid w:val="00A70405"/>
    <w:rsid w:val="00A71E6E"/>
    <w:rsid w:val="00A726F7"/>
    <w:rsid w:val="00A732B3"/>
    <w:rsid w:val="00A74FA4"/>
    <w:rsid w:val="00A75191"/>
    <w:rsid w:val="00A7524C"/>
    <w:rsid w:val="00A764CE"/>
    <w:rsid w:val="00A76EDB"/>
    <w:rsid w:val="00A76F6E"/>
    <w:rsid w:val="00A770C7"/>
    <w:rsid w:val="00A77D5E"/>
    <w:rsid w:val="00A8026C"/>
    <w:rsid w:val="00A812B3"/>
    <w:rsid w:val="00A8196F"/>
    <w:rsid w:val="00A8205A"/>
    <w:rsid w:val="00A82D5C"/>
    <w:rsid w:val="00A83235"/>
    <w:rsid w:val="00A83768"/>
    <w:rsid w:val="00A83879"/>
    <w:rsid w:val="00A83C68"/>
    <w:rsid w:val="00A84483"/>
    <w:rsid w:val="00A84978"/>
    <w:rsid w:val="00A84E68"/>
    <w:rsid w:val="00A859A8"/>
    <w:rsid w:val="00A85A41"/>
    <w:rsid w:val="00A8633C"/>
    <w:rsid w:val="00A86D5C"/>
    <w:rsid w:val="00A8704D"/>
    <w:rsid w:val="00A875D8"/>
    <w:rsid w:val="00A878B1"/>
    <w:rsid w:val="00A87B65"/>
    <w:rsid w:val="00A87FB8"/>
    <w:rsid w:val="00A90008"/>
    <w:rsid w:val="00A91925"/>
    <w:rsid w:val="00A92B11"/>
    <w:rsid w:val="00A9313E"/>
    <w:rsid w:val="00A935F3"/>
    <w:rsid w:val="00A93750"/>
    <w:rsid w:val="00A9434C"/>
    <w:rsid w:val="00A94C58"/>
    <w:rsid w:val="00A95385"/>
    <w:rsid w:val="00A95FD5"/>
    <w:rsid w:val="00A96A58"/>
    <w:rsid w:val="00A96EBB"/>
    <w:rsid w:val="00A970D2"/>
    <w:rsid w:val="00A97F28"/>
    <w:rsid w:val="00AA111E"/>
    <w:rsid w:val="00AA1C9B"/>
    <w:rsid w:val="00AA29D2"/>
    <w:rsid w:val="00AA317B"/>
    <w:rsid w:val="00AA3443"/>
    <w:rsid w:val="00AA51C8"/>
    <w:rsid w:val="00AA52C6"/>
    <w:rsid w:val="00AA69B6"/>
    <w:rsid w:val="00AA6AEE"/>
    <w:rsid w:val="00AA6B3F"/>
    <w:rsid w:val="00AA6DA3"/>
    <w:rsid w:val="00AA7CDF"/>
    <w:rsid w:val="00AB015A"/>
    <w:rsid w:val="00AB0302"/>
    <w:rsid w:val="00AB11B1"/>
    <w:rsid w:val="00AB1AD6"/>
    <w:rsid w:val="00AB1F16"/>
    <w:rsid w:val="00AB1F54"/>
    <w:rsid w:val="00AB20DE"/>
    <w:rsid w:val="00AB2391"/>
    <w:rsid w:val="00AB23CE"/>
    <w:rsid w:val="00AB240B"/>
    <w:rsid w:val="00AB242E"/>
    <w:rsid w:val="00AB2873"/>
    <w:rsid w:val="00AB33AC"/>
    <w:rsid w:val="00AB392B"/>
    <w:rsid w:val="00AB49B6"/>
    <w:rsid w:val="00AB49E5"/>
    <w:rsid w:val="00AB4BC7"/>
    <w:rsid w:val="00AB4CAF"/>
    <w:rsid w:val="00AB52B9"/>
    <w:rsid w:val="00AB6127"/>
    <w:rsid w:val="00AB63F2"/>
    <w:rsid w:val="00AB6D18"/>
    <w:rsid w:val="00AB6F0A"/>
    <w:rsid w:val="00AB72BB"/>
    <w:rsid w:val="00AB7378"/>
    <w:rsid w:val="00AB7B7B"/>
    <w:rsid w:val="00AC0039"/>
    <w:rsid w:val="00AC0B6E"/>
    <w:rsid w:val="00AC222D"/>
    <w:rsid w:val="00AC228C"/>
    <w:rsid w:val="00AC29AE"/>
    <w:rsid w:val="00AC2A0F"/>
    <w:rsid w:val="00AC3F01"/>
    <w:rsid w:val="00AC3F09"/>
    <w:rsid w:val="00AC3F9B"/>
    <w:rsid w:val="00AC4000"/>
    <w:rsid w:val="00AC5B4B"/>
    <w:rsid w:val="00AC6371"/>
    <w:rsid w:val="00AC6D41"/>
    <w:rsid w:val="00AC6F28"/>
    <w:rsid w:val="00AC7DBD"/>
    <w:rsid w:val="00AD0319"/>
    <w:rsid w:val="00AD0993"/>
    <w:rsid w:val="00AD099C"/>
    <w:rsid w:val="00AD1488"/>
    <w:rsid w:val="00AD14B4"/>
    <w:rsid w:val="00AD1757"/>
    <w:rsid w:val="00AD239E"/>
    <w:rsid w:val="00AD3878"/>
    <w:rsid w:val="00AD3A4F"/>
    <w:rsid w:val="00AD481C"/>
    <w:rsid w:val="00AD556F"/>
    <w:rsid w:val="00AD55D7"/>
    <w:rsid w:val="00AD5B10"/>
    <w:rsid w:val="00AD64EB"/>
    <w:rsid w:val="00AD6CAB"/>
    <w:rsid w:val="00AD6E34"/>
    <w:rsid w:val="00AD7BF4"/>
    <w:rsid w:val="00AE076E"/>
    <w:rsid w:val="00AE0A91"/>
    <w:rsid w:val="00AE0C67"/>
    <w:rsid w:val="00AE0EC8"/>
    <w:rsid w:val="00AE14C8"/>
    <w:rsid w:val="00AE154C"/>
    <w:rsid w:val="00AE1C8C"/>
    <w:rsid w:val="00AE2A1F"/>
    <w:rsid w:val="00AE2BE6"/>
    <w:rsid w:val="00AE31D9"/>
    <w:rsid w:val="00AE3227"/>
    <w:rsid w:val="00AE341E"/>
    <w:rsid w:val="00AE3AF4"/>
    <w:rsid w:val="00AE4406"/>
    <w:rsid w:val="00AE4489"/>
    <w:rsid w:val="00AE47AE"/>
    <w:rsid w:val="00AE52A1"/>
    <w:rsid w:val="00AE5ADA"/>
    <w:rsid w:val="00AE5D1C"/>
    <w:rsid w:val="00AE5DD7"/>
    <w:rsid w:val="00AE5E07"/>
    <w:rsid w:val="00AE5F0C"/>
    <w:rsid w:val="00AE5F68"/>
    <w:rsid w:val="00AE600D"/>
    <w:rsid w:val="00AE6132"/>
    <w:rsid w:val="00AE67F3"/>
    <w:rsid w:val="00AE685F"/>
    <w:rsid w:val="00AE6F25"/>
    <w:rsid w:val="00AE7307"/>
    <w:rsid w:val="00AE78E4"/>
    <w:rsid w:val="00AE7AE4"/>
    <w:rsid w:val="00AE7FD2"/>
    <w:rsid w:val="00AF019B"/>
    <w:rsid w:val="00AF09BA"/>
    <w:rsid w:val="00AF0B4F"/>
    <w:rsid w:val="00AF0BFA"/>
    <w:rsid w:val="00AF1171"/>
    <w:rsid w:val="00AF2A26"/>
    <w:rsid w:val="00AF43C4"/>
    <w:rsid w:val="00AF4404"/>
    <w:rsid w:val="00AF4CED"/>
    <w:rsid w:val="00AF4F1F"/>
    <w:rsid w:val="00AF54D9"/>
    <w:rsid w:val="00AF5C3F"/>
    <w:rsid w:val="00AF6459"/>
    <w:rsid w:val="00AF64F7"/>
    <w:rsid w:val="00AF7C22"/>
    <w:rsid w:val="00AF7D57"/>
    <w:rsid w:val="00B0098D"/>
    <w:rsid w:val="00B009DC"/>
    <w:rsid w:val="00B00D35"/>
    <w:rsid w:val="00B020B4"/>
    <w:rsid w:val="00B03A54"/>
    <w:rsid w:val="00B0427E"/>
    <w:rsid w:val="00B057E0"/>
    <w:rsid w:val="00B05D3C"/>
    <w:rsid w:val="00B05E89"/>
    <w:rsid w:val="00B063C4"/>
    <w:rsid w:val="00B07D5C"/>
    <w:rsid w:val="00B10CA4"/>
    <w:rsid w:val="00B11328"/>
    <w:rsid w:val="00B11A91"/>
    <w:rsid w:val="00B11CA7"/>
    <w:rsid w:val="00B1300C"/>
    <w:rsid w:val="00B130AA"/>
    <w:rsid w:val="00B131B6"/>
    <w:rsid w:val="00B132C3"/>
    <w:rsid w:val="00B13888"/>
    <w:rsid w:val="00B13AEE"/>
    <w:rsid w:val="00B13BBF"/>
    <w:rsid w:val="00B13BDB"/>
    <w:rsid w:val="00B1519A"/>
    <w:rsid w:val="00B156D3"/>
    <w:rsid w:val="00B162A0"/>
    <w:rsid w:val="00B1735A"/>
    <w:rsid w:val="00B17800"/>
    <w:rsid w:val="00B20932"/>
    <w:rsid w:val="00B20BCB"/>
    <w:rsid w:val="00B2137C"/>
    <w:rsid w:val="00B21D5C"/>
    <w:rsid w:val="00B232D7"/>
    <w:rsid w:val="00B234E6"/>
    <w:rsid w:val="00B237DA"/>
    <w:rsid w:val="00B23CCC"/>
    <w:rsid w:val="00B24497"/>
    <w:rsid w:val="00B2477E"/>
    <w:rsid w:val="00B25575"/>
    <w:rsid w:val="00B25981"/>
    <w:rsid w:val="00B25A42"/>
    <w:rsid w:val="00B25CFC"/>
    <w:rsid w:val="00B26133"/>
    <w:rsid w:val="00B263CC"/>
    <w:rsid w:val="00B266B7"/>
    <w:rsid w:val="00B267B0"/>
    <w:rsid w:val="00B27435"/>
    <w:rsid w:val="00B279B6"/>
    <w:rsid w:val="00B27BEE"/>
    <w:rsid w:val="00B30483"/>
    <w:rsid w:val="00B30575"/>
    <w:rsid w:val="00B30D3B"/>
    <w:rsid w:val="00B319FA"/>
    <w:rsid w:val="00B321D9"/>
    <w:rsid w:val="00B32DC5"/>
    <w:rsid w:val="00B32FDC"/>
    <w:rsid w:val="00B33721"/>
    <w:rsid w:val="00B33FF8"/>
    <w:rsid w:val="00B34328"/>
    <w:rsid w:val="00B3432A"/>
    <w:rsid w:val="00B34FD4"/>
    <w:rsid w:val="00B35670"/>
    <w:rsid w:val="00B36937"/>
    <w:rsid w:val="00B36A55"/>
    <w:rsid w:val="00B36A8D"/>
    <w:rsid w:val="00B36B37"/>
    <w:rsid w:val="00B372A8"/>
    <w:rsid w:val="00B37ADB"/>
    <w:rsid w:val="00B37C85"/>
    <w:rsid w:val="00B37F46"/>
    <w:rsid w:val="00B40864"/>
    <w:rsid w:val="00B4107A"/>
    <w:rsid w:val="00B41A28"/>
    <w:rsid w:val="00B41D22"/>
    <w:rsid w:val="00B42105"/>
    <w:rsid w:val="00B42D0F"/>
    <w:rsid w:val="00B438D6"/>
    <w:rsid w:val="00B44A72"/>
    <w:rsid w:val="00B44C2B"/>
    <w:rsid w:val="00B45A5D"/>
    <w:rsid w:val="00B46DF4"/>
    <w:rsid w:val="00B46FAC"/>
    <w:rsid w:val="00B470F1"/>
    <w:rsid w:val="00B47191"/>
    <w:rsid w:val="00B50658"/>
    <w:rsid w:val="00B50756"/>
    <w:rsid w:val="00B509F5"/>
    <w:rsid w:val="00B515F9"/>
    <w:rsid w:val="00B51B14"/>
    <w:rsid w:val="00B51EE8"/>
    <w:rsid w:val="00B52002"/>
    <w:rsid w:val="00B5217A"/>
    <w:rsid w:val="00B52348"/>
    <w:rsid w:val="00B52402"/>
    <w:rsid w:val="00B524A6"/>
    <w:rsid w:val="00B52603"/>
    <w:rsid w:val="00B52925"/>
    <w:rsid w:val="00B52B1A"/>
    <w:rsid w:val="00B534D1"/>
    <w:rsid w:val="00B54450"/>
    <w:rsid w:val="00B549EA"/>
    <w:rsid w:val="00B56DAA"/>
    <w:rsid w:val="00B56E25"/>
    <w:rsid w:val="00B572D3"/>
    <w:rsid w:val="00B57334"/>
    <w:rsid w:val="00B5747E"/>
    <w:rsid w:val="00B6023C"/>
    <w:rsid w:val="00B60D0B"/>
    <w:rsid w:val="00B61D58"/>
    <w:rsid w:val="00B62F20"/>
    <w:rsid w:val="00B63115"/>
    <w:rsid w:val="00B63415"/>
    <w:rsid w:val="00B63883"/>
    <w:rsid w:val="00B63915"/>
    <w:rsid w:val="00B63F80"/>
    <w:rsid w:val="00B640F7"/>
    <w:rsid w:val="00B649ED"/>
    <w:rsid w:val="00B652D9"/>
    <w:rsid w:val="00B6640E"/>
    <w:rsid w:val="00B66C0F"/>
    <w:rsid w:val="00B66E77"/>
    <w:rsid w:val="00B7003F"/>
    <w:rsid w:val="00B70504"/>
    <w:rsid w:val="00B70913"/>
    <w:rsid w:val="00B70A61"/>
    <w:rsid w:val="00B710F6"/>
    <w:rsid w:val="00B71428"/>
    <w:rsid w:val="00B716D1"/>
    <w:rsid w:val="00B72379"/>
    <w:rsid w:val="00B72541"/>
    <w:rsid w:val="00B729E2"/>
    <w:rsid w:val="00B730AA"/>
    <w:rsid w:val="00B734EF"/>
    <w:rsid w:val="00B7390F"/>
    <w:rsid w:val="00B74D01"/>
    <w:rsid w:val="00B74E6D"/>
    <w:rsid w:val="00B75061"/>
    <w:rsid w:val="00B752DA"/>
    <w:rsid w:val="00B75ABD"/>
    <w:rsid w:val="00B75BD3"/>
    <w:rsid w:val="00B7606F"/>
    <w:rsid w:val="00B770FD"/>
    <w:rsid w:val="00B77E7E"/>
    <w:rsid w:val="00B77F6B"/>
    <w:rsid w:val="00B80E7A"/>
    <w:rsid w:val="00B81191"/>
    <w:rsid w:val="00B81227"/>
    <w:rsid w:val="00B81BAD"/>
    <w:rsid w:val="00B8237B"/>
    <w:rsid w:val="00B82386"/>
    <w:rsid w:val="00B82F1D"/>
    <w:rsid w:val="00B841C3"/>
    <w:rsid w:val="00B8465E"/>
    <w:rsid w:val="00B846DE"/>
    <w:rsid w:val="00B848EA"/>
    <w:rsid w:val="00B84C43"/>
    <w:rsid w:val="00B85BC6"/>
    <w:rsid w:val="00B85E11"/>
    <w:rsid w:val="00B86B08"/>
    <w:rsid w:val="00B90277"/>
    <w:rsid w:val="00B9148D"/>
    <w:rsid w:val="00B91B44"/>
    <w:rsid w:val="00B91D3F"/>
    <w:rsid w:val="00B925A6"/>
    <w:rsid w:val="00B933DC"/>
    <w:rsid w:val="00B93442"/>
    <w:rsid w:val="00B93BAA"/>
    <w:rsid w:val="00B93C53"/>
    <w:rsid w:val="00B94F4B"/>
    <w:rsid w:val="00B97069"/>
    <w:rsid w:val="00B97BB4"/>
    <w:rsid w:val="00B97E1C"/>
    <w:rsid w:val="00BA0081"/>
    <w:rsid w:val="00BA01E0"/>
    <w:rsid w:val="00BA0BCE"/>
    <w:rsid w:val="00BA161D"/>
    <w:rsid w:val="00BA1CB6"/>
    <w:rsid w:val="00BA1F4D"/>
    <w:rsid w:val="00BA24B9"/>
    <w:rsid w:val="00BA33A2"/>
    <w:rsid w:val="00BA34F9"/>
    <w:rsid w:val="00BA35B6"/>
    <w:rsid w:val="00BA3806"/>
    <w:rsid w:val="00BA44B7"/>
    <w:rsid w:val="00BA4632"/>
    <w:rsid w:val="00BA4996"/>
    <w:rsid w:val="00BA5221"/>
    <w:rsid w:val="00BA5E87"/>
    <w:rsid w:val="00BA64BF"/>
    <w:rsid w:val="00BA6E53"/>
    <w:rsid w:val="00BA742E"/>
    <w:rsid w:val="00BB0D08"/>
    <w:rsid w:val="00BB0F17"/>
    <w:rsid w:val="00BB17AE"/>
    <w:rsid w:val="00BB248A"/>
    <w:rsid w:val="00BB2C01"/>
    <w:rsid w:val="00BB2D20"/>
    <w:rsid w:val="00BB3389"/>
    <w:rsid w:val="00BB354B"/>
    <w:rsid w:val="00BB3672"/>
    <w:rsid w:val="00BB3C04"/>
    <w:rsid w:val="00BB487F"/>
    <w:rsid w:val="00BB4C6A"/>
    <w:rsid w:val="00BB614C"/>
    <w:rsid w:val="00BB62DC"/>
    <w:rsid w:val="00BB6BBF"/>
    <w:rsid w:val="00BB7138"/>
    <w:rsid w:val="00BB71CB"/>
    <w:rsid w:val="00BB769D"/>
    <w:rsid w:val="00BB77F1"/>
    <w:rsid w:val="00BB7BD1"/>
    <w:rsid w:val="00BC0180"/>
    <w:rsid w:val="00BC060E"/>
    <w:rsid w:val="00BC080A"/>
    <w:rsid w:val="00BC161D"/>
    <w:rsid w:val="00BC19AD"/>
    <w:rsid w:val="00BC214F"/>
    <w:rsid w:val="00BC279C"/>
    <w:rsid w:val="00BC2B24"/>
    <w:rsid w:val="00BC3154"/>
    <w:rsid w:val="00BC3C4A"/>
    <w:rsid w:val="00BC4CE7"/>
    <w:rsid w:val="00BC541F"/>
    <w:rsid w:val="00BC54FA"/>
    <w:rsid w:val="00BC56B8"/>
    <w:rsid w:val="00BC5F82"/>
    <w:rsid w:val="00BC694F"/>
    <w:rsid w:val="00BC73E8"/>
    <w:rsid w:val="00BC7AC5"/>
    <w:rsid w:val="00BC7EFE"/>
    <w:rsid w:val="00BD03B7"/>
    <w:rsid w:val="00BD1278"/>
    <w:rsid w:val="00BD1506"/>
    <w:rsid w:val="00BD2636"/>
    <w:rsid w:val="00BD289B"/>
    <w:rsid w:val="00BD28FE"/>
    <w:rsid w:val="00BD2BD7"/>
    <w:rsid w:val="00BD316A"/>
    <w:rsid w:val="00BD3848"/>
    <w:rsid w:val="00BD3D4B"/>
    <w:rsid w:val="00BD4BD6"/>
    <w:rsid w:val="00BD4EC9"/>
    <w:rsid w:val="00BD5783"/>
    <w:rsid w:val="00BD5AF5"/>
    <w:rsid w:val="00BD6139"/>
    <w:rsid w:val="00BD617A"/>
    <w:rsid w:val="00BD656F"/>
    <w:rsid w:val="00BD699C"/>
    <w:rsid w:val="00BD69DF"/>
    <w:rsid w:val="00BD6F8C"/>
    <w:rsid w:val="00BD750B"/>
    <w:rsid w:val="00BD785B"/>
    <w:rsid w:val="00BD7E17"/>
    <w:rsid w:val="00BE0A6C"/>
    <w:rsid w:val="00BE0B62"/>
    <w:rsid w:val="00BE0D63"/>
    <w:rsid w:val="00BE0D97"/>
    <w:rsid w:val="00BE1069"/>
    <w:rsid w:val="00BE1546"/>
    <w:rsid w:val="00BE15E7"/>
    <w:rsid w:val="00BE164D"/>
    <w:rsid w:val="00BE19BE"/>
    <w:rsid w:val="00BE1F84"/>
    <w:rsid w:val="00BE284A"/>
    <w:rsid w:val="00BE29CA"/>
    <w:rsid w:val="00BE29E7"/>
    <w:rsid w:val="00BE2E53"/>
    <w:rsid w:val="00BE2E6C"/>
    <w:rsid w:val="00BE324E"/>
    <w:rsid w:val="00BE354D"/>
    <w:rsid w:val="00BE3620"/>
    <w:rsid w:val="00BE38A2"/>
    <w:rsid w:val="00BE3C00"/>
    <w:rsid w:val="00BE3DF0"/>
    <w:rsid w:val="00BE4834"/>
    <w:rsid w:val="00BE5459"/>
    <w:rsid w:val="00BE66D6"/>
    <w:rsid w:val="00BE68BF"/>
    <w:rsid w:val="00BE764F"/>
    <w:rsid w:val="00BE7B54"/>
    <w:rsid w:val="00BE7B70"/>
    <w:rsid w:val="00BF081D"/>
    <w:rsid w:val="00BF087D"/>
    <w:rsid w:val="00BF0BE3"/>
    <w:rsid w:val="00BF147F"/>
    <w:rsid w:val="00BF2447"/>
    <w:rsid w:val="00BF2630"/>
    <w:rsid w:val="00BF26AC"/>
    <w:rsid w:val="00BF38F2"/>
    <w:rsid w:val="00BF406E"/>
    <w:rsid w:val="00BF41A2"/>
    <w:rsid w:val="00BF4E7A"/>
    <w:rsid w:val="00BF5410"/>
    <w:rsid w:val="00BF57C2"/>
    <w:rsid w:val="00BF6DDD"/>
    <w:rsid w:val="00BF70C8"/>
    <w:rsid w:val="00BF71CF"/>
    <w:rsid w:val="00BF72B7"/>
    <w:rsid w:val="00BF78EE"/>
    <w:rsid w:val="00C007E4"/>
    <w:rsid w:val="00C03D43"/>
    <w:rsid w:val="00C0494D"/>
    <w:rsid w:val="00C04D0C"/>
    <w:rsid w:val="00C04D9B"/>
    <w:rsid w:val="00C04E68"/>
    <w:rsid w:val="00C059D1"/>
    <w:rsid w:val="00C05AF6"/>
    <w:rsid w:val="00C05E1A"/>
    <w:rsid w:val="00C07053"/>
    <w:rsid w:val="00C10D1F"/>
    <w:rsid w:val="00C11362"/>
    <w:rsid w:val="00C114EF"/>
    <w:rsid w:val="00C11CE6"/>
    <w:rsid w:val="00C133C7"/>
    <w:rsid w:val="00C13B75"/>
    <w:rsid w:val="00C14305"/>
    <w:rsid w:val="00C151F3"/>
    <w:rsid w:val="00C15509"/>
    <w:rsid w:val="00C15B52"/>
    <w:rsid w:val="00C17D13"/>
    <w:rsid w:val="00C20465"/>
    <w:rsid w:val="00C20F5D"/>
    <w:rsid w:val="00C21B39"/>
    <w:rsid w:val="00C22450"/>
    <w:rsid w:val="00C22503"/>
    <w:rsid w:val="00C230A5"/>
    <w:rsid w:val="00C2323A"/>
    <w:rsid w:val="00C24386"/>
    <w:rsid w:val="00C24AE7"/>
    <w:rsid w:val="00C24C86"/>
    <w:rsid w:val="00C24E28"/>
    <w:rsid w:val="00C25180"/>
    <w:rsid w:val="00C25B8F"/>
    <w:rsid w:val="00C26255"/>
    <w:rsid w:val="00C266CA"/>
    <w:rsid w:val="00C26A67"/>
    <w:rsid w:val="00C30FAF"/>
    <w:rsid w:val="00C315E1"/>
    <w:rsid w:val="00C317ED"/>
    <w:rsid w:val="00C31938"/>
    <w:rsid w:val="00C32187"/>
    <w:rsid w:val="00C32CA6"/>
    <w:rsid w:val="00C33502"/>
    <w:rsid w:val="00C337C5"/>
    <w:rsid w:val="00C339BE"/>
    <w:rsid w:val="00C33A7E"/>
    <w:rsid w:val="00C341BD"/>
    <w:rsid w:val="00C3470D"/>
    <w:rsid w:val="00C349C3"/>
    <w:rsid w:val="00C3511B"/>
    <w:rsid w:val="00C35B53"/>
    <w:rsid w:val="00C35F95"/>
    <w:rsid w:val="00C36ACA"/>
    <w:rsid w:val="00C3785B"/>
    <w:rsid w:val="00C40993"/>
    <w:rsid w:val="00C40D9F"/>
    <w:rsid w:val="00C41160"/>
    <w:rsid w:val="00C41C78"/>
    <w:rsid w:val="00C438EF"/>
    <w:rsid w:val="00C441DE"/>
    <w:rsid w:val="00C4425F"/>
    <w:rsid w:val="00C4438C"/>
    <w:rsid w:val="00C4474D"/>
    <w:rsid w:val="00C459B2"/>
    <w:rsid w:val="00C45A92"/>
    <w:rsid w:val="00C460EE"/>
    <w:rsid w:val="00C46221"/>
    <w:rsid w:val="00C4663B"/>
    <w:rsid w:val="00C46966"/>
    <w:rsid w:val="00C46A71"/>
    <w:rsid w:val="00C46B5D"/>
    <w:rsid w:val="00C46F05"/>
    <w:rsid w:val="00C47129"/>
    <w:rsid w:val="00C47E2F"/>
    <w:rsid w:val="00C50024"/>
    <w:rsid w:val="00C50760"/>
    <w:rsid w:val="00C50A15"/>
    <w:rsid w:val="00C51B23"/>
    <w:rsid w:val="00C51BF3"/>
    <w:rsid w:val="00C522CA"/>
    <w:rsid w:val="00C529DF"/>
    <w:rsid w:val="00C52D7A"/>
    <w:rsid w:val="00C52E35"/>
    <w:rsid w:val="00C53DC9"/>
    <w:rsid w:val="00C5431A"/>
    <w:rsid w:val="00C54561"/>
    <w:rsid w:val="00C550D9"/>
    <w:rsid w:val="00C55A8C"/>
    <w:rsid w:val="00C56055"/>
    <w:rsid w:val="00C567D6"/>
    <w:rsid w:val="00C569C3"/>
    <w:rsid w:val="00C569E3"/>
    <w:rsid w:val="00C61080"/>
    <w:rsid w:val="00C611DA"/>
    <w:rsid w:val="00C616F3"/>
    <w:rsid w:val="00C61ABA"/>
    <w:rsid w:val="00C61BAE"/>
    <w:rsid w:val="00C61C25"/>
    <w:rsid w:val="00C628E2"/>
    <w:rsid w:val="00C62906"/>
    <w:rsid w:val="00C62B8D"/>
    <w:rsid w:val="00C631E4"/>
    <w:rsid w:val="00C63843"/>
    <w:rsid w:val="00C64605"/>
    <w:rsid w:val="00C64DB6"/>
    <w:rsid w:val="00C64FD3"/>
    <w:rsid w:val="00C65582"/>
    <w:rsid w:val="00C657A9"/>
    <w:rsid w:val="00C65E82"/>
    <w:rsid w:val="00C665CE"/>
    <w:rsid w:val="00C666DE"/>
    <w:rsid w:val="00C66944"/>
    <w:rsid w:val="00C66AF8"/>
    <w:rsid w:val="00C6730F"/>
    <w:rsid w:val="00C676B2"/>
    <w:rsid w:val="00C67C3C"/>
    <w:rsid w:val="00C70430"/>
    <w:rsid w:val="00C70DE3"/>
    <w:rsid w:val="00C71053"/>
    <w:rsid w:val="00C71AD0"/>
    <w:rsid w:val="00C720A7"/>
    <w:rsid w:val="00C7320E"/>
    <w:rsid w:val="00C73B6F"/>
    <w:rsid w:val="00C73EB0"/>
    <w:rsid w:val="00C756D3"/>
    <w:rsid w:val="00C75FAA"/>
    <w:rsid w:val="00C76066"/>
    <w:rsid w:val="00C768EB"/>
    <w:rsid w:val="00C773B0"/>
    <w:rsid w:val="00C775B3"/>
    <w:rsid w:val="00C77C97"/>
    <w:rsid w:val="00C80342"/>
    <w:rsid w:val="00C80577"/>
    <w:rsid w:val="00C80F53"/>
    <w:rsid w:val="00C8107F"/>
    <w:rsid w:val="00C8146E"/>
    <w:rsid w:val="00C81E5E"/>
    <w:rsid w:val="00C81E95"/>
    <w:rsid w:val="00C82813"/>
    <w:rsid w:val="00C830B3"/>
    <w:rsid w:val="00C8445E"/>
    <w:rsid w:val="00C847D3"/>
    <w:rsid w:val="00C84ADF"/>
    <w:rsid w:val="00C85921"/>
    <w:rsid w:val="00C85925"/>
    <w:rsid w:val="00C8597C"/>
    <w:rsid w:val="00C86494"/>
    <w:rsid w:val="00C865E9"/>
    <w:rsid w:val="00C8667F"/>
    <w:rsid w:val="00C87188"/>
    <w:rsid w:val="00C87508"/>
    <w:rsid w:val="00C87A0D"/>
    <w:rsid w:val="00C87D24"/>
    <w:rsid w:val="00C87DAA"/>
    <w:rsid w:val="00C90524"/>
    <w:rsid w:val="00C90F8C"/>
    <w:rsid w:val="00C912CF"/>
    <w:rsid w:val="00C91836"/>
    <w:rsid w:val="00C920D7"/>
    <w:rsid w:val="00C93737"/>
    <w:rsid w:val="00C9381F"/>
    <w:rsid w:val="00C93D18"/>
    <w:rsid w:val="00C93D50"/>
    <w:rsid w:val="00C93E18"/>
    <w:rsid w:val="00C9463E"/>
    <w:rsid w:val="00C948DE"/>
    <w:rsid w:val="00C9496D"/>
    <w:rsid w:val="00C94C44"/>
    <w:rsid w:val="00C94D8E"/>
    <w:rsid w:val="00C95690"/>
    <w:rsid w:val="00C959DE"/>
    <w:rsid w:val="00C95DF4"/>
    <w:rsid w:val="00C95F2D"/>
    <w:rsid w:val="00C9678C"/>
    <w:rsid w:val="00C96C58"/>
    <w:rsid w:val="00C9711A"/>
    <w:rsid w:val="00C97973"/>
    <w:rsid w:val="00C97E83"/>
    <w:rsid w:val="00CA06B2"/>
    <w:rsid w:val="00CA0C9A"/>
    <w:rsid w:val="00CA1174"/>
    <w:rsid w:val="00CA1D4F"/>
    <w:rsid w:val="00CA2979"/>
    <w:rsid w:val="00CA2F78"/>
    <w:rsid w:val="00CA3D84"/>
    <w:rsid w:val="00CA3E89"/>
    <w:rsid w:val="00CA49CD"/>
    <w:rsid w:val="00CA4A85"/>
    <w:rsid w:val="00CA4B0B"/>
    <w:rsid w:val="00CA50B1"/>
    <w:rsid w:val="00CA524B"/>
    <w:rsid w:val="00CA6260"/>
    <w:rsid w:val="00CA65A2"/>
    <w:rsid w:val="00CA6DE3"/>
    <w:rsid w:val="00CA6EF3"/>
    <w:rsid w:val="00CB06F6"/>
    <w:rsid w:val="00CB0A2C"/>
    <w:rsid w:val="00CB109D"/>
    <w:rsid w:val="00CB1ADD"/>
    <w:rsid w:val="00CB1B90"/>
    <w:rsid w:val="00CB1C57"/>
    <w:rsid w:val="00CB1D36"/>
    <w:rsid w:val="00CB1FE5"/>
    <w:rsid w:val="00CB215A"/>
    <w:rsid w:val="00CB21FD"/>
    <w:rsid w:val="00CB2827"/>
    <w:rsid w:val="00CB3C78"/>
    <w:rsid w:val="00CB3CC1"/>
    <w:rsid w:val="00CB4125"/>
    <w:rsid w:val="00CB5F1A"/>
    <w:rsid w:val="00CB61BE"/>
    <w:rsid w:val="00CB6CDC"/>
    <w:rsid w:val="00CB7553"/>
    <w:rsid w:val="00CB77A8"/>
    <w:rsid w:val="00CB7BBE"/>
    <w:rsid w:val="00CB7C39"/>
    <w:rsid w:val="00CC0243"/>
    <w:rsid w:val="00CC1191"/>
    <w:rsid w:val="00CC1468"/>
    <w:rsid w:val="00CC1A46"/>
    <w:rsid w:val="00CC212C"/>
    <w:rsid w:val="00CC2189"/>
    <w:rsid w:val="00CC2298"/>
    <w:rsid w:val="00CC2F3F"/>
    <w:rsid w:val="00CC3A0E"/>
    <w:rsid w:val="00CC3C81"/>
    <w:rsid w:val="00CC49DA"/>
    <w:rsid w:val="00CC4E34"/>
    <w:rsid w:val="00CC5233"/>
    <w:rsid w:val="00CC527D"/>
    <w:rsid w:val="00CC5B5A"/>
    <w:rsid w:val="00CC6641"/>
    <w:rsid w:val="00CC68FA"/>
    <w:rsid w:val="00CC758A"/>
    <w:rsid w:val="00CD088A"/>
    <w:rsid w:val="00CD1226"/>
    <w:rsid w:val="00CD1AF6"/>
    <w:rsid w:val="00CD284A"/>
    <w:rsid w:val="00CD38FE"/>
    <w:rsid w:val="00CD4082"/>
    <w:rsid w:val="00CD5042"/>
    <w:rsid w:val="00CD60D1"/>
    <w:rsid w:val="00CD62D2"/>
    <w:rsid w:val="00CD772C"/>
    <w:rsid w:val="00CD7F11"/>
    <w:rsid w:val="00CE00B6"/>
    <w:rsid w:val="00CE0491"/>
    <w:rsid w:val="00CE14B8"/>
    <w:rsid w:val="00CE283A"/>
    <w:rsid w:val="00CE28C4"/>
    <w:rsid w:val="00CE34CE"/>
    <w:rsid w:val="00CE39FE"/>
    <w:rsid w:val="00CE414D"/>
    <w:rsid w:val="00CE431D"/>
    <w:rsid w:val="00CE437A"/>
    <w:rsid w:val="00CE44C4"/>
    <w:rsid w:val="00CE4930"/>
    <w:rsid w:val="00CE4E6F"/>
    <w:rsid w:val="00CE5042"/>
    <w:rsid w:val="00CE52DD"/>
    <w:rsid w:val="00CE5C29"/>
    <w:rsid w:val="00CE5CA1"/>
    <w:rsid w:val="00CE69B6"/>
    <w:rsid w:val="00CE74C6"/>
    <w:rsid w:val="00CE7A4B"/>
    <w:rsid w:val="00CF0F87"/>
    <w:rsid w:val="00CF141B"/>
    <w:rsid w:val="00CF1A32"/>
    <w:rsid w:val="00CF340E"/>
    <w:rsid w:val="00CF3EB1"/>
    <w:rsid w:val="00CF474D"/>
    <w:rsid w:val="00CF49AF"/>
    <w:rsid w:val="00CF4B3F"/>
    <w:rsid w:val="00CF4CE6"/>
    <w:rsid w:val="00CF4D4B"/>
    <w:rsid w:val="00CF5555"/>
    <w:rsid w:val="00CF67CE"/>
    <w:rsid w:val="00CF687B"/>
    <w:rsid w:val="00CF6DE8"/>
    <w:rsid w:val="00CF72EA"/>
    <w:rsid w:val="00CF7C90"/>
    <w:rsid w:val="00D00308"/>
    <w:rsid w:val="00D009B0"/>
    <w:rsid w:val="00D00A0F"/>
    <w:rsid w:val="00D00E76"/>
    <w:rsid w:val="00D0109E"/>
    <w:rsid w:val="00D01219"/>
    <w:rsid w:val="00D0123E"/>
    <w:rsid w:val="00D01B95"/>
    <w:rsid w:val="00D0236E"/>
    <w:rsid w:val="00D02A6B"/>
    <w:rsid w:val="00D02CB2"/>
    <w:rsid w:val="00D03202"/>
    <w:rsid w:val="00D0391C"/>
    <w:rsid w:val="00D04166"/>
    <w:rsid w:val="00D043E6"/>
    <w:rsid w:val="00D04EDB"/>
    <w:rsid w:val="00D055B5"/>
    <w:rsid w:val="00D06462"/>
    <w:rsid w:val="00D10D21"/>
    <w:rsid w:val="00D1233E"/>
    <w:rsid w:val="00D123E2"/>
    <w:rsid w:val="00D1375B"/>
    <w:rsid w:val="00D13C5A"/>
    <w:rsid w:val="00D13C89"/>
    <w:rsid w:val="00D13E8A"/>
    <w:rsid w:val="00D13FC2"/>
    <w:rsid w:val="00D13FF5"/>
    <w:rsid w:val="00D15075"/>
    <w:rsid w:val="00D15797"/>
    <w:rsid w:val="00D15BA3"/>
    <w:rsid w:val="00D15BDD"/>
    <w:rsid w:val="00D1662A"/>
    <w:rsid w:val="00D166C3"/>
    <w:rsid w:val="00D16A99"/>
    <w:rsid w:val="00D1737F"/>
    <w:rsid w:val="00D17E97"/>
    <w:rsid w:val="00D203F0"/>
    <w:rsid w:val="00D20C82"/>
    <w:rsid w:val="00D2115D"/>
    <w:rsid w:val="00D21E00"/>
    <w:rsid w:val="00D21E93"/>
    <w:rsid w:val="00D22567"/>
    <w:rsid w:val="00D229F9"/>
    <w:rsid w:val="00D232E5"/>
    <w:rsid w:val="00D234C3"/>
    <w:rsid w:val="00D2495D"/>
    <w:rsid w:val="00D24BC4"/>
    <w:rsid w:val="00D25A3E"/>
    <w:rsid w:val="00D25C9C"/>
    <w:rsid w:val="00D26A49"/>
    <w:rsid w:val="00D2707D"/>
    <w:rsid w:val="00D30A25"/>
    <w:rsid w:val="00D317E8"/>
    <w:rsid w:val="00D31F80"/>
    <w:rsid w:val="00D32116"/>
    <w:rsid w:val="00D3222D"/>
    <w:rsid w:val="00D32AB4"/>
    <w:rsid w:val="00D32D2B"/>
    <w:rsid w:val="00D32FF9"/>
    <w:rsid w:val="00D33039"/>
    <w:rsid w:val="00D339D4"/>
    <w:rsid w:val="00D34569"/>
    <w:rsid w:val="00D348B6"/>
    <w:rsid w:val="00D3493C"/>
    <w:rsid w:val="00D34BCF"/>
    <w:rsid w:val="00D356A9"/>
    <w:rsid w:val="00D35BAE"/>
    <w:rsid w:val="00D35BFA"/>
    <w:rsid w:val="00D35DF6"/>
    <w:rsid w:val="00D360F4"/>
    <w:rsid w:val="00D3635A"/>
    <w:rsid w:val="00D36696"/>
    <w:rsid w:val="00D36780"/>
    <w:rsid w:val="00D3776F"/>
    <w:rsid w:val="00D37DA0"/>
    <w:rsid w:val="00D40473"/>
    <w:rsid w:val="00D414C3"/>
    <w:rsid w:val="00D41768"/>
    <w:rsid w:val="00D41E01"/>
    <w:rsid w:val="00D43B42"/>
    <w:rsid w:val="00D442C5"/>
    <w:rsid w:val="00D4435F"/>
    <w:rsid w:val="00D44FDA"/>
    <w:rsid w:val="00D458CB"/>
    <w:rsid w:val="00D4750B"/>
    <w:rsid w:val="00D47895"/>
    <w:rsid w:val="00D5091F"/>
    <w:rsid w:val="00D509D1"/>
    <w:rsid w:val="00D51521"/>
    <w:rsid w:val="00D515D0"/>
    <w:rsid w:val="00D52167"/>
    <w:rsid w:val="00D528EE"/>
    <w:rsid w:val="00D5345D"/>
    <w:rsid w:val="00D53924"/>
    <w:rsid w:val="00D53EE3"/>
    <w:rsid w:val="00D544FE"/>
    <w:rsid w:val="00D57277"/>
    <w:rsid w:val="00D57572"/>
    <w:rsid w:val="00D5786F"/>
    <w:rsid w:val="00D6091B"/>
    <w:rsid w:val="00D60954"/>
    <w:rsid w:val="00D60A74"/>
    <w:rsid w:val="00D61041"/>
    <w:rsid w:val="00D6149D"/>
    <w:rsid w:val="00D61700"/>
    <w:rsid w:val="00D621F5"/>
    <w:rsid w:val="00D62DB6"/>
    <w:rsid w:val="00D63712"/>
    <w:rsid w:val="00D642B2"/>
    <w:rsid w:val="00D644F9"/>
    <w:rsid w:val="00D658E8"/>
    <w:rsid w:val="00D66B5D"/>
    <w:rsid w:val="00D66F47"/>
    <w:rsid w:val="00D6783B"/>
    <w:rsid w:val="00D67ADA"/>
    <w:rsid w:val="00D67EB8"/>
    <w:rsid w:val="00D70027"/>
    <w:rsid w:val="00D7021E"/>
    <w:rsid w:val="00D70298"/>
    <w:rsid w:val="00D70700"/>
    <w:rsid w:val="00D70E59"/>
    <w:rsid w:val="00D7143D"/>
    <w:rsid w:val="00D71F6E"/>
    <w:rsid w:val="00D733E8"/>
    <w:rsid w:val="00D7378E"/>
    <w:rsid w:val="00D73B11"/>
    <w:rsid w:val="00D73DD5"/>
    <w:rsid w:val="00D741CE"/>
    <w:rsid w:val="00D7466D"/>
    <w:rsid w:val="00D74A0B"/>
    <w:rsid w:val="00D751B0"/>
    <w:rsid w:val="00D7546C"/>
    <w:rsid w:val="00D7558E"/>
    <w:rsid w:val="00D755B6"/>
    <w:rsid w:val="00D75B73"/>
    <w:rsid w:val="00D75C02"/>
    <w:rsid w:val="00D75FE7"/>
    <w:rsid w:val="00D763F0"/>
    <w:rsid w:val="00D7649D"/>
    <w:rsid w:val="00D765A0"/>
    <w:rsid w:val="00D7678B"/>
    <w:rsid w:val="00D768D2"/>
    <w:rsid w:val="00D76C7B"/>
    <w:rsid w:val="00D76F6B"/>
    <w:rsid w:val="00D776C1"/>
    <w:rsid w:val="00D77EDB"/>
    <w:rsid w:val="00D805B4"/>
    <w:rsid w:val="00D808D1"/>
    <w:rsid w:val="00D80CF1"/>
    <w:rsid w:val="00D81B2C"/>
    <w:rsid w:val="00D81BD8"/>
    <w:rsid w:val="00D829B2"/>
    <w:rsid w:val="00D82F9D"/>
    <w:rsid w:val="00D830EB"/>
    <w:rsid w:val="00D83354"/>
    <w:rsid w:val="00D83700"/>
    <w:rsid w:val="00D84156"/>
    <w:rsid w:val="00D84581"/>
    <w:rsid w:val="00D847A0"/>
    <w:rsid w:val="00D847D0"/>
    <w:rsid w:val="00D858E5"/>
    <w:rsid w:val="00D86152"/>
    <w:rsid w:val="00D86B1D"/>
    <w:rsid w:val="00D909F2"/>
    <w:rsid w:val="00D90BE6"/>
    <w:rsid w:val="00D9131C"/>
    <w:rsid w:val="00D916C6"/>
    <w:rsid w:val="00D91E78"/>
    <w:rsid w:val="00D921CA"/>
    <w:rsid w:val="00D92856"/>
    <w:rsid w:val="00D92897"/>
    <w:rsid w:val="00D93128"/>
    <w:rsid w:val="00D93613"/>
    <w:rsid w:val="00D936CC"/>
    <w:rsid w:val="00D93A7A"/>
    <w:rsid w:val="00D944CE"/>
    <w:rsid w:val="00D94B1A"/>
    <w:rsid w:val="00D94C48"/>
    <w:rsid w:val="00D94F2F"/>
    <w:rsid w:val="00D9504C"/>
    <w:rsid w:val="00D950C8"/>
    <w:rsid w:val="00D95133"/>
    <w:rsid w:val="00D96848"/>
    <w:rsid w:val="00D972A3"/>
    <w:rsid w:val="00D97706"/>
    <w:rsid w:val="00D97D39"/>
    <w:rsid w:val="00DA0E75"/>
    <w:rsid w:val="00DA0F8B"/>
    <w:rsid w:val="00DA1F05"/>
    <w:rsid w:val="00DA3027"/>
    <w:rsid w:val="00DA39B8"/>
    <w:rsid w:val="00DA549D"/>
    <w:rsid w:val="00DA5628"/>
    <w:rsid w:val="00DA58B1"/>
    <w:rsid w:val="00DA6002"/>
    <w:rsid w:val="00DA63E2"/>
    <w:rsid w:val="00DA6518"/>
    <w:rsid w:val="00DA65FA"/>
    <w:rsid w:val="00DA762E"/>
    <w:rsid w:val="00DA78F4"/>
    <w:rsid w:val="00DA7910"/>
    <w:rsid w:val="00DB028E"/>
    <w:rsid w:val="00DB0723"/>
    <w:rsid w:val="00DB15D4"/>
    <w:rsid w:val="00DB1856"/>
    <w:rsid w:val="00DB1BCC"/>
    <w:rsid w:val="00DB1CD5"/>
    <w:rsid w:val="00DB2B97"/>
    <w:rsid w:val="00DB383F"/>
    <w:rsid w:val="00DB39F1"/>
    <w:rsid w:val="00DB3E2A"/>
    <w:rsid w:val="00DB3F9F"/>
    <w:rsid w:val="00DB41AD"/>
    <w:rsid w:val="00DB49BE"/>
    <w:rsid w:val="00DB49D7"/>
    <w:rsid w:val="00DB4B11"/>
    <w:rsid w:val="00DB4F5B"/>
    <w:rsid w:val="00DB5A09"/>
    <w:rsid w:val="00DB6D5D"/>
    <w:rsid w:val="00DC0539"/>
    <w:rsid w:val="00DC0966"/>
    <w:rsid w:val="00DC0EB9"/>
    <w:rsid w:val="00DC1072"/>
    <w:rsid w:val="00DC1087"/>
    <w:rsid w:val="00DC1424"/>
    <w:rsid w:val="00DC18F7"/>
    <w:rsid w:val="00DC1A99"/>
    <w:rsid w:val="00DC2DCC"/>
    <w:rsid w:val="00DC394E"/>
    <w:rsid w:val="00DC40AD"/>
    <w:rsid w:val="00DC424D"/>
    <w:rsid w:val="00DC477B"/>
    <w:rsid w:val="00DC53BA"/>
    <w:rsid w:val="00DC5465"/>
    <w:rsid w:val="00DC6483"/>
    <w:rsid w:val="00DC779B"/>
    <w:rsid w:val="00DC7C1B"/>
    <w:rsid w:val="00DC7D46"/>
    <w:rsid w:val="00DC7E0B"/>
    <w:rsid w:val="00DD065C"/>
    <w:rsid w:val="00DD1C1B"/>
    <w:rsid w:val="00DD2AA5"/>
    <w:rsid w:val="00DD380E"/>
    <w:rsid w:val="00DD466A"/>
    <w:rsid w:val="00DD48A5"/>
    <w:rsid w:val="00DD59E4"/>
    <w:rsid w:val="00DD5D5F"/>
    <w:rsid w:val="00DD6927"/>
    <w:rsid w:val="00DD6AD0"/>
    <w:rsid w:val="00DD6FFE"/>
    <w:rsid w:val="00DD70B9"/>
    <w:rsid w:val="00DD7223"/>
    <w:rsid w:val="00DE1399"/>
    <w:rsid w:val="00DE3E72"/>
    <w:rsid w:val="00DE6B3A"/>
    <w:rsid w:val="00DE6B66"/>
    <w:rsid w:val="00DE78A6"/>
    <w:rsid w:val="00DF0BC3"/>
    <w:rsid w:val="00DF10BA"/>
    <w:rsid w:val="00DF1E9B"/>
    <w:rsid w:val="00DF2D35"/>
    <w:rsid w:val="00DF2F73"/>
    <w:rsid w:val="00DF3958"/>
    <w:rsid w:val="00DF57C4"/>
    <w:rsid w:val="00DF58CF"/>
    <w:rsid w:val="00DF65FA"/>
    <w:rsid w:val="00DF7013"/>
    <w:rsid w:val="00DF74B1"/>
    <w:rsid w:val="00DF7740"/>
    <w:rsid w:val="00E0058B"/>
    <w:rsid w:val="00E010AC"/>
    <w:rsid w:val="00E01AF4"/>
    <w:rsid w:val="00E02859"/>
    <w:rsid w:val="00E02D18"/>
    <w:rsid w:val="00E02E0F"/>
    <w:rsid w:val="00E03680"/>
    <w:rsid w:val="00E038A3"/>
    <w:rsid w:val="00E03A3F"/>
    <w:rsid w:val="00E040F6"/>
    <w:rsid w:val="00E04A2E"/>
    <w:rsid w:val="00E04DAB"/>
    <w:rsid w:val="00E051A7"/>
    <w:rsid w:val="00E0621A"/>
    <w:rsid w:val="00E06430"/>
    <w:rsid w:val="00E06451"/>
    <w:rsid w:val="00E06D94"/>
    <w:rsid w:val="00E0712E"/>
    <w:rsid w:val="00E07687"/>
    <w:rsid w:val="00E10068"/>
    <w:rsid w:val="00E10B00"/>
    <w:rsid w:val="00E11584"/>
    <w:rsid w:val="00E11E82"/>
    <w:rsid w:val="00E12B2C"/>
    <w:rsid w:val="00E13EAA"/>
    <w:rsid w:val="00E1473F"/>
    <w:rsid w:val="00E14838"/>
    <w:rsid w:val="00E14A5A"/>
    <w:rsid w:val="00E15404"/>
    <w:rsid w:val="00E15D83"/>
    <w:rsid w:val="00E16405"/>
    <w:rsid w:val="00E166C8"/>
    <w:rsid w:val="00E17370"/>
    <w:rsid w:val="00E201A9"/>
    <w:rsid w:val="00E208E1"/>
    <w:rsid w:val="00E20E3B"/>
    <w:rsid w:val="00E20FFA"/>
    <w:rsid w:val="00E21843"/>
    <w:rsid w:val="00E2285D"/>
    <w:rsid w:val="00E22F96"/>
    <w:rsid w:val="00E23490"/>
    <w:rsid w:val="00E23E06"/>
    <w:rsid w:val="00E24603"/>
    <w:rsid w:val="00E24784"/>
    <w:rsid w:val="00E24B3D"/>
    <w:rsid w:val="00E25BD8"/>
    <w:rsid w:val="00E25FAF"/>
    <w:rsid w:val="00E26589"/>
    <w:rsid w:val="00E26793"/>
    <w:rsid w:val="00E26A42"/>
    <w:rsid w:val="00E27896"/>
    <w:rsid w:val="00E301E6"/>
    <w:rsid w:val="00E30861"/>
    <w:rsid w:val="00E30FE8"/>
    <w:rsid w:val="00E313B7"/>
    <w:rsid w:val="00E314F7"/>
    <w:rsid w:val="00E31C33"/>
    <w:rsid w:val="00E32AFF"/>
    <w:rsid w:val="00E32B37"/>
    <w:rsid w:val="00E32D35"/>
    <w:rsid w:val="00E32E67"/>
    <w:rsid w:val="00E32ED5"/>
    <w:rsid w:val="00E32F68"/>
    <w:rsid w:val="00E34CD4"/>
    <w:rsid w:val="00E34F69"/>
    <w:rsid w:val="00E350D0"/>
    <w:rsid w:val="00E35260"/>
    <w:rsid w:val="00E35713"/>
    <w:rsid w:val="00E3576E"/>
    <w:rsid w:val="00E35909"/>
    <w:rsid w:val="00E35FF9"/>
    <w:rsid w:val="00E36837"/>
    <w:rsid w:val="00E36EE3"/>
    <w:rsid w:val="00E373FE"/>
    <w:rsid w:val="00E37D8F"/>
    <w:rsid w:val="00E37EC0"/>
    <w:rsid w:val="00E400EE"/>
    <w:rsid w:val="00E40369"/>
    <w:rsid w:val="00E40AF2"/>
    <w:rsid w:val="00E41696"/>
    <w:rsid w:val="00E41837"/>
    <w:rsid w:val="00E41A0D"/>
    <w:rsid w:val="00E41D92"/>
    <w:rsid w:val="00E4269B"/>
    <w:rsid w:val="00E42772"/>
    <w:rsid w:val="00E42ABC"/>
    <w:rsid w:val="00E431E3"/>
    <w:rsid w:val="00E4427C"/>
    <w:rsid w:val="00E44316"/>
    <w:rsid w:val="00E44929"/>
    <w:rsid w:val="00E45439"/>
    <w:rsid w:val="00E45BDF"/>
    <w:rsid w:val="00E463A1"/>
    <w:rsid w:val="00E46BD8"/>
    <w:rsid w:val="00E47A6F"/>
    <w:rsid w:val="00E47AEE"/>
    <w:rsid w:val="00E50054"/>
    <w:rsid w:val="00E5064B"/>
    <w:rsid w:val="00E507E3"/>
    <w:rsid w:val="00E51840"/>
    <w:rsid w:val="00E51D54"/>
    <w:rsid w:val="00E531E0"/>
    <w:rsid w:val="00E557FC"/>
    <w:rsid w:val="00E566F8"/>
    <w:rsid w:val="00E5673E"/>
    <w:rsid w:val="00E567A1"/>
    <w:rsid w:val="00E5696D"/>
    <w:rsid w:val="00E57023"/>
    <w:rsid w:val="00E6041D"/>
    <w:rsid w:val="00E60956"/>
    <w:rsid w:val="00E6291B"/>
    <w:rsid w:val="00E6366A"/>
    <w:rsid w:val="00E638DB"/>
    <w:rsid w:val="00E6429E"/>
    <w:rsid w:val="00E65472"/>
    <w:rsid w:val="00E66D9C"/>
    <w:rsid w:val="00E66ECD"/>
    <w:rsid w:val="00E67982"/>
    <w:rsid w:val="00E70254"/>
    <w:rsid w:val="00E70777"/>
    <w:rsid w:val="00E70FFD"/>
    <w:rsid w:val="00E7110E"/>
    <w:rsid w:val="00E7174C"/>
    <w:rsid w:val="00E71959"/>
    <w:rsid w:val="00E73377"/>
    <w:rsid w:val="00E734F7"/>
    <w:rsid w:val="00E73C71"/>
    <w:rsid w:val="00E73D6E"/>
    <w:rsid w:val="00E75936"/>
    <w:rsid w:val="00E75BBA"/>
    <w:rsid w:val="00E75D82"/>
    <w:rsid w:val="00E763DC"/>
    <w:rsid w:val="00E7678B"/>
    <w:rsid w:val="00E768B4"/>
    <w:rsid w:val="00E76D41"/>
    <w:rsid w:val="00E76E89"/>
    <w:rsid w:val="00E773FE"/>
    <w:rsid w:val="00E77D82"/>
    <w:rsid w:val="00E77E05"/>
    <w:rsid w:val="00E80294"/>
    <w:rsid w:val="00E81034"/>
    <w:rsid w:val="00E81226"/>
    <w:rsid w:val="00E81566"/>
    <w:rsid w:val="00E816B3"/>
    <w:rsid w:val="00E81A40"/>
    <w:rsid w:val="00E81BFA"/>
    <w:rsid w:val="00E81CE8"/>
    <w:rsid w:val="00E833D4"/>
    <w:rsid w:val="00E83565"/>
    <w:rsid w:val="00E83643"/>
    <w:rsid w:val="00E83D48"/>
    <w:rsid w:val="00E83F4F"/>
    <w:rsid w:val="00E8477F"/>
    <w:rsid w:val="00E84CFD"/>
    <w:rsid w:val="00E84D1D"/>
    <w:rsid w:val="00E84FC0"/>
    <w:rsid w:val="00E85C80"/>
    <w:rsid w:val="00E86389"/>
    <w:rsid w:val="00E86682"/>
    <w:rsid w:val="00E86C3D"/>
    <w:rsid w:val="00E8710B"/>
    <w:rsid w:val="00E874DE"/>
    <w:rsid w:val="00E879AC"/>
    <w:rsid w:val="00E87B1C"/>
    <w:rsid w:val="00E87BEC"/>
    <w:rsid w:val="00E90437"/>
    <w:rsid w:val="00E91AD1"/>
    <w:rsid w:val="00E92468"/>
    <w:rsid w:val="00E926F8"/>
    <w:rsid w:val="00E94794"/>
    <w:rsid w:val="00E94988"/>
    <w:rsid w:val="00E95DA8"/>
    <w:rsid w:val="00E96103"/>
    <w:rsid w:val="00E962DC"/>
    <w:rsid w:val="00E97116"/>
    <w:rsid w:val="00E97E7D"/>
    <w:rsid w:val="00EA00AB"/>
    <w:rsid w:val="00EA09B5"/>
    <w:rsid w:val="00EA0C62"/>
    <w:rsid w:val="00EA16B6"/>
    <w:rsid w:val="00EA2163"/>
    <w:rsid w:val="00EA29F7"/>
    <w:rsid w:val="00EA32BE"/>
    <w:rsid w:val="00EA3D73"/>
    <w:rsid w:val="00EA4402"/>
    <w:rsid w:val="00EA453A"/>
    <w:rsid w:val="00EA52F1"/>
    <w:rsid w:val="00EA5C29"/>
    <w:rsid w:val="00EA5FB5"/>
    <w:rsid w:val="00EA6797"/>
    <w:rsid w:val="00EA6B1C"/>
    <w:rsid w:val="00EA6C8E"/>
    <w:rsid w:val="00EA704D"/>
    <w:rsid w:val="00EA784D"/>
    <w:rsid w:val="00EA7C35"/>
    <w:rsid w:val="00EB1923"/>
    <w:rsid w:val="00EB1AB0"/>
    <w:rsid w:val="00EB1D54"/>
    <w:rsid w:val="00EB3506"/>
    <w:rsid w:val="00EB44A2"/>
    <w:rsid w:val="00EB54CC"/>
    <w:rsid w:val="00EB5C3C"/>
    <w:rsid w:val="00EB6234"/>
    <w:rsid w:val="00EB62D7"/>
    <w:rsid w:val="00EB66FF"/>
    <w:rsid w:val="00EB6F34"/>
    <w:rsid w:val="00EB7C83"/>
    <w:rsid w:val="00EB7E65"/>
    <w:rsid w:val="00EB7F12"/>
    <w:rsid w:val="00EC111C"/>
    <w:rsid w:val="00EC11E9"/>
    <w:rsid w:val="00EC22B0"/>
    <w:rsid w:val="00EC3B5E"/>
    <w:rsid w:val="00EC46BC"/>
    <w:rsid w:val="00EC4D7B"/>
    <w:rsid w:val="00EC5127"/>
    <w:rsid w:val="00EC5644"/>
    <w:rsid w:val="00EC5D18"/>
    <w:rsid w:val="00EC5DE0"/>
    <w:rsid w:val="00EC617F"/>
    <w:rsid w:val="00EC61CD"/>
    <w:rsid w:val="00EC6BB6"/>
    <w:rsid w:val="00EC7129"/>
    <w:rsid w:val="00EC722D"/>
    <w:rsid w:val="00EC72DF"/>
    <w:rsid w:val="00EC73E6"/>
    <w:rsid w:val="00EC7CEB"/>
    <w:rsid w:val="00EC7DB7"/>
    <w:rsid w:val="00ED0034"/>
    <w:rsid w:val="00ED05B7"/>
    <w:rsid w:val="00ED069E"/>
    <w:rsid w:val="00ED0730"/>
    <w:rsid w:val="00ED1F32"/>
    <w:rsid w:val="00ED2CF2"/>
    <w:rsid w:val="00ED33CF"/>
    <w:rsid w:val="00ED5003"/>
    <w:rsid w:val="00ED52A9"/>
    <w:rsid w:val="00ED5C61"/>
    <w:rsid w:val="00ED6788"/>
    <w:rsid w:val="00ED6A01"/>
    <w:rsid w:val="00ED6CBD"/>
    <w:rsid w:val="00ED6FEB"/>
    <w:rsid w:val="00ED785E"/>
    <w:rsid w:val="00ED78F0"/>
    <w:rsid w:val="00ED79F9"/>
    <w:rsid w:val="00ED7C56"/>
    <w:rsid w:val="00EE1428"/>
    <w:rsid w:val="00EE159E"/>
    <w:rsid w:val="00EE2391"/>
    <w:rsid w:val="00EE301A"/>
    <w:rsid w:val="00EE425A"/>
    <w:rsid w:val="00EE4655"/>
    <w:rsid w:val="00EE47A1"/>
    <w:rsid w:val="00EE5047"/>
    <w:rsid w:val="00EE546F"/>
    <w:rsid w:val="00EE5ADC"/>
    <w:rsid w:val="00EE5DA8"/>
    <w:rsid w:val="00EE6207"/>
    <w:rsid w:val="00EE6ADA"/>
    <w:rsid w:val="00EE7F14"/>
    <w:rsid w:val="00EF0244"/>
    <w:rsid w:val="00EF0F23"/>
    <w:rsid w:val="00EF130B"/>
    <w:rsid w:val="00EF15B2"/>
    <w:rsid w:val="00EF2B1D"/>
    <w:rsid w:val="00EF2BDF"/>
    <w:rsid w:val="00EF315A"/>
    <w:rsid w:val="00EF63E0"/>
    <w:rsid w:val="00EF7414"/>
    <w:rsid w:val="00F00A8A"/>
    <w:rsid w:val="00F01482"/>
    <w:rsid w:val="00F01747"/>
    <w:rsid w:val="00F0273B"/>
    <w:rsid w:val="00F0305E"/>
    <w:rsid w:val="00F035AE"/>
    <w:rsid w:val="00F0385C"/>
    <w:rsid w:val="00F03A07"/>
    <w:rsid w:val="00F03CA9"/>
    <w:rsid w:val="00F03DFC"/>
    <w:rsid w:val="00F04C77"/>
    <w:rsid w:val="00F054D6"/>
    <w:rsid w:val="00F05BB8"/>
    <w:rsid w:val="00F06690"/>
    <w:rsid w:val="00F06B73"/>
    <w:rsid w:val="00F07170"/>
    <w:rsid w:val="00F0757E"/>
    <w:rsid w:val="00F07B93"/>
    <w:rsid w:val="00F102B2"/>
    <w:rsid w:val="00F10735"/>
    <w:rsid w:val="00F119C2"/>
    <w:rsid w:val="00F11DBE"/>
    <w:rsid w:val="00F132BF"/>
    <w:rsid w:val="00F134AA"/>
    <w:rsid w:val="00F1389A"/>
    <w:rsid w:val="00F13AC6"/>
    <w:rsid w:val="00F13CC2"/>
    <w:rsid w:val="00F142B4"/>
    <w:rsid w:val="00F14D37"/>
    <w:rsid w:val="00F14E85"/>
    <w:rsid w:val="00F1528F"/>
    <w:rsid w:val="00F1554F"/>
    <w:rsid w:val="00F15779"/>
    <w:rsid w:val="00F1590A"/>
    <w:rsid w:val="00F15A14"/>
    <w:rsid w:val="00F170F5"/>
    <w:rsid w:val="00F17646"/>
    <w:rsid w:val="00F20B8A"/>
    <w:rsid w:val="00F21454"/>
    <w:rsid w:val="00F21F55"/>
    <w:rsid w:val="00F2256F"/>
    <w:rsid w:val="00F22F3F"/>
    <w:rsid w:val="00F23154"/>
    <w:rsid w:val="00F234E2"/>
    <w:rsid w:val="00F23607"/>
    <w:rsid w:val="00F238C6"/>
    <w:rsid w:val="00F238FA"/>
    <w:rsid w:val="00F2450C"/>
    <w:rsid w:val="00F250E6"/>
    <w:rsid w:val="00F251FD"/>
    <w:rsid w:val="00F25667"/>
    <w:rsid w:val="00F26374"/>
    <w:rsid w:val="00F27111"/>
    <w:rsid w:val="00F3025D"/>
    <w:rsid w:val="00F309C9"/>
    <w:rsid w:val="00F3103A"/>
    <w:rsid w:val="00F3143A"/>
    <w:rsid w:val="00F31FDB"/>
    <w:rsid w:val="00F330BA"/>
    <w:rsid w:val="00F337AD"/>
    <w:rsid w:val="00F3482C"/>
    <w:rsid w:val="00F34D11"/>
    <w:rsid w:val="00F3546B"/>
    <w:rsid w:val="00F3642C"/>
    <w:rsid w:val="00F367DE"/>
    <w:rsid w:val="00F36901"/>
    <w:rsid w:val="00F37397"/>
    <w:rsid w:val="00F42096"/>
    <w:rsid w:val="00F42661"/>
    <w:rsid w:val="00F42DDF"/>
    <w:rsid w:val="00F430F4"/>
    <w:rsid w:val="00F453A8"/>
    <w:rsid w:val="00F4551E"/>
    <w:rsid w:val="00F45793"/>
    <w:rsid w:val="00F459B6"/>
    <w:rsid w:val="00F47DC9"/>
    <w:rsid w:val="00F51419"/>
    <w:rsid w:val="00F51FA5"/>
    <w:rsid w:val="00F52738"/>
    <w:rsid w:val="00F52AD2"/>
    <w:rsid w:val="00F53070"/>
    <w:rsid w:val="00F53520"/>
    <w:rsid w:val="00F53CF9"/>
    <w:rsid w:val="00F53E7E"/>
    <w:rsid w:val="00F54235"/>
    <w:rsid w:val="00F5469C"/>
    <w:rsid w:val="00F54A4F"/>
    <w:rsid w:val="00F54D85"/>
    <w:rsid w:val="00F54FC7"/>
    <w:rsid w:val="00F552DF"/>
    <w:rsid w:val="00F5554A"/>
    <w:rsid w:val="00F5563E"/>
    <w:rsid w:val="00F561C7"/>
    <w:rsid w:val="00F56392"/>
    <w:rsid w:val="00F62755"/>
    <w:rsid w:val="00F63BA5"/>
    <w:rsid w:val="00F63DB1"/>
    <w:rsid w:val="00F64131"/>
    <w:rsid w:val="00F6482D"/>
    <w:rsid w:val="00F64855"/>
    <w:rsid w:val="00F650FD"/>
    <w:rsid w:val="00F65578"/>
    <w:rsid w:val="00F6563B"/>
    <w:rsid w:val="00F66760"/>
    <w:rsid w:val="00F667AD"/>
    <w:rsid w:val="00F672AE"/>
    <w:rsid w:val="00F67438"/>
    <w:rsid w:val="00F67CDC"/>
    <w:rsid w:val="00F7045F"/>
    <w:rsid w:val="00F70A68"/>
    <w:rsid w:val="00F70B4B"/>
    <w:rsid w:val="00F715B3"/>
    <w:rsid w:val="00F71616"/>
    <w:rsid w:val="00F71C67"/>
    <w:rsid w:val="00F71CC5"/>
    <w:rsid w:val="00F71F69"/>
    <w:rsid w:val="00F72270"/>
    <w:rsid w:val="00F73FF5"/>
    <w:rsid w:val="00F7435C"/>
    <w:rsid w:val="00F74A4C"/>
    <w:rsid w:val="00F75299"/>
    <w:rsid w:val="00F75916"/>
    <w:rsid w:val="00F75990"/>
    <w:rsid w:val="00F75A77"/>
    <w:rsid w:val="00F766BD"/>
    <w:rsid w:val="00F76B82"/>
    <w:rsid w:val="00F773AB"/>
    <w:rsid w:val="00F773F4"/>
    <w:rsid w:val="00F7767F"/>
    <w:rsid w:val="00F77A5A"/>
    <w:rsid w:val="00F80418"/>
    <w:rsid w:val="00F81031"/>
    <w:rsid w:val="00F81D24"/>
    <w:rsid w:val="00F8208D"/>
    <w:rsid w:val="00F82467"/>
    <w:rsid w:val="00F8299D"/>
    <w:rsid w:val="00F82AD4"/>
    <w:rsid w:val="00F8324D"/>
    <w:rsid w:val="00F83CB5"/>
    <w:rsid w:val="00F840A7"/>
    <w:rsid w:val="00F8450F"/>
    <w:rsid w:val="00F85503"/>
    <w:rsid w:val="00F85D97"/>
    <w:rsid w:val="00F864B7"/>
    <w:rsid w:val="00F8734B"/>
    <w:rsid w:val="00F87CA5"/>
    <w:rsid w:val="00F906DC"/>
    <w:rsid w:val="00F908E6"/>
    <w:rsid w:val="00F92314"/>
    <w:rsid w:val="00F933F5"/>
    <w:rsid w:val="00F937D9"/>
    <w:rsid w:val="00F938F7"/>
    <w:rsid w:val="00F93C29"/>
    <w:rsid w:val="00F94548"/>
    <w:rsid w:val="00F94E66"/>
    <w:rsid w:val="00F95158"/>
    <w:rsid w:val="00F95339"/>
    <w:rsid w:val="00F96526"/>
    <w:rsid w:val="00FA02B3"/>
    <w:rsid w:val="00FA0852"/>
    <w:rsid w:val="00FA0BAD"/>
    <w:rsid w:val="00FA0CD6"/>
    <w:rsid w:val="00FA12AE"/>
    <w:rsid w:val="00FA2410"/>
    <w:rsid w:val="00FA303C"/>
    <w:rsid w:val="00FA3352"/>
    <w:rsid w:val="00FA3A79"/>
    <w:rsid w:val="00FA3DD0"/>
    <w:rsid w:val="00FA441E"/>
    <w:rsid w:val="00FA4E3D"/>
    <w:rsid w:val="00FA4EA6"/>
    <w:rsid w:val="00FA4EF4"/>
    <w:rsid w:val="00FA4F54"/>
    <w:rsid w:val="00FA58B4"/>
    <w:rsid w:val="00FA632D"/>
    <w:rsid w:val="00FA69B8"/>
    <w:rsid w:val="00FA6C1C"/>
    <w:rsid w:val="00FA6E98"/>
    <w:rsid w:val="00FA7124"/>
    <w:rsid w:val="00FA728F"/>
    <w:rsid w:val="00FA740D"/>
    <w:rsid w:val="00FA76D3"/>
    <w:rsid w:val="00FA798C"/>
    <w:rsid w:val="00FB0269"/>
    <w:rsid w:val="00FB06A5"/>
    <w:rsid w:val="00FB076E"/>
    <w:rsid w:val="00FB111C"/>
    <w:rsid w:val="00FB132F"/>
    <w:rsid w:val="00FB1592"/>
    <w:rsid w:val="00FB16F4"/>
    <w:rsid w:val="00FB178B"/>
    <w:rsid w:val="00FB2191"/>
    <w:rsid w:val="00FB289D"/>
    <w:rsid w:val="00FB31A6"/>
    <w:rsid w:val="00FB348A"/>
    <w:rsid w:val="00FB3DF0"/>
    <w:rsid w:val="00FB4413"/>
    <w:rsid w:val="00FB4766"/>
    <w:rsid w:val="00FB47D6"/>
    <w:rsid w:val="00FB5007"/>
    <w:rsid w:val="00FB5281"/>
    <w:rsid w:val="00FB5951"/>
    <w:rsid w:val="00FB5AD8"/>
    <w:rsid w:val="00FB5BEE"/>
    <w:rsid w:val="00FB5C83"/>
    <w:rsid w:val="00FB6796"/>
    <w:rsid w:val="00FC07AC"/>
    <w:rsid w:val="00FC0864"/>
    <w:rsid w:val="00FC0DC8"/>
    <w:rsid w:val="00FC1453"/>
    <w:rsid w:val="00FC189D"/>
    <w:rsid w:val="00FC1B99"/>
    <w:rsid w:val="00FC1BCE"/>
    <w:rsid w:val="00FC1D90"/>
    <w:rsid w:val="00FC28BF"/>
    <w:rsid w:val="00FC2927"/>
    <w:rsid w:val="00FC3549"/>
    <w:rsid w:val="00FC3675"/>
    <w:rsid w:val="00FC36A4"/>
    <w:rsid w:val="00FC47CD"/>
    <w:rsid w:val="00FC60FD"/>
    <w:rsid w:val="00FC6B6E"/>
    <w:rsid w:val="00FC6F7E"/>
    <w:rsid w:val="00FC6F92"/>
    <w:rsid w:val="00FC732F"/>
    <w:rsid w:val="00FC77B1"/>
    <w:rsid w:val="00FC7A04"/>
    <w:rsid w:val="00FD0C62"/>
    <w:rsid w:val="00FD11CE"/>
    <w:rsid w:val="00FD1A2D"/>
    <w:rsid w:val="00FD1B1F"/>
    <w:rsid w:val="00FD2AC2"/>
    <w:rsid w:val="00FD3070"/>
    <w:rsid w:val="00FD340E"/>
    <w:rsid w:val="00FD3654"/>
    <w:rsid w:val="00FD45F0"/>
    <w:rsid w:val="00FD4DEA"/>
    <w:rsid w:val="00FD5029"/>
    <w:rsid w:val="00FD50B7"/>
    <w:rsid w:val="00FD53E4"/>
    <w:rsid w:val="00FD53E6"/>
    <w:rsid w:val="00FD562A"/>
    <w:rsid w:val="00FD6489"/>
    <w:rsid w:val="00FD66D2"/>
    <w:rsid w:val="00FD7064"/>
    <w:rsid w:val="00FD7196"/>
    <w:rsid w:val="00FD71EA"/>
    <w:rsid w:val="00FD78FA"/>
    <w:rsid w:val="00FD7D6E"/>
    <w:rsid w:val="00FD7E8F"/>
    <w:rsid w:val="00FE030A"/>
    <w:rsid w:val="00FE0BAC"/>
    <w:rsid w:val="00FE277D"/>
    <w:rsid w:val="00FE29AE"/>
    <w:rsid w:val="00FE2CB8"/>
    <w:rsid w:val="00FE3B8E"/>
    <w:rsid w:val="00FE4596"/>
    <w:rsid w:val="00FE4AB4"/>
    <w:rsid w:val="00FE5475"/>
    <w:rsid w:val="00FE6159"/>
    <w:rsid w:val="00FE663D"/>
    <w:rsid w:val="00FE7360"/>
    <w:rsid w:val="00FE7FEC"/>
    <w:rsid w:val="00FF08AA"/>
    <w:rsid w:val="00FF0963"/>
    <w:rsid w:val="00FF0D51"/>
    <w:rsid w:val="00FF15DA"/>
    <w:rsid w:val="00FF1BBD"/>
    <w:rsid w:val="00FF220E"/>
    <w:rsid w:val="00FF2450"/>
    <w:rsid w:val="00FF255C"/>
    <w:rsid w:val="00FF2884"/>
    <w:rsid w:val="00FF2B57"/>
    <w:rsid w:val="00FF2E59"/>
    <w:rsid w:val="00FF3258"/>
    <w:rsid w:val="00FF3C40"/>
    <w:rsid w:val="00FF3CEF"/>
    <w:rsid w:val="00FF3F0C"/>
    <w:rsid w:val="00FF429B"/>
    <w:rsid w:val="00FF42A5"/>
    <w:rsid w:val="00FF4541"/>
    <w:rsid w:val="00FF5B10"/>
    <w:rsid w:val="00FF5FB7"/>
    <w:rsid w:val="00FF62D1"/>
    <w:rsid w:val="00FF6F35"/>
    <w:rsid w:val="00FF764D"/>
    <w:rsid w:val="00FF7A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4B913"/>
  <w15:chartTrackingRefBased/>
  <w15:docId w15:val="{6D249F0E-18D9-44BD-A501-FE826741C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281"/>
    <w:pPr>
      <w:spacing w:after="40" w:line="240" w:lineRule="auto"/>
      <w:ind w:firstLine="720"/>
      <w:contextualSpacing/>
    </w:pPr>
    <w:rPr>
      <w:rFonts w:ascii="Times New Roman" w:hAnsi="Times New Roman"/>
      <w:kern w:val="0"/>
      <w:sz w:val="24"/>
      <w14:ligatures w14:val="none"/>
    </w:rPr>
  </w:style>
  <w:style w:type="paragraph" w:styleId="Heading1">
    <w:name w:val="heading 1"/>
    <w:basedOn w:val="Normal"/>
    <w:next w:val="Normal"/>
    <w:link w:val="Heading1Char"/>
    <w:uiPriority w:val="9"/>
    <w:qFormat/>
    <w:rsid w:val="00354281"/>
    <w:pPr>
      <w:keepNext/>
      <w:keepLines/>
      <w:spacing w:before="80" w:after="80"/>
      <w:ind w:firstLine="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354281"/>
    <w:pPr>
      <w:keepNext/>
      <w:keepLines/>
      <w:spacing w:before="40" w:after="0"/>
      <w:outlineLvl w:val="1"/>
    </w:pPr>
    <w:rPr>
      <w:rFonts w:eastAsiaTheme="majorEastAsia" w:cstheme="majorBidi"/>
      <w:b/>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52B1A"/>
    <w:rPr>
      <w:sz w:val="16"/>
      <w:szCs w:val="16"/>
    </w:rPr>
  </w:style>
  <w:style w:type="paragraph" w:styleId="CommentText">
    <w:name w:val="annotation text"/>
    <w:basedOn w:val="Normal"/>
    <w:link w:val="CommentTextChar"/>
    <w:uiPriority w:val="99"/>
    <w:unhideWhenUsed/>
    <w:rsid w:val="00B52B1A"/>
    <w:pPr>
      <w:spacing w:after="0"/>
    </w:pPr>
    <w:rPr>
      <w:sz w:val="20"/>
      <w:szCs w:val="20"/>
    </w:rPr>
  </w:style>
  <w:style w:type="character" w:customStyle="1" w:styleId="CommentTextChar">
    <w:name w:val="Comment Text Char"/>
    <w:basedOn w:val="DefaultParagraphFont"/>
    <w:link w:val="CommentText"/>
    <w:uiPriority w:val="99"/>
    <w:rsid w:val="00B52B1A"/>
    <w:rPr>
      <w:rFonts w:ascii="Times New Roman" w:hAnsi="Times New Roman"/>
      <w:kern w:val="0"/>
      <w:sz w:val="20"/>
      <w:szCs w:val="20"/>
      <w14:ligatures w14:val="none"/>
    </w:rPr>
  </w:style>
  <w:style w:type="paragraph" w:styleId="ListParagraph">
    <w:name w:val="List Paragraph"/>
    <w:basedOn w:val="Normal"/>
    <w:uiPriority w:val="34"/>
    <w:qFormat/>
    <w:rsid w:val="00722A3C"/>
    <w:pPr>
      <w:ind w:left="720"/>
    </w:pPr>
  </w:style>
  <w:style w:type="paragraph" w:styleId="CommentSubject">
    <w:name w:val="annotation subject"/>
    <w:basedOn w:val="CommentText"/>
    <w:next w:val="CommentText"/>
    <w:link w:val="CommentSubjectChar"/>
    <w:uiPriority w:val="99"/>
    <w:semiHidden/>
    <w:unhideWhenUsed/>
    <w:rsid w:val="00B1300C"/>
    <w:pPr>
      <w:spacing w:after="160"/>
      <w:ind w:firstLine="0"/>
    </w:pPr>
    <w:rPr>
      <w:rFonts w:asciiTheme="minorHAnsi" w:hAnsiTheme="minorHAnsi"/>
      <w:b/>
      <w:bCs/>
    </w:rPr>
  </w:style>
  <w:style w:type="character" w:customStyle="1" w:styleId="CommentSubjectChar">
    <w:name w:val="Comment Subject Char"/>
    <w:basedOn w:val="CommentTextChar"/>
    <w:link w:val="CommentSubject"/>
    <w:uiPriority w:val="99"/>
    <w:semiHidden/>
    <w:rsid w:val="00B1300C"/>
    <w:rPr>
      <w:rFonts w:ascii="Times New Roman" w:hAnsi="Times New Roman"/>
      <w:b/>
      <w:bCs/>
      <w:kern w:val="0"/>
      <w:sz w:val="20"/>
      <w:szCs w:val="20"/>
      <w14:ligatures w14:val="none"/>
    </w:rPr>
  </w:style>
  <w:style w:type="character" w:styleId="Hyperlink">
    <w:name w:val="Hyperlink"/>
    <w:basedOn w:val="DefaultParagraphFont"/>
    <w:uiPriority w:val="99"/>
    <w:unhideWhenUsed/>
    <w:rsid w:val="003A25CE"/>
    <w:rPr>
      <w:color w:val="0563C1" w:themeColor="hyperlink"/>
      <w:u w:val="single"/>
    </w:rPr>
  </w:style>
  <w:style w:type="character" w:styleId="UnresolvedMention">
    <w:name w:val="Unresolved Mention"/>
    <w:basedOn w:val="DefaultParagraphFont"/>
    <w:uiPriority w:val="99"/>
    <w:semiHidden/>
    <w:unhideWhenUsed/>
    <w:rsid w:val="003A25CE"/>
    <w:rPr>
      <w:color w:val="605E5C"/>
      <w:shd w:val="clear" w:color="auto" w:fill="E1DFDD"/>
    </w:rPr>
  </w:style>
  <w:style w:type="paragraph" w:styleId="Revision">
    <w:name w:val="Revision"/>
    <w:hidden/>
    <w:uiPriority w:val="99"/>
    <w:semiHidden/>
    <w:rsid w:val="000F7E39"/>
    <w:pPr>
      <w:spacing w:after="0" w:line="240" w:lineRule="auto"/>
    </w:pPr>
    <w:rPr>
      <w:kern w:val="0"/>
      <w14:ligatures w14:val="none"/>
    </w:rPr>
  </w:style>
  <w:style w:type="paragraph" w:styleId="Bibliography">
    <w:name w:val="Bibliography"/>
    <w:basedOn w:val="Normal"/>
    <w:next w:val="Normal"/>
    <w:uiPriority w:val="37"/>
    <w:unhideWhenUsed/>
    <w:rsid w:val="00CD1AF6"/>
  </w:style>
  <w:style w:type="character" w:styleId="FollowedHyperlink">
    <w:name w:val="FollowedHyperlink"/>
    <w:basedOn w:val="DefaultParagraphFont"/>
    <w:uiPriority w:val="99"/>
    <w:semiHidden/>
    <w:unhideWhenUsed/>
    <w:rsid w:val="00EA3D73"/>
    <w:rPr>
      <w:color w:val="954F72" w:themeColor="followedHyperlink"/>
      <w:u w:val="single"/>
    </w:rPr>
  </w:style>
  <w:style w:type="paragraph" w:styleId="Header">
    <w:name w:val="header"/>
    <w:basedOn w:val="Normal"/>
    <w:link w:val="HeaderChar"/>
    <w:uiPriority w:val="99"/>
    <w:unhideWhenUsed/>
    <w:rsid w:val="00B75BD3"/>
    <w:pPr>
      <w:tabs>
        <w:tab w:val="center" w:pos="4680"/>
        <w:tab w:val="right" w:pos="9360"/>
      </w:tabs>
      <w:spacing w:after="0"/>
    </w:pPr>
  </w:style>
  <w:style w:type="character" w:customStyle="1" w:styleId="HeaderChar">
    <w:name w:val="Header Char"/>
    <w:basedOn w:val="DefaultParagraphFont"/>
    <w:link w:val="Header"/>
    <w:uiPriority w:val="99"/>
    <w:rsid w:val="00B75BD3"/>
    <w:rPr>
      <w:kern w:val="0"/>
      <w14:ligatures w14:val="none"/>
    </w:rPr>
  </w:style>
  <w:style w:type="paragraph" w:styleId="Footer">
    <w:name w:val="footer"/>
    <w:basedOn w:val="Normal"/>
    <w:link w:val="FooterChar"/>
    <w:uiPriority w:val="99"/>
    <w:unhideWhenUsed/>
    <w:rsid w:val="00B75BD3"/>
    <w:pPr>
      <w:tabs>
        <w:tab w:val="center" w:pos="4680"/>
        <w:tab w:val="right" w:pos="9360"/>
      </w:tabs>
      <w:spacing w:after="0"/>
    </w:pPr>
  </w:style>
  <w:style w:type="character" w:customStyle="1" w:styleId="FooterChar">
    <w:name w:val="Footer Char"/>
    <w:basedOn w:val="DefaultParagraphFont"/>
    <w:link w:val="Footer"/>
    <w:uiPriority w:val="99"/>
    <w:rsid w:val="00B75BD3"/>
    <w:rPr>
      <w:kern w:val="0"/>
      <w14:ligatures w14:val="none"/>
    </w:rPr>
  </w:style>
  <w:style w:type="paragraph" w:customStyle="1" w:styleId="pf0">
    <w:name w:val="pf0"/>
    <w:basedOn w:val="Normal"/>
    <w:rsid w:val="002B569F"/>
    <w:pPr>
      <w:spacing w:before="100" w:beforeAutospacing="1" w:after="100" w:afterAutospacing="1"/>
    </w:pPr>
    <w:rPr>
      <w:rFonts w:eastAsia="Times New Roman" w:cs="Times New Roman"/>
      <w:szCs w:val="24"/>
    </w:rPr>
  </w:style>
  <w:style w:type="character" w:customStyle="1" w:styleId="cf01">
    <w:name w:val="cf01"/>
    <w:basedOn w:val="DefaultParagraphFont"/>
    <w:rsid w:val="002B569F"/>
    <w:rPr>
      <w:rFonts w:ascii="Segoe UI" w:hAnsi="Segoe UI" w:cs="Segoe UI" w:hint="default"/>
      <w:sz w:val="18"/>
      <w:szCs w:val="18"/>
    </w:rPr>
  </w:style>
  <w:style w:type="paragraph" w:customStyle="1" w:styleId="Caption1">
    <w:name w:val="Caption1"/>
    <w:basedOn w:val="Normal"/>
    <w:link w:val="Caption1Char"/>
    <w:qFormat/>
    <w:rsid w:val="002C492A"/>
    <w:pPr>
      <w:spacing w:after="80"/>
      <w:ind w:firstLine="0"/>
    </w:pPr>
    <w:rPr>
      <w:sz w:val="20"/>
      <w:szCs w:val="20"/>
    </w:rPr>
  </w:style>
  <w:style w:type="character" w:customStyle="1" w:styleId="Caption1Char">
    <w:name w:val="Caption1 Char"/>
    <w:basedOn w:val="DefaultParagraphFont"/>
    <w:link w:val="Caption1"/>
    <w:rsid w:val="002C492A"/>
    <w:rPr>
      <w:rFonts w:ascii="Times New Roman" w:hAnsi="Times New Roman"/>
      <w:kern w:val="0"/>
      <w:sz w:val="20"/>
      <w:szCs w:val="20"/>
      <w14:ligatures w14:val="none"/>
    </w:rPr>
  </w:style>
  <w:style w:type="character" w:customStyle="1" w:styleId="Heading1Char">
    <w:name w:val="Heading 1 Char"/>
    <w:basedOn w:val="DefaultParagraphFont"/>
    <w:link w:val="Heading1"/>
    <w:uiPriority w:val="9"/>
    <w:rsid w:val="00354281"/>
    <w:rPr>
      <w:rFonts w:ascii="Times New Roman" w:eastAsiaTheme="majorEastAsia" w:hAnsi="Times New Roman" w:cstheme="majorBidi"/>
      <w:b/>
      <w:kern w:val="0"/>
      <w:sz w:val="24"/>
      <w:szCs w:val="32"/>
      <w14:ligatures w14:val="none"/>
    </w:rPr>
  </w:style>
  <w:style w:type="character" w:customStyle="1" w:styleId="Heading2Char">
    <w:name w:val="Heading 2 Char"/>
    <w:basedOn w:val="DefaultParagraphFont"/>
    <w:link w:val="Heading2"/>
    <w:uiPriority w:val="9"/>
    <w:rsid w:val="00354281"/>
    <w:rPr>
      <w:rFonts w:ascii="Times New Roman" w:eastAsiaTheme="majorEastAsia" w:hAnsi="Times New Roman" w:cstheme="majorBidi"/>
      <w:b/>
      <w:i/>
      <w:kern w:val="0"/>
      <w:sz w:val="24"/>
      <w:szCs w:val="26"/>
      <w14:ligatures w14:val="none"/>
    </w:rPr>
  </w:style>
  <w:style w:type="paragraph" w:styleId="TOCHeading">
    <w:name w:val="TOC Heading"/>
    <w:basedOn w:val="Heading1"/>
    <w:next w:val="Normal"/>
    <w:uiPriority w:val="39"/>
    <w:unhideWhenUsed/>
    <w:qFormat/>
    <w:rsid w:val="00951EA9"/>
    <w:pPr>
      <w:spacing w:before="240" w:after="0" w:line="259" w:lineRule="auto"/>
      <w:contextualSpacing w:val="0"/>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951EA9"/>
    <w:pPr>
      <w:spacing w:after="100"/>
    </w:pPr>
  </w:style>
  <w:style w:type="paragraph" w:styleId="TOC2">
    <w:name w:val="toc 2"/>
    <w:basedOn w:val="Normal"/>
    <w:next w:val="Normal"/>
    <w:autoRedefine/>
    <w:uiPriority w:val="39"/>
    <w:unhideWhenUsed/>
    <w:rsid w:val="00951EA9"/>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357760">
      <w:bodyDiv w:val="1"/>
      <w:marLeft w:val="0"/>
      <w:marRight w:val="0"/>
      <w:marTop w:val="0"/>
      <w:marBottom w:val="0"/>
      <w:divBdr>
        <w:top w:val="none" w:sz="0" w:space="0" w:color="auto"/>
        <w:left w:val="none" w:sz="0" w:space="0" w:color="auto"/>
        <w:bottom w:val="none" w:sz="0" w:space="0" w:color="auto"/>
        <w:right w:val="none" w:sz="0" w:space="0" w:color="auto"/>
      </w:divBdr>
    </w:div>
    <w:div w:id="890965748">
      <w:bodyDiv w:val="1"/>
      <w:marLeft w:val="0"/>
      <w:marRight w:val="0"/>
      <w:marTop w:val="0"/>
      <w:marBottom w:val="0"/>
      <w:divBdr>
        <w:top w:val="none" w:sz="0" w:space="0" w:color="auto"/>
        <w:left w:val="none" w:sz="0" w:space="0" w:color="auto"/>
        <w:bottom w:val="none" w:sz="0" w:space="0" w:color="auto"/>
        <w:right w:val="none" w:sz="0" w:space="0" w:color="auto"/>
      </w:divBdr>
    </w:div>
    <w:div w:id="1005790845">
      <w:bodyDiv w:val="1"/>
      <w:marLeft w:val="0"/>
      <w:marRight w:val="0"/>
      <w:marTop w:val="0"/>
      <w:marBottom w:val="0"/>
      <w:divBdr>
        <w:top w:val="none" w:sz="0" w:space="0" w:color="auto"/>
        <w:left w:val="none" w:sz="0" w:space="0" w:color="auto"/>
        <w:bottom w:val="none" w:sz="0" w:space="0" w:color="auto"/>
        <w:right w:val="none" w:sz="0" w:space="0" w:color="auto"/>
      </w:divBdr>
    </w:div>
    <w:div w:id="1153595836">
      <w:bodyDiv w:val="1"/>
      <w:marLeft w:val="0"/>
      <w:marRight w:val="0"/>
      <w:marTop w:val="0"/>
      <w:marBottom w:val="0"/>
      <w:divBdr>
        <w:top w:val="none" w:sz="0" w:space="0" w:color="auto"/>
        <w:left w:val="none" w:sz="0" w:space="0" w:color="auto"/>
        <w:bottom w:val="none" w:sz="0" w:space="0" w:color="auto"/>
        <w:right w:val="none" w:sz="0" w:space="0" w:color="auto"/>
      </w:divBdr>
    </w:div>
    <w:div w:id="1300843556">
      <w:bodyDiv w:val="1"/>
      <w:marLeft w:val="0"/>
      <w:marRight w:val="0"/>
      <w:marTop w:val="0"/>
      <w:marBottom w:val="0"/>
      <w:divBdr>
        <w:top w:val="none" w:sz="0" w:space="0" w:color="auto"/>
        <w:left w:val="none" w:sz="0" w:space="0" w:color="auto"/>
        <w:bottom w:val="none" w:sz="0" w:space="0" w:color="auto"/>
        <w:right w:val="none" w:sz="0" w:space="0" w:color="auto"/>
      </w:divBdr>
    </w:div>
    <w:div w:id="1637948138">
      <w:bodyDiv w:val="1"/>
      <w:marLeft w:val="0"/>
      <w:marRight w:val="0"/>
      <w:marTop w:val="0"/>
      <w:marBottom w:val="0"/>
      <w:divBdr>
        <w:top w:val="none" w:sz="0" w:space="0" w:color="auto"/>
        <w:left w:val="none" w:sz="0" w:space="0" w:color="auto"/>
        <w:bottom w:val="none" w:sz="0" w:space="0" w:color="auto"/>
        <w:right w:val="none" w:sz="0" w:space="0" w:color="auto"/>
      </w:divBdr>
    </w:div>
    <w:div w:id="1977640270">
      <w:bodyDiv w:val="1"/>
      <w:marLeft w:val="0"/>
      <w:marRight w:val="0"/>
      <w:marTop w:val="0"/>
      <w:marBottom w:val="0"/>
      <w:divBdr>
        <w:top w:val="none" w:sz="0" w:space="0" w:color="auto"/>
        <w:left w:val="none" w:sz="0" w:space="0" w:color="auto"/>
        <w:bottom w:val="none" w:sz="0" w:space="0" w:color="auto"/>
        <w:right w:val="none" w:sz="0" w:space="0" w:color="auto"/>
      </w:divBdr>
    </w:div>
    <w:div w:id="2041785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20" Type="http://schemas.openxmlformats.org/officeDocument/2006/relationships/image" Target="media/image10.png"/><Relationship Id="rId41"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E3476134D5CA4BA512523F6628F84F" ma:contentTypeVersion="26" ma:contentTypeDescription="Create a new document." ma:contentTypeScope="" ma:versionID="b1c461515db725f8b3864c6d87d8d1cb">
  <xsd:schema xmlns:xsd="http://www.w3.org/2001/XMLSchema" xmlns:xs="http://www.w3.org/2001/XMLSchema" xmlns:p="http://schemas.microsoft.com/office/2006/metadata/properties" xmlns:ns2="1a96a33f-5d5f-4fd7-96a7-45822d468cad" xmlns:ns3="d12e83c9-1cbd-48d1-8be6-e31a19da41b7" targetNamespace="http://schemas.microsoft.com/office/2006/metadata/properties" ma:root="true" ma:fieldsID="2495c1f5b634fdecfddf01dc2c9bc3a5" ns2:_="" ns3:_="">
    <xsd:import namespace="1a96a33f-5d5f-4fd7-96a7-45822d468cad"/>
    <xsd:import namespace="d12e83c9-1cbd-48d1-8be6-e31a19da41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TaxKeywordTaxHTField" minOccurs="0"/>
                <xsd:element ref="ns3:TaxCatchAll"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96a33f-5d5f-4fd7-96a7-45822d468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2e83c9-1cbd-48d1-8be6-e31a19da41b7" elementFormDefault="qualified">
    <xsd:import namespace="http://schemas.microsoft.com/office/2006/documentManagement/types"/>
    <xsd:import namespace="http://schemas.microsoft.com/office/infopath/2007/PartnerControls"/>
    <xsd:element name="TaxKeywordTaxHTField" ma:index="13" nillable="true" ma:taxonomy="true" ma:internalName="TaxKeywordTaxHTField" ma:taxonomyFieldName="TaxKeyword" ma:displayName="Enterprise Keywords" ma:fieldId="{23f27201-bee3-471e-b2e7-b64fd8b7ca38}" ma:taxonomyMulti="true" ma:sspId="da2157d8-ccc1-4fc8-a2a4-3f8f6553454f"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hidden="true" ma:list="{39cfd6f3-b090-46cb-b03a-757ee8360c65}" ma:internalName="TaxCatchAll" ma:showField="CatchAllData" ma:web="d12e83c9-1cbd-48d1-8be6-e31a19da41b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KeywordTaxHTField xmlns="d12e83c9-1cbd-48d1-8be6-e31a19da41b7">
      <Terms xmlns="http://schemas.microsoft.com/office/infopath/2007/PartnerControls"/>
    </TaxKeywordTaxHTField>
    <TaxCatchAll xmlns="d12e83c9-1cbd-48d1-8be6-e31a19da41b7" xsi:nil="true"/>
    <lcf76f155ced4ddcb4097134ff3c332f xmlns="1a96a33f-5d5f-4fd7-96a7-45822d468ca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E9171C0-5C92-4D05-9AF5-FA9D0FE418CE}"/>
</file>

<file path=customXml/itemProps2.xml><?xml version="1.0" encoding="utf-8"?>
<ds:datastoreItem xmlns:ds="http://schemas.openxmlformats.org/officeDocument/2006/customXml" ds:itemID="{2D2E7FD0-8C31-49A3-AAB5-DBC535997113}">
  <ds:schemaRefs>
    <ds:schemaRef ds:uri="http://schemas.microsoft.com/sharepoint/v3/contenttype/forms"/>
  </ds:schemaRefs>
</ds:datastoreItem>
</file>

<file path=customXml/itemProps3.xml><?xml version="1.0" encoding="utf-8"?>
<ds:datastoreItem xmlns:ds="http://schemas.openxmlformats.org/officeDocument/2006/customXml" ds:itemID="{A40B3766-D0AF-45D1-A96C-ECB12A8576A9}">
  <ds:schemaRefs>
    <ds:schemaRef ds:uri="http://schemas.openxmlformats.org/officeDocument/2006/bibliography"/>
  </ds:schemaRefs>
</ds:datastoreItem>
</file>

<file path=customXml/itemProps4.xml><?xml version="1.0" encoding="utf-8"?>
<ds:datastoreItem xmlns:ds="http://schemas.openxmlformats.org/officeDocument/2006/customXml" ds:itemID="{16179064-F18F-48DA-A9FF-176E64CF8AC4}">
  <ds:schemaRefs>
    <ds:schemaRef ds:uri="http://schemas.microsoft.com/office/2006/metadata/properties"/>
    <ds:schemaRef ds:uri="http://schemas.microsoft.com/office/infopath/2007/PartnerControls"/>
    <ds:schemaRef ds:uri="d12e83c9-1cbd-48d1-8be6-e31a19da41b7"/>
    <ds:schemaRef ds:uri="1a96a33f-5d5f-4fd7-96a7-45822d468cad"/>
  </ds:schemaRefs>
</ds:datastoreItem>
</file>

<file path=docProps/app.xml><?xml version="1.0" encoding="utf-8"?>
<Properties xmlns="http://schemas.openxmlformats.org/officeDocument/2006/extended-properties" xmlns:vt="http://schemas.openxmlformats.org/officeDocument/2006/docPropsVTypes">
  <Template>Normal</Template>
  <TotalTime>1117</TotalTime>
  <Pages>43</Pages>
  <Words>13341</Words>
  <Characters>72986</Characters>
  <Application>Microsoft Office Word</Application>
  <DocSecurity>0</DocSecurity>
  <Lines>1538</Lines>
  <Paragraphs>516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Heather D</dc:creator>
  <cp:keywords/>
  <dc:description/>
  <cp:lastModifiedBy>Curry, Adam C</cp:lastModifiedBy>
  <cp:revision>605</cp:revision>
  <dcterms:created xsi:type="dcterms:W3CDTF">2025-07-01T19:56:00Z</dcterms:created>
  <dcterms:modified xsi:type="dcterms:W3CDTF">2026-02-19T14:05:00Z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id="lZCh4LFD"/&gt;&lt;style id="http://www.zotero.org/styles/geology" hasBibliography="1" bibliographyStyleHasBeenSet="1"/&gt;&lt;prefs&gt;&lt;pref name="fieldType" value="Field"/&gt;&lt;pref name="automaticJournalAbbreviat</vt:lpwstr>
  </property>
  <property fmtid="{D5CDD505-2E9C-101B-9397-08002B2CF9AE}" pid="3" name="ZOTERO_PREF_2">
    <vt:lpwstr>ions" value="true"/&gt;&lt;/prefs&gt;&lt;/data&gt;</vt:lpwstr>
  </property>
  <property fmtid="{D5CDD505-2E9C-101B-9397-08002B2CF9AE}" pid="4" name="ContentTypeId">
    <vt:lpwstr>0x0101008BE3476134D5CA4BA512523F6628F84F</vt:lpwstr>
  </property>
  <property fmtid="{D5CDD505-2E9C-101B-9397-08002B2CF9AE}" pid="5" name="TaxKeyword">
    <vt:lpwstr/>
  </property>
</Properties>
</file>