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90" w:rsidRPr="00D74790" w:rsidRDefault="007670D8" w:rsidP="00D74790">
      <w:pPr>
        <w:spacing w:before="60" w:after="60"/>
        <w:jc w:val="center"/>
        <w:rPr>
          <w:rFonts w:asciiTheme="minorHAnsi" w:hAnsiTheme="minorHAnsi"/>
          <w:b/>
          <w:sz w:val="28"/>
        </w:rPr>
      </w:pPr>
      <w:r>
        <w:rPr>
          <w:rFonts w:asciiTheme="minorHAnsi" w:hAnsiTheme="minorHAnsi"/>
          <w:b/>
          <w:sz w:val="28"/>
        </w:rPr>
        <w:t>Potential MDC for Disconnected Impervious Surfaces</w:t>
      </w:r>
    </w:p>
    <w:p w:rsidR="00D74790" w:rsidRPr="00D74790" w:rsidRDefault="00D74790" w:rsidP="00D74790">
      <w:pPr>
        <w:spacing w:before="60" w:after="60"/>
        <w:jc w:val="center"/>
        <w:rPr>
          <w:rFonts w:asciiTheme="minorHAnsi" w:hAnsiTheme="minorHAnsi"/>
          <w:b/>
          <w:sz w:val="28"/>
        </w:rPr>
      </w:pPr>
      <w:r w:rsidRPr="00D74790">
        <w:rPr>
          <w:rFonts w:asciiTheme="minorHAnsi" w:hAnsiTheme="minorHAnsi"/>
          <w:b/>
          <w:sz w:val="28"/>
        </w:rPr>
        <w:t>December 15, 2014</w:t>
      </w:r>
    </w:p>
    <w:p w:rsidR="00D74790" w:rsidRPr="00025923" w:rsidRDefault="00D74790" w:rsidP="00D74790">
      <w:pPr>
        <w:spacing w:before="60" w:after="60"/>
        <w:rPr>
          <w:rFonts w:asciiTheme="minorHAnsi" w:hAnsiTheme="minorHAnsi"/>
          <w:sz w:val="20"/>
          <w:szCs w:val="20"/>
        </w:rPr>
      </w:pPr>
    </w:p>
    <w:p w:rsidR="00D74790" w:rsidRPr="00F543B6" w:rsidRDefault="00D74790" w:rsidP="00F543B6">
      <w:pPr>
        <w:pStyle w:val="ListParagraph"/>
        <w:numPr>
          <w:ilvl w:val="0"/>
          <w:numId w:val="1"/>
        </w:numPr>
        <w:spacing w:before="180" w:after="60" w:line="240" w:lineRule="auto"/>
        <w:contextualSpacing w:val="0"/>
        <w:rPr>
          <w:rFonts w:asciiTheme="minorHAnsi" w:hAnsiTheme="minorHAnsi"/>
          <w:sz w:val="24"/>
          <w:szCs w:val="20"/>
        </w:rPr>
      </w:pPr>
      <w:r w:rsidRPr="00F543B6">
        <w:rPr>
          <w:rFonts w:asciiTheme="minorHAnsi" w:hAnsiTheme="minorHAnsi"/>
          <w:sz w:val="24"/>
          <w:szCs w:val="20"/>
        </w:rPr>
        <w:t xml:space="preserve">For disconnected roofs, a maximum of 300 square feet of roof shall drain to each disconnected downspout unless a device (like a level spreader) is provided to spread the flow evenly across the entire width of the vegetated receiving area.  If there is a spreading device, then the drainage area may be increased to 500 square feet.  The receiving vegetated area shall be a rectangle of either 6 by 12 feet or 12 by 24 feet (width of vegetated area by length of run in direction of flow). The entire rectangle shall not include any impervious surface to ensure that water released from the roof does not run onto another impervious surface.  </w:t>
      </w:r>
    </w:p>
    <w:p w:rsidR="00D74790" w:rsidRPr="00F543B6" w:rsidRDefault="00D74790" w:rsidP="00F543B6">
      <w:pPr>
        <w:pStyle w:val="BodyText"/>
        <w:numPr>
          <w:ilvl w:val="0"/>
          <w:numId w:val="1"/>
        </w:numPr>
        <w:spacing w:before="180" w:after="60"/>
        <w:rPr>
          <w:rFonts w:asciiTheme="minorHAnsi" w:hAnsiTheme="minorHAnsi"/>
          <w:sz w:val="24"/>
          <w:szCs w:val="20"/>
        </w:rPr>
      </w:pPr>
      <w:r w:rsidRPr="00F543B6">
        <w:rPr>
          <w:rFonts w:asciiTheme="minorHAnsi" w:hAnsiTheme="minorHAnsi"/>
          <w:sz w:val="24"/>
          <w:szCs w:val="20"/>
        </w:rPr>
        <w:t>For disconnected pavement, the receiving vegetated area shall be either 10 or 15 feet long.  The maximum width of pavement run that may discharge to the vegetated area is 100 feet and the maximum slope of the pavement shall be 7 percent.</w:t>
      </w:r>
    </w:p>
    <w:p w:rsidR="00D74790" w:rsidRPr="00F543B6" w:rsidRDefault="00D74790" w:rsidP="00F543B6">
      <w:pPr>
        <w:pStyle w:val="BodyText"/>
        <w:numPr>
          <w:ilvl w:val="0"/>
          <w:numId w:val="1"/>
        </w:numPr>
        <w:spacing w:before="180" w:after="60"/>
        <w:rPr>
          <w:rFonts w:asciiTheme="minorHAnsi" w:hAnsiTheme="minorHAnsi"/>
          <w:sz w:val="24"/>
          <w:szCs w:val="20"/>
        </w:rPr>
      </w:pPr>
      <w:r w:rsidRPr="00F543B6">
        <w:rPr>
          <w:rFonts w:asciiTheme="minorHAnsi" w:hAnsiTheme="minorHAnsi"/>
          <w:sz w:val="24"/>
          <w:szCs w:val="20"/>
        </w:rPr>
        <w:t xml:space="preserve">The vegetated area shall have a maximum slope of 7 percent with land graded to promote sheet flow, except in </w:t>
      </w:r>
      <w:proofErr w:type="gramStart"/>
      <w:r w:rsidRPr="00F543B6">
        <w:rPr>
          <w:rFonts w:asciiTheme="minorHAnsi" w:hAnsiTheme="minorHAnsi"/>
          <w:sz w:val="24"/>
          <w:szCs w:val="20"/>
        </w:rPr>
        <w:t>A</w:t>
      </w:r>
      <w:proofErr w:type="gramEnd"/>
      <w:r w:rsidRPr="00F543B6">
        <w:rPr>
          <w:rFonts w:asciiTheme="minorHAnsi" w:hAnsiTheme="minorHAnsi"/>
          <w:sz w:val="24"/>
          <w:szCs w:val="20"/>
        </w:rPr>
        <w:t xml:space="preserve"> soils where the maximum slope is 15 percent.</w:t>
      </w:r>
    </w:p>
    <w:p w:rsidR="00D74790" w:rsidRPr="00F543B6" w:rsidRDefault="00D74790" w:rsidP="00F543B6">
      <w:pPr>
        <w:pStyle w:val="ListParagraph"/>
        <w:numPr>
          <w:ilvl w:val="0"/>
          <w:numId w:val="1"/>
        </w:numPr>
        <w:spacing w:before="180" w:after="60"/>
        <w:rPr>
          <w:rFonts w:asciiTheme="minorHAnsi" w:hAnsiTheme="minorHAnsi"/>
          <w:sz w:val="24"/>
          <w:szCs w:val="20"/>
        </w:rPr>
      </w:pPr>
      <w:r w:rsidRPr="00F543B6">
        <w:rPr>
          <w:rFonts w:asciiTheme="minorHAnsi" w:hAnsiTheme="minorHAnsi"/>
          <w:sz w:val="24"/>
          <w:szCs w:val="20"/>
        </w:rPr>
        <w:t>If the vegetated area is established on fill soils that are less permeable than the in-situ soils, then the soil type for crediting purposes shall be based on the fill soils.  However, if the fill soils are more permeable than the in-situ soils, then the soil type for crediting shall reflect the in-situ soil type.</w:t>
      </w:r>
    </w:p>
    <w:p w:rsidR="00D74790" w:rsidRPr="00F543B6" w:rsidRDefault="00D74790" w:rsidP="00F543B6">
      <w:pPr>
        <w:pStyle w:val="BodyText"/>
        <w:numPr>
          <w:ilvl w:val="0"/>
          <w:numId w:val="1"/>
        </w:numPr>
        <w:spacing w:before="180" w:after="60"/>
        <w:rPr>
          <w:rFonts w:asciiTheme="minorHAnsi" w:hAnsiTheme="minorHAnsi"/>
          <w:sz w:val="24"/>
          <w:szCs w:val="20"/>
        </w:rPr>
      </w:pPr>
      <w:r w:rsidRPr="00F543B6">
        <w:rPr>
          <w:rFonts w:asciiTheme="minorHAnsi" w:hAnsiTheme="minorHAnsi"/>
          <w:sz w:val="24"/>
          <w:szCs w:val="20"/>
        </w:rPr>
        <w:t>The vegetated receiving area shall not contain any impervious surface.</w:t>
      </w:r>
    </w:p>
    <w:p w:rsidR="00D74790" w:rsidRPr="00F543B6" w:rsidRDefault="00D74790" w:rsidP="00F543B6">
      <w:pPr>
        <w:pStyle w:val="BodyText"/>
        <w:numPr>
          <w:ilvl w:val="0"/>
          <w:numId w:val="1"/>
        </w:numPr>
        <w:spacing w:before="180" w:after="60"/>
        <w:rPr>
          <w:rFonts w:asciiTheme="minorHAnsi" w:hAnsiTheme="minorHAnsi"/>
          <w:sz w:val="24"/>
          <w:szCs w:val="20"/>
        </w:rPr>
      </w:pPr>
      <w:r w:rsidRPr="00F543B6">
        <w:rPr>
          <w:rFonts w:asciiTheme="minorHAnsi" w:hAnsiTheme="minorHAnsi"/>
          <w:sz w:val="24"/>
          <w:szCs w:val="20"/>
        </w:rPr>
        <w:t xml:space="preserve">The vegetated cover </w:t>
      </w:r>
      <w:r w:rsidR="00025923" w:rsidRPr="00F543B6">
        <w:rPr>
          <w:rFonts w:ascii="Calibri" w:hAnsi="Calibri"/>
          <w:sz w:val="24"/>
          <w:szCs w:val="20"/>
        </w:rPr>
        <w:t>shall be a non-clumping, deep-rooted grass species.</w:t>
      </w:r>
      <w:r w:rsidR="00F543B6" w:rsidRPr="00F543B6">
        <w:rPr>
          <w:rFonts w:ascii="Calibri" w:hAnsi="Calibri"/>
          <w:sz w:val="24"/>
          <w:szCs w:val="20"/>
        </w:rPr>
        <w:t xml:space="preserve">  For disconnected downspouts, the vegetated area shall be kept off-line until vegetation has been established.  For disconnected pavement, soils shall be stabilized with temporary means such as straw or matting until the permanent vegetative cover has taken root.</w:t>
      </w:r>
    </w:p>
    <w:p w:rsidR="00F543B6" w:rsidRPr="00F543B6" w:rsidRDefault="00F543B6" w:rsidP="00F543B6">
      <w:pPr>
        <w:pStyle w:val="BodyText"/>
        <w:numPr>
          <w:ilvl w:val="0"/>
          <w:numId w:val="1"/>
        </w:numPr>
        <w:spacing w:before="180" w:after="60"/>
        <w:rPr>
          <w:rFonts w:asciiTheme="minorHAnsi" w:hAnsiTheme="minorHAnsi"/>
          <w:sz w:val="24"/>
          <w:szCs w:val="20"/>
        </w:rPr>
      </w:pPr>
      <w:r w:rsidRPr="00F543B6">
        <w:rPr>
          <w:rFonts w:ascii="Calibri" w:hAnsi="Calibri"/>
          <w:sz w:val="24"/>
          <w:szCs w:val="20"/>
        </w:rPr>
        <w:t>The vegetated area shall be uniformly graded with no gullies, low spots or lateral slopes.</w:t>
      </w:r>
    </w:p>
    <w:p w:rsidR="00D74790" w:rsidRPr="00F543B6" w:rsidRDefault="00D74790" w:rsidP="00F543B6">
      <w:pPr>
        <w:pStyle w:val="BodyText"/>
        <w:numPr>
          <w:ilvl w:val="0"/>
          <w:numId w:val="1"/>
        </w:numPr>
        <w:spacing w:before="180" w:after="60"/>
        <w:rPr>
          <w:rFonts w:asciiTheme="minorHAnsi" w:hAnsiTheme="minorHAnsi"/>
          <w:sz w:val="24"/>
          <w:szCs w:val="20"/>
        </w:rPr>
      </w:pPr>
      <w:r w:rsidRPr="00F543B6">
        <w:rPr>
          <w:rFonts w:asciiTheme="minorHAnsi" w:hAnsiTheme="minorHAnsi"/>
          <w:sz w:val="24"/>
          <w:szCs w:val="20"/>
        </w:rPr>
        <w:t>All sites built within the past fifty years shall be tilled to eight inches prior to vegetation establishment.</w:t>
      </w:r>
    </w:p>
    <w:p w:rsidR="00D74790" w:rsidRPr="00F543B6" w:rsidRDefault="00D74790" w:rsidP="00F543B6">
      <w:pPr>
        <w:pStyle w:val="BodyText"/>
        <w:numPr>
          <w:ilvl w:val="0"/>
          <w:numId w:val="1"/>
        </w:numPr>
        <w:spacing w:before="180" w:after="60"/>
        <w:rPr>
          <w:rFonts w:asciiTheme="minorHAnsi" w:hAnsiTheme="minorHAnsi"/>
          <w:sz w:val="24"/>
          <w:szCs w:val="20"/>
        </w:rPr>
      </w:pPr>
      <w:r w:rsidRPr="00F543B6">
        <w:rPr>
          <w:rFonts w:asciiTheme="minorHAnsi" w:hAnsiTheme="minorHAnsi"/>
          <w:sz w:val="24"/>
          <w:szCs w:val="20"/>
          <w:u w:val="single"/>
        </w:rPr>
        <w:t>Recommended</w:t>
      </w:r>
      <w:r w:rsidRPr="00F543B6">
        <w:rPr>
          <w:rFonts w:asciiTheme="minorHAnsi" w:hAnsiTheme="minorHAnsi"/>
          <w:sz w:val="24"/>
          <w:szCs w:val="20"/>
        </w:rPr>
        <w:t>:  A minimum separation of five feet should be provided between the disconnected downspout and the foundation.</w:t>
      </w:r>
    </w:p>
    <w:p w:rsidR="00025923" w:rsidRPr="00F543B6" w:rsidRDefault="00025923" w:rsidP="00F543B6">
      <w:pPr>
        <w:pStyle w:val="ListParagraph"/>
        <w:numPr>
          <w:ilvl w:val="0"/>
          <w:numId w:val="1"/>
        </w:numPr>
        <w:spacing w:before="180"/>
        <w:rPr>
          <w:rFonts w:asciiTheme="minorHAnsi" w:hAnsiTheme="minorHAnsi"/>
          <w:sz w:val="24"/>
          <w:szCs w:val="20"/>
        </w:rPr>
      </w:pPr>
      <w:r w:rsidRPr="00F543B6">
        <w:rPr>
          <w:rFonts w:asciiTheme="minorHAnsi" w:hAnsiTheme="minorHAnsi"/>
          <w:sz w:val="24"/>
          <w:szCs w:val="20"/>
          <w:u w:val="single"/>
        </w:rPr>
        <w:t>Recommended</w:t>
      </w:r>
      <w:r w:rsidRPr="00F543B6">
        <w:rPr>
          <w:rFonts w:asciiTheme="minorHAnsi" w:hAnsiTheme="minorHAnsi"/>
          <w:sz w:val="24"/>
          <w:szCs w:val="20"/>
        </w:rPr>
        <w:t xml:space="preserve">:  Do not use wooded areas as vegetated receiving areas because uneven micro-topography often causes channelization, which reduces surface area exposed to stormwater. </w:t>
      </w:r>
    </w:p>
    <w:p w:rsidR="00F543B6" w:rsidRDefault="00F543B6">
      <w:pPr>
        <w:suppressAutoHyphens w:val="0"/>
        <w:spacing w:after="200" w:line="276" w:lineRule="auto"/>
        <w:rPr>
          <w:rFonts w:ascii="Book Antiqua" w:eastAsia="Calibri" w:hAnsi="Book Antiqua"/>
          <w:sz w:val="22"/>
          <w:szCs w:val="22"/>
          <w:lang w:eastAsia="en-US"/>
        </w:rPr>
      </w:pPr>
      <w:r>
        <w:rPr>
          <w:rFonts w:ascii="Book Antiqua" w:hAnsi="Book Antiqua"/>
        </w:rPr>
        <w:br w:type="page"/>
      </w:r>
    </w:p>
    <w:p w:rsidR="00025923" w:rsidRPr="00025923" w:rsidRDefault="00025923" w:rsidP="00025923">
      <w:pPr>
        <w:pStyle w:val="ListParagraph"/>
        <w:rPr>
          <w:rFonts w:ascii="Book Antiqua" w:hAnsi="Book Antiqua"/>
        </w:rPr>
      </w:pPr>
    </w:p>
    <w:p w:rsidR="00025923" w:rsidRPr="00025923" w:rsidRDefault="00025923" w:rsidP="00025923">
      <w:pPr>
        <w:pStyle w:val="ListParagraph"/>
        <w:spacing w:before="120" w:after="120"/>
        <w:ind w:left="0"/>
        <w:jc w:val="center"/>
        <w:rPr>
          <w:rFonts w:ascii="Book Antiqua" w:hAnsi="Book Antiqua"/>
          <w:b/>
          <w:iCs/>
        </w:rPr>
      </w:pPr>
      <w:proofErr w:type="gramStart"/>
      <w:r w:rsidRPr="00025923">
        <w:rPr>
          <w:rFonts w:ascii="Book Antiqua" w:hAnsi="Book Antiqua"/>
          <w:b/>
          <w:iCs/>
        </w:rPr>
        <w:t>Table 24-1.</w:t>
      </w:r>
      <w:proofErr w:type="gramEnd"/>
      <w:r w:rsidRPr="00025923">
        <w:rPr>
          <w:rFonts w:ascii="Book Antiqua" w:hAnsi="Book Antiqua"/>
          <w:b/>
          <w:iCs/>
        </w:rPr>
        <w:t xml:space="preserve">  Sizing and Credit for DIS</w:t>
      </w:r>
    </w:p>
    <w:tbl>
      <w:tblPr>
        <w:tblW w:w="0" w:type="auto"/>
        <w:tblInd w:w="108"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Look w:val="01E0"/>
      </w:tblPr>
      <w:tblGrid>
        <w:gridCol w:w="2700"/>
        <w:gridCol w:w="1008"/>
        <w:gridCol w:w="1008"/>
        <w:gridCol w:w="1008"/>
        <w:gridCol w:w="1008"/>
        <w:gridCol w:w="2016"/>
      </w:tblGrid>
      <w:tr w:rsidR="00025923" w:rsidRPr="00DB26F2" w:rsidTr="00501416">
        <w:tc>
          <w:tcPr>
            <w:tcW w:w="2700" w:type="dxa"/>
            <w:shd w:val="clear" w:color="auto" w:fill="auto"/>
            <w:vAlign w:val="center"/>
          </w:tcPr>
          <w:p w:rsidR="00025923" w:rsidRPr="00553CE6" w:rsidRDefault="00025923" w:rsidP="00501416">
            <w:pPr>
              <w:spacing w:before="60" w:after="60"/>
              <w:jc w:val="center"/>
              <w:rPr>
                <w:rFonts w:ascii="Calibri" w:hAnsi="Calibri"/>
                <w:b/>
                <w:iCs/>
                <w:sz w:val="22"/>
                <w:szCs w:val="20"/>
              </w:rPr>
            </w:pPr>
          </w:p>
        </w:tc>
        <w:tc>
          <w:tcPr>
            <w:tcW w:w="2016" w:type="dxa"/>
            <w:gridSpan w:val="2"/>
            <w:shd w:val="clear" w:color="auto" w:fill="auto"/>
            <w:vAlign w:val="center"/>
          </w:tcPr>
          <w:p w:rsidR="00025923" w:rsidRPr="00553CE6" w:rsidRDefault="00025923" w:rsidP="00501416">
            <w:pPr>
              <w:spacing w:before="60" w:after="60"/>
              <w:jc w:val="center"/>
              <w:rPr>
                <w:rFonts w:ascii="Calibri" w:hAnsi="Calibri"/>
                <w:b/>
                <w:iCs/>
                <w:sz w:val="22"/>
                <w:szCs w:val="20"/>
              </w:rPr>
            </w:pPr>
            <w:r w:rsidRPr="00553CE6">
              <w:rPr>
                <w:rFonts w:ascii="Calibri" w:hAnsi="Calibri"/>
                <w:b/>
                <w:iCs/>
                <w:noProof/>
                <w:sz w:val="22"/>
                <w:szCs w:val="20"/>
                <w:lang w:eastAsia="en-US"/>
              </w:rPr>
              <w:pict>
                <v:rect id="_x0000_s1026" style="position:absolute;left:0;text-align:left;margin-left:-4.5pt;margin-top:.55pt;width:99.75pt;height:189pt;z-index:251660288;mso-position-horizontal-relative:text;mso-position-vertical-relative:text" filled="f" strokecolor="#060" strokeweight="2.25pt"/>
              </w:pict>
            </w:r>
            <w:r w:rsidRPr="00553CE6">
              <w:rPr>
                <w:rFonts w:ascii="Calibri" w:hAnsi="Calibri"/>
                <w:b/>
                <w:iCs/>
                <w:sz w:val="22"/>
                <w:szCs w:val="20"/>
              </w:rPr>
              <w:t>Type 1 DIS</w:t>
            </w:r>
          </w:p>
        </w:tc>
        <w:tc>
          <w:tcPr>
            <w:tcW w:w="2016" w:type="dxa"/>
            <w:gridSpan w:val="2"/>
            <w:shd w:val="clear" w:color="auto" w:fill="auto"/>
            <w:vAlign w:val="center"/>
          </w:tcPr>
          <w:p w:rsidR="00025923" w:rsidRPr="00553CE6" w:rsidRDefault="00025923" w:rsidP="00501416">
            <w:pPr>
              <w:spacing w:before="60" w:after="60"/>
              <w:jc w:val="center"/>
              <w:rPr>
                <w:rFonts w:ascii="Calibri" w:hAnsi="Calibri"/>
                <w:b/>
                <w:iCs/>
                <w:sz w:val="22"/>
                <w:szCs w:val="20"/>
              </w:rPr>
            </w:pPr>
            <w:r w:rsidRPr="00553CE6">
              <w:rPr>
                <w:rFonts w:ascii="Calibri" w:hAnsi="Calibri"/>
                <w:i/>
                <w:noProof/>
                <w:sz w:val="22"/>
                <w:szCs w:val="22"/>
                <w:lang w:eastAsia="en-US"/>
              </w:rPr>
              <w:pict>
                <v:rect id="_x0000_s1028" style="position:absolute;left:0;text-align:left;margin-left:95.3pt;margin-top:-.05pt;width:99.75pt;height:189.75pt;z-index:251662336;mso-position-horizontal-relative:text;mso-position-vertical-relative:text" filled="f" strokecolor="#060" strokeweight="2.25pt"/>
              </w:pict>
            </w:r>
            <w:r w:rsidRPr="00553CE6">
              <w:rPr>
                <w:rFonts w:ascii="Calibri" w:hAnsi="Calibri"/>
                <w:b/>
                <w:bCs/>
                <w:iCs/>
                <w:noProof/>
                <w:sz w:val="22"/>
                <w:szCs w:val="26"/>
                <w:lang w:eastAsia="en-US"/>
              </w:rPr>
              <w:pict>
                <v:rect id="_x0000_s1027" style="position:absolute;left:0;text-align:left;margin-left:-5.25pt;margin-top:-.05pt;width:99.75pt;height:189.75pt;z-index:251661312;mso-position-horizontal-relative:text;mso-position-vertical-relative:text" filled="f" strokecolor="#060" strokeweight="2.25pt"/>
              </w:pict>
            </w:r>
            <w:r w:rsidRPr="00553CE6">
              <w:rPr>
                <w:rFonts w:ascii="Calibri" w:hAnsi="Calibri"/>
                <w:b/>
                <w:iCs/>
                <w:sz w:val="22"/>
                <w:szCs w:val="20"/>
              </w:rPr>
              <w:t>Type 2 DIS</w:t>
            </w:r>
          </w:p>
        </w:tc>
        <w:tc>
          <w:tcPr>
            <w:tcW w:w="2016" w:type="dxa"/>
            <w:shd w:val="clear" w:color="auto" w:fill="auto"/>
            <w:vAlign w:val="center"/>
          </w:tcPr>
          <w:p w:rsidR="00025923" w:rsidRPr="00553CE6" w:rsidRDefault="00025923" w:rsidP="00501416">
            <w:pPr>
              <w:spacing w:before="60" w:after="60"/>
              <w:jc w:val="center"/>
              <w:rPr>
                <w:rFonts w:ascii="Calibri" w:hAnsi="Calibri"/>
                <w:b/>
                <w:iCs/>
                <w:sz w:val="22"/>
                <w:szCs w:val="20"/>
              </w:rPr>
            </w:pPr>
            <w:r w:rsidRPr="00553CE6">
              <w:rPr>
                <w:rFonts w:ascii="Calibri" w:hAnsi="Calibri"/>
                <w:b/>
                <w:iCs/>
                <w:sz w:val="22"/>
                <w:szCs w:val="20"/>
              </w:rPr>
              <w:t>Type 3 DIS</w:t>
            </w:r>
          </w:p>
        </w:tc>
      </w:tr>
      <w:tr w:rsidR="00025923" w:rsidRPr="00DB26F2" w:rsidTr="00501416">
        <w:tc>
          <w:tcPr>
            <w:tcW w:w="2700" w:type="dxa"/>
            <w:shd w:val="clear" w:color="auto" w:fill="auto"/>
            <w:vAlign w:val="center"/>
          </w:tcPr>
          <w:p w:rsidR="00025923" w:rsidRPr="00553CE6" w:rsidRDefault="00025923" w:rsidP="00501416">
            <w:pPr>
              <w:spacing w:before="60" w:after="60"/>
              <w:jc w:val="center"/>
              <w:rPr>
                <w:rFonts w:ascii="Calibri" w:hAnsi="Calibri"/>
                <w:b/>
                <w:iCs/>
                <w:sz w:val="22"/>
                <w:szCs w:val="20"/>
              </w:rPr>
            </w:pPr>
            <w:r w:rsidRPr="00553CE6">
              <w:rPr>
                <w:rFonts w:ascii="Calibri" w:hAnsi="Calibri"/>
                <w:b/>
                <w:iCs/>
                <w:sz w:val="22"/>
                <w:szCs w:val="20"/>
              </w:rPr>
              <w:t>Disconnected Roof: Vegetated Area Size</w:t>
            </w:r>
          </w:p>
        </w:tc>
        <w:tc>
          <w:tcPr>
            <w:tcW w:w="2016" w:type="dxa"/>
            <w:gridSpan w:val="2"/>
            <w:shd w:val="clear" w:color="auto" w:fill="auto"/>
            <w:vAlign w:val="center"/>
          </w:tcPr>
          <w:p w:rsidR="00025923" w:rsidRPr="00553CE6" w:rsidRDefault="00025923" w:rsidP="00501416">
            <w:pPr>
              <w:spacing w:before="60" w:after="60"/>
              <w:jc w:val="center"/>
              <w:rPr>
                <w:rFonts w:ascii="Calibri" w:hAnsi="Calibri"/>
                <w:b/>
                <w:iCs/>
                <w:sz w:val="22"/>
                <w:szCs w:val="20"/>
              </w:rPr>
            </w:pPr>
            <w:r w:rsidRPr="00553CE6">
              <w:rPr>
                <w:rFonts w:ascii="Calibri" w:hAnsi="Calibri"/>
                <w:b/>
                <w:iCs/>
                <w:sz w:val="22"/>
                <w:szCs w:val="20"/>
              </w:rPr>
              <w:t>6’ x 12’</w:t>
            </w:r>
            <w:r>
              <w:rPr>
                <w:rFonts w:ascii="Calibri" w:hAnsi="Calibri"/>
                <w:b/>
                <w:iCs/>
                <w:sz w:val="22"/>
                <w:szCs w:val="20"/>
              </w:rPr>
              <w:t xml:space="preserve">  </w:t>
            </w:r>
          </w:p>
        </w:tc>
        <w:tc>
          <w:tcPr>
            <w:tcW w:w="2016" w:type="dxa"/>
            <w:gridSpan w:val="2"/>
            <w:shd w:val="clear" w:color="auto" w:fill="auto"/>
            <w:vAlign w:val="center"/>
          </w:tcPr>
          <w:p w:rsidR="00025923" w:rsidRPr="00553CE6" w:rsidRDefault="00025923" w:rsidP="00501416">
            <w:pPr>
              <w:spacing w:before="60" w:after="60"/>
              <w:jc w:val="center"/>
              <w:rPr>
                <w:rFonts w:ascii="Calibri" w:hAnsi="Calibri"/>
                <w:b/>
                <w:iCs/>
                <w:sz w:val="22"/>
                <w:szCs w:val="20"/>
              </w:rPr>
            </w:pPr>
            <w:r w:rsidRPr="00553CE6">
              <w:rPr>
                <w:rFonts w:ascii="Calibri" w:hAnsi="Calibri"/>
                <w:b/>
                <w:iCs/>
                <w:sz w:val="22"/>
                <w:szCs w:val="20"/>
              </w:rPr>
              <w:t>12’ x 24’</w:t>
            </w:r>
          </w:p>
        </w:tc>
        <w:tc>
          <w:tcPr>
            <w:tcW w:w="2016" w:type="dxa"/>
            <w:shd w:val="clear" w:color="auto" w:fill="auto"/>
            <w:vAlign w:val="center"/>
          </w:tcPr>
          <w:p w:rsidR="00025923" w:rsidRPr="00553CE6" w:rsidRDefault="00025923" w:rsidP="00501416">
            <w:pPr>
              <w:spacing w:before="60" w:after="60"/>
              <w:jc w:val="center"/>
              <w:rPr>
                <w:rFonts w:ascii="Calibri" w:hAnsi="Calibri"/>
                <w:b/>
                <w:iCs/>
                <w:sz w:val="22"/>
                <w:szCs w:val="20"/>
              </w:rPr>
            </w:pPr>
            <w:r w:rsidRPr="00553CE6">
              <w:rPr>
                <w:rFonts w:ascii="Calibri" w:hAnsi="Calibri"/>
                <w:b/>
                <w:iCs/>
                <w:sz w:val="22"/>
                <w:szCs w:val="20"/>
              </w:rPr>
              <w:t>12’ x 24’                          &amp; site BUA &lt; 24%</w:t>
            </w:r>
          </w:p>
        </w:tc>
      </w:tr>
      <w:tr w:rsidR="00025923" w:rsidRPr="00DB26F2" w:rsidTr="00501416">
        <w:tc>
          <w:tcPr>
            <w:tcW w:w="2700" w:type="dxa"/>
            <w:shd w:val="clear" w:color="auto" w:fill="auto"/>
            <w:vAlign w:val="center"/>
          </w:tcPr>
          <w:p w:rsidR="00025923" w:rsidRPr="00553CE6" w:rsidRDefault="00025923" w:rsidP="00501416">
            <w:pPr>
              <w:spacing w:before="60" w:after="60"/>
              <w:jc w:val="center"/>
              <w:rPr>
                <w:rFonts w:ascii="Calibri" w:hAnsi="Calibri"/>
                <w:b/>
                <w:iCs/>
                <w:sz w:val="22"/>
                <w:szCs w:val="20"/>
              </w:rPr>
            </w:pPr>
            <w:r w:rsidRPr="00553CE6">
              <w:rPr>
                <w:rFonts w:ascii="Calibri" w:hAnsi="Calibri"/>
                <w:b/>
                <w:iCs/>
                <w:sz w:val="22"/>
                <w:szCs w:val="20"/>
              </w:rPr>
              <w:t>Disconnected Paved Area:  Vegetated Area Size</w:t>
            </w:r>
          </w:p>
        </w:tc>
        <w:tc>
          <w:tcPr>
            <w:tcW w:w="2016" w:type="dxa"/>
            <w:gridSpan w:val="2"/>
            <w:shd w:val="clear" w:color="auto" w:fill="auto"/>
            <w:vAlign w:val="center"/>
          </w:tcPr>
          <w:p w:rsidR="00025923" w:rsidRPr="00553CE6" w:rsidRDefault="00025923" w:rsidP="00501416">
            <w:pPr>
              <w:spacing w:before="60" w:after="60"/>
              <w:jc w:val="center"/>
              <w:rPr>
                <w:rFonts w:ascii="Calibri" w:hAnsi="Calibri"/>
                <w:b/>
                <w:iCs/>
                <w:sz w:val="22"/>
                <w:szCs w:val="20"/>
              </w:rPr>
            </w:pPr>
            <w:r w:rsidRPr="00553CE6">
              <w:rPr>
                <w:rFonts w:ascii="Calibri" w:hAnsi="Calibri"/>
                <w:b/>
                <w:iCs/>
                <w:sz w:val="22"/>
                <w:szCs w:val="20"/>
              </w:rPr>
              <w:t xml:space="preserve">10’ </w:t>
            </w:r>
            <w:r>
              <w:rPr>
                <w:rFonts w:ascii="Calibri" w:hAnsi="Calibri"/>
                <w:b/>
                <w:iCs/>
                <w:sz w:val="22"/>
                <w:szCs w:val="20"/>
              </w:rPr>
              <w:t>length</w:t>
            </w:r>
          </w:p>
        </w:tc>
        <w:tc>
          <w:tcPr>
            <w:tcW w:w="2016" w:type="dxa"/>
            <w:gridSpan w:val="2"/>
            <w:shd w:val="clear" w:color="auto" w:fill="auto"/>
            <w:vAlign w:val="center"/>
          </w:tcPr>
          <w:p w:rsidR="00025923" w:rsidRPr="00553CE6" w:rsidRDefault="00025923" w:rsidP="00501416">
            <w:pPr>
              <w:spacing w:before="60" w:after="60"/>
              <w:jc w:val="center"/>
              <w:rPr>
                <w:rFonts w:ascii="Calibri" w:hAnsi="Calibri"/>
                <w:b/>
                <w:iCs/>
                <w:sz w:val="22"/>
                <w:szCs w:val="20"/>
              </w:rPr>
            </w:pPr>
            <w:r w:rsidRPr="00553CE6">
              <w:rPr>
                <w:rFonts w:ascii="Calibri" w:hAnsi="Calibri"/>
                <w:b/>
                <w:iCs/>
                <w:sz w:val="22"/>
                <w:szCs w:val="20"/>
              </w:rPr>
              <w:t xml:space="preserve">15’ </w:t>
            </w:r>
            <w:r>
              <w:rPr>
                <w:rFonts w:ascii="Calibri" w:hAnsi="Calibri"/>
                <w:b/>
                <w:iCs/>
                <w:sz w:val="22"/>
                <w:szCs w:val="20"/>
              </w:rPr>
              <w:t>length</w:t>
            </w:r>
          </w:p>
        </w:tc>
        <w:tc>
          <w:tcPr>
            <w:tcW w:w="2016" w:type="dxa"/>
            <w:shd w:val="clear" w:color="auto" w:fill="auto"/>
            <w:vAlign w:val="center"/>
          </w:tcPr>
          <w:p w:rsidR="00025923" w:rsidRPr="00553CE6" w:rsidRDefault="00025923" w:rsidP="00501416">
            <w:pPr>
              <w:spacing w:before="60" w:after="60"/>
              <w:jc w:val="center"/>
              <w:rPr>
                <w:rFonts w:ascii="Calibri" w:hAnsi="Calibri"/>
                <w:b/>
                <w:iCs/>
                <w:sz w:val="22"/>
                <w:szCs w:val="20"/>
              </w:rPr>
            </w:pPr>
            <w:r w:rsidRPr="00553CE6">
              <w:rPr>
                <w:rFonts w:ascii="Calibri" w:hAnsi="Calibri"/>
                <w:b/>
                <w:iCs/>
                <w:sz w:val="22"/>
                <w:szCs w:val="20"/>
              </w:rPr>
              <w:t xml:space="preserve">15’ </w:t>
            </w:r>
            <w:r>
              <w:rPr>
                <w:rFonts w:ascii="Calibri" w:hAnsi="Calibri"/>
                <w:b/>
                <w:iCs/>
                <w:sz w:val="22"/>
                <w:szCs w:val="20"/>
              </w:rPr>
              <w:t>length</w:t>
            </w:r>
            <w:r w:rsidRPr="00553CE6">
              <w:rPr>
                <w:rFonts w:ascii="Calibri" w:hAnsi="Calibri"/>
                <w:b/>
                <w:iCs/>
                <w:sz w:val="22"/>
                <w:szCs w:val="20"/>
              </w:rPr>
              <w:t xml:space="preserve"> &amp; </w:t>
            </w:r>
            <w:r>
              <w:rPr>
                <w:rFonts w:ascii="Calibri" w:hAnsi="Calibri"/>
                <w:b/>
                <w:iCs/>
                <w:sz w:val="22"/>
                <w:szCs w:val="20"/>
              </w:rPr>
              <w:t xml:space="preserve">            </w:t>
            </w:r>
            <w:r w:rsidRPr="00553CE6">
              <w:rPr>
                <w:rFonts w:ascii="Calibri" w:hAnsi="Calibri"/>
                <w:b/>
                <w:iCs/>
                <w:sz w:val="22"/>
                <w:szCs w:val="20"/>
              </w:rPr>
              <w:t>BUA &lt; 24%</w:t>
            </w:r>
          </w:p>
        </w:tc>
      </w:tr>
      <w:tr w:rsidR="00025923" w:rsidRPr="00DB26F2" w:rsidTr="00501416">
        <w:tc>
          <w:tcPr>
            <w:tcW w:w="2700" w:type="dxa"/>
            <w:shd w:val="clear" w:color="auto" w:fill="auto"/>
          </w:tcPr>
          <w:p w:rsidR="00025923" w:rsidRPr="00553CE6" w:rsidRDefault="00025923" w:rsidP="00501416">
            <w:pPr>
              <w:spacing w:before="60" w:after="60"/>
              <w:jc w:val="center"/>
              <w:rPr>
                <w:rFonts w:ascii="Calibri" w:hAnsi="Calibri"/>
                <w:b/>
                <w:iCs/>
                <w:sz w:val="22"/>
                <w:szCs w:val="20"/>
              </w:rPr>
            </w:pPr>
            <w:r w:rsidRPr="00553CE6">
              <w:rPr>
                <w:rFonts w:ascii="Calibri" w:hAnsi="Calibri"/>
                <w:b/>
                <w:iCs/>
                <w:sz w:val="22"/>
                <w:szCs w:val="20"/>
              </w:rPr>
              <w:t>Hydrologic soil group</w:t>
            </w:r>
          </w:p>
        </w:tc>
        <w:tc>
          <w:tcPr>
            <w:tcW w:w="1008" w:type="dxa"/>
            <w:shd w:val="clear" w:color="auto" w:fill="auto"/>
          </w:tcPr>
          <w:p w:rsidR="00025923" w:rsidRPr="00553CE6" w:rsidRDefault="00025923" w:rsidP="00501416">
            <w:pPr>
              <w:spacing w:before="60" w:after="60"/>
              <w:jc w:val="center"/>
              <w:rPr>
                <w:rFonts w:ascii="Calibri" w:hAnsi="Calibri"/>
                <w:iCs/>
                <w:sz w:val="22"/>
                <w:szCs w:val="20"/>
              </w:rPr>
            </w:pPr>
            <w:r w:rsidRPr="00553CE6">
              <w:rPr>
                <w:rFonts w:ascii="Calibri" w:hAnsi="Calibri"/>
                <w:iCs/>
                <w:sz w:val="22"/>
                <w:szCs w:val="20"/>
              </w:rPr>
              <w:t>A/B</w:t>
            </w:r>
          </w:p>
        </w:tc>
        <w:tc>
          <w:tcPr>
            <w:tcW w:w="1008" w:type="dxa"/>
            <w:shd w:val="clear" w:color="auto" w:fill="auto"/>
          </w:tcPr>
          <w:p w:rsidR="00025923" w:rsidRPr="00553CE6" w:rsidRDefault="00025923" w:rsidP="00501416">
            <w:pPr>
              <w:spacing w:before="60" w:after="60"/>
              <w:jc w:val="center"/>
              <w:rPr>
                <w:rFonts w:ascii="Calibri" w:hAnsi="Calibri"/>
                <w:iCs/>
                <w:sz w:val="22"/>
                <w:szCs w:val="20"/>
              </w:rPr>
            </w:pPr>
            <w:r w:rsidRPr="00553CE6">
              <w:rPr>
                <w:rFonts w:ascii="Calibri" w:hAnsi="Calibri"/>
                <w:iCs/>
                <w:sz w:val="22"/>
                <w:szCs w:val="20"/>
              </w:rPr>
              <w:t>C/D</w:t>
            </w:r>
          </w:p>
        </w:tc>
        <w:tc>
          <w:tcPr>
            <w:tcW w:w="1008" w:type="dxa"/>
            <w:shd w:val="clear" w:color="auto" w:fill="auto"/>
          </w:tcPr>
          <w:p w:rsidR="00025923" w:rsidRPr="00553CE6" w:rsidRDefault="00025923" w:rsidP="00501416">
            <w:pPr>
              <w:spacing w:before="60" w:after="60"/>
              <w:jc w:val="center"/>
              <w:rPr>
                <w:rFonts w:ascii="Calibri" w:hAnsi="Calibri"/>
                <w:iCs/>
                <w:sz w:val="22"/>
                <w:szCs w:val="20"/>
              </w:rPr>
            </w:pPr>
            <w:r w:rsidRPr="00553CE6">
              <w:rPr>
                <w:rFonts w:ascii="Calibri" w:hAnsi="Calibri"/>
                <w:iCs/>
                <w:sz w:val="22"/>
                <w:szCs w:val="20"/>
              </w:rPr>
              <w:t>A/B</w:t>
            </w:r>
          </w:p>
        </w:tc>
        <w:tc>
          <w:tcPr>
            <w:tcW w:w="1008" w:type="dxa"/>
            <w:shd w:val="clear" w:color="auto" w:fill="auto"/>
          </w:tcPr>
          <w:p w:rsidR="00025923" w:rsidRPr="00553CE6" w:rsidRDefault="00025923" w:rsidP="00501416">
            <w:pPr>
              <w:spacing w:before="60" w:after="60"/>
              <w:jc w:val="center"/>
              <w:rPr>
                <w:rFonts w:ascii="Calibri" w:hAnsi="Calibri"/>
                <w:iCs/>
                <w:sz w:val="22"/>
                <w:szCs w:val="20"/>
              </w:rPr>
            </w:pPr>
            <w:r w:rsidRPr="00553CE6">
              <w:rPr>
                <w:rFonts w:ascii="Calibri" w:hAnsi="Calibri"/>
                <w:iCs/>
                <w:sz w:val="22"/>
                <w:szCs w:val="20"/>
              </w:rPr>
              <w:t>C/D</w:t>
            </w:r>
          </w:p>
        </w:tc>
        <w:tc>
          <w:tcPr>
            <w:tcW w:w="2016" w:type="dxa"/>
            <w:shd w:val="clear" w:color="auto" w:fill="auto"/>
          </w:tcPr>
          <w:p w:rsidR="00025923" w:rsidRPr="00553CE6" w:rsidRDefault="00025923" w:rsidP="00501416">
            <w:pPr>
              <w:spacing w:before="60" w:after="60"/>
              <w:jc w:val="center"/>
              <w:rPr>
                <w:rFonts w:ascii="Calibri" w:hAnsi="Calibri"/>
                <w:iCs/>
                <w:sz w:val="22"/>
                <w:szCs w:val="20"/>
              </w:rPr>
            </w:pPr>
            <w:r w:rsidRPr="00553CE6">
              <w:rPr>
                <w:rFonts w:ascii="Calibri" w:hAnsi="Calibri"/>
                <w:iCs/>
                <w:sz w:val="22"/>
                <w:szCs w:val="20"/>
              </w:rPr>
              <w:t>A/B only</w:t>
            </w:r>
          </w:p>
        </w:tc>
      </w:tr>
      <w:tr w:rsidR="00025923" w:rsidRPr="00DB26F2" w:rsidTr="00501416">
        <w:tc>
          <w:tcPr>
            <w:tcW w:w="2700" w:type="dxa"/>
            <w:shd w:val="clear" w:color="auto" w:fill="auto"/>
          </w:tcPr>
          <w:p w:rsidR="00025923" w:rsidRPr="00553CE6" w:rsidRDefault="00025923" w:rsidP="00501416">
            <w:pPr>
              <w:spacing w:before="60" w:after="60"/>
              <w:jc w:val="center"/>
              <w:rPr>
                <w:rFonts w:ascii="Calibri" w:hAnsi="Calibri"/>
                <w:b/>
                <w:iCs/>
                <w:sz w:val="22"/>
                <w:szCs w:val="20"/>
              </w:rPr>
            </w:pPr>
            <w:r w:rsidRPr="00553CE6">
              <w:rPr>
                <w:rFonts w:ascii="Calibri" w:hAnsi="Calibri"/>
                <w:b/>
                <w:iCs/>
                <w:sz w:val="22"/>
                <w:szCs w:val="20"/>
              </w:rPr>
              <w:t>Runoff reduction credit</w:t>
            </w:r>
          </w:p>
        </w:tc>
        <w:tc>
          <w:tcPr>
            <w:tcW w:w="1008" w:type="dxa"/>
            <w:shd w:val="clear" w:color="auto" w:fill="auto"/>
          </w:tcPr>
          <w:p w:rsidR="00025923" w:rsidRPr="00553CE6" w:rsidRDefault="00025923" w:rsidP="00501416">
            <w:pPr>
              <w:spacing w:before="60" w:after="60"/>
              <w:jc w:val="center"/>
              <w:rPr>
                <w:rFonts w:ascii="Calibri" w:hAnsi="Calibri"/>
                <w:iCs/>
                <w:sz w:val="22"/>
                <w:szCs w:val="20"/>
              </w:rPr>
            </w:pPr>
            <w:r w:rsidRPr="00553CE6">
              <w:rPr>
                <w:rFonts w:ascii="Calibri" w:hAnsi="Calibri"/>
                <w:iCs/>
                <w:sz w:val="22"/>
                <w:szCs w:val="20"/>
              </w:rPr>
              <w:t>45%</w:t>
            </w:r>
          </w:p>
        </w:tc>
        <w:tc>
          <w:tcPr>
            <w:tcW w:w="1008" w:type="dxa"/>
            <w:shd w:val="clear" w:color="auto" w:fill="auto"/>
          </w:tcPr>
          <w:p w:rsidR="00025923" w:rsidRPr="00553CE6" w:rsidRDefault="00025923" w:rsidP="00501416">
            <w:pPr>
              <w:spacing w:before="60" w:after="60"/>
              <w:jc w:val="center"/>
              <w:rPr>
                <w:rFonts w:ascii="Calibri" w:hAnsi="Calibri"/>
                <w:iCs/>
                <w:sz w:val="22"/>
                <w:szCs w:val="20"/>
              </w:rPr>
            </w:pPr>
            <w:r w:rsidRPr="00553CE6">
              <w:rPr>
                <w:rFonts w:ascii="Calibri" w:hAnsi="Calibri"/>
                <w:iCs/>
                <w:sz w:val="22"/>
                <w:szCs w:val="20"/>
              </w:rPr>
              <w:t>30%</w:t>
            </w:r>
          </w:p>
        </w:tc>
        <w:tc>
          <w:tcPr>
            <w:tcW w:w="1008" w:type="dxa"/>
            <w:shd w:val="clear" w:color="auto" w:fill="auto"/>
          </w:tcPr>
          <w:p w:rsidR="00025923" w:rsidRPr="00553CE6" w:rsidRDefault="00025923" w:rsidP="00501416">
            <w:pPr>
              <w:spacing w:before="60" w:after="60"/>
              <w:jc w:val="center"/>
              <w:rPr>
                <w:rFonts w:ascii="Calibri" w:hAnsi="Calibri"/>
                <w:iCs/>
                <w:sz w:val="22"/>
                <w:szCs w:val="20"/>
              </w:rPr>
            </w:pPr>
            <w:r w:rsidRPr="00553CE6">
              <w:rPr>
                <w:rFonts w:ascii="Calibri" w:hAnsi="Calibri"/>
                <w:iCs/>
                <w:sz w:val="22"/>
                <w:szCs w:val="20"/>
              </w:rPr>
              <w:t>65%</w:t>
            </w:r>
          </w:p>
        </w:tc>
        <w:tc>
          <w:tcPr>
            <w:tcW w:w="1008" w:type="dxa"/>
            <w:shd w:val="clear" w:color="auto" w:fill="auto"/>
          </w:tcPr>
          <w:p w:rsidR="00025923" w:rsidRPr="00553CE6" w:rsidRDefault="00025923" w:rsidP="00501416">
            <w:pPr>
              <w:spacing w:before="60" w:after="60"/>
              <w:jc w:val="center"/>
              <w:rPr>
                <w:rFonts w:ascii="Calibri" w:hAnsi="Calibri"/>
                <w:iCs/>
                <w:sz w:val="22"/>
                <w:szCs w:val="20"/>
              </w:rPr>
            </w:pPr>
            <w:r w:rsidRPr="00553CE6">
              <w:rPr>
                <w:rFonts w:ascii="Calibri" w:hAnsi="Calibri"/>
                <w:iCs/>
                <w:sz w:val="22"/>
                <w:szCs w:val="20"/>
              </w:rPr>
              <w:t>50%</w:t>
            </w:r>
          </w:p>
        </w:tc>
        <w:tc>
          <w:tcPr>
            <w:tcW w:w="2016" w:type="dxa"/>
            <w:shd w:val="clear" w:color="auto" w:fill="auto"/>
          </w:tcPr>
          <w:p w:rsidR="00025923" w:rsidRPr="00553CE6" w:rsidRDefault="00025923" w:rsidP="00501416">
            <w:pPr>
              <w:spacing w:before="60" w:after="60"/>
              <w:jc w:val="center"/>
              <w:rPr>
                <w:rFonts w:ascii="Calibri" w:hAnsi="Calibri"/>
                <w:iCs/>
                <w:sz w:val="22"/>
                <w:szCs w:val="20"/>
              </w:rPr>
            </w:pPr>
            <w:r w:rsidRPr="00553CE6">
              <w:rPr>
                <w:rFonts w:ascii="Calibri" w:hAnsi="Calibri"/>
                <w:iCs/>
                <w:sz w:val="22"/>
                <w:szCs w:val="20"/>
              </w:rPr>
              <w:t>100%</w:t>
            </w:r>
          </w:p>
        </w:tc>
      </w:tr>
      <w:tr w:rsidR="00025923" w:rsidRPr="00DB26F2" w:rsidTr="00501416">
        <w:tc>
          <w:tcPr>
            <w:tcW w:w="2700" w:type="dxa"/>
            <w:shd w:val="clear" w:color="auto" w:fill="auto"/>
          </w:tcPr>
          <w:p w:rsidR="00025923" w:rsidRPr="00553CE6" w:rsidRDefault="00025923" w:rsidP="00501416">
            <w:pPr>
              <w:spacing w:before="60" w:after="60"/>
              <w:jc w:val="center"/>
              <w:rPr>
                <w:rFonts w:ascii="Calibri" w:hAnsi="Calibri"/>
                <w:b/>
                <w:iCs/>
                <w:sz w:val="22"/>
                <w:szCs w:val="20"/>
              </w:rPr>
            </w:pPr>
            <w:r w:rsidRPr="00553CE6">
              <w:rPr>
                <w:rFonts w:ascii="Calibri" w:hAnsi="Calibri"/>
                <w:b/>
                <w:iCs/>
                <w:sz w:val="22"/>
                <w:szCs w:val="20"/>
              </w:rPr>
              <w:t>TSS reduction credit</w:t>
            </w:r>
          </w:p>
        </w:tc>
        <w:tc>
          <w:tcPr>
            <w:tcW w:w="1008" w:type="dxa"/>
            <w:shd w:val="clear" w:color="auto" w:fill="auto"/>
          </w:tcPr>
          <w:p w:rsidR="00025923" w:rsidRPr="00553CE6" w:rsidRDefault="00025923" w:rsidP="00501416">
            <w:pPr>
              <w:spacing w:before="60" w:after="60"/>
              <w:jc w:val="center"/>
              <w:rPr>
                <w:rFonts w:ascii="Calibri" w:hAnsi="Calibri"/>
                <w:iCs/>
                <w:sz w:val="22"/>
                <w:szCs w:val="20"/>
              </w:rPr>
            </w:pPr>
            <w:r w:rsidRPr="00553CE6">
              <w:rPr>
                <w:rFonts w:ascii="Calibri" w:hAnsi="Calibri"/>
                <w:iCs/>
                <w:sz w:val="22"/>
                <w:szCs w:val="20"/>
              </w:rPr>
              <w:t>45%</w:t>
            </w:r>
          </w:p>
        </w:tc>
        <w:tc>
          <w:tcPr>
            <w:tcW w:w="1008" w:type="dxa"/>
            <w:shd w:val="clear" w:color="auto" w:fill="auto"/>
          </w:tcPr>
          <w:p w:rsidR="00025923" w:rsidRPr="00553CE6" w:rsidRDefault="00025923" w:rsidP="00501416">
            <w:pPr>
              <w:spacing w:before="60" w:after="60"/>
              <w:jc w:val="center"/>
              <w:rPr>
                <w:rFonts w:ascii="Calibri" w:hAnsi="Calibri"/>
                <w:iCs/>
                <w:sz w:val="22"/>
                <w:szCs w:val="20"/>
              </w:rPr>
            </w:pPr>
            <w:r w:rsidRPr="00553CE6">
              <w:rPr>
                <w:rFonts w:ascii="Calibri" w:hAnsi="Calibri"/>
                <w:iCs/>
                <w:sz w:val="22"/>
                <w:szCs w:val="20"/>
              </w:rPr>
              <w:t>30%</w:t>
            </w:r>
          </w:p>
        </w:tc>
        <w:tc>
          <w:tcPr>
            <w:tcW w:w="1008" w:type="dxa"/>
            <w:shd w:val="clear" w:color="auto" w:fill="auto"/>
          </w:tcPr>
          <w:p w:rsidR="00025923" w:rsidRPr="00553CE6" w:rsidRDefault="00025923" w:rsidP="00501416">
            <w:pPr>
              <w:spacing w:before="60" w:after="60"/>
              <w:jc w:val="center"/>
              <w:rPr>
                <w:rFonts w:ascii="Calibri" w:hAnsi="Calibri"/>
                <w:iCs/>
                <w:sz w:val="22"/>
                <w:szCs w:val="20"/>
              </w:rPr>
            </w:pPr>
            <w:r w:rsidRPr="00553CE6">
              <w:rPr>
                <w:rFonts w:ascii="Calibri" w:hAnsi="Calibri"/>
                <w:iCs/>
                <w:sz w:val="22"/>
                <w:szCs w:val="20"/>
              </w:rPr>
              <w:t>65%</w:t>
            </w:r>
          </w:p>
        </w:tc>
        <w:tc>
          <w:tcPr>
            <w:tcW w:w="1008" w:type="dxa"/>
            <w:shd w:val="clear" w:color="auto" w:fill="auto"/>
          </w:tcPr>
          <w:p w:rsidR="00025923" w:rsidRPr="00553CE6" w:rsidRDefault="00025923" w:rsidP="00501416">
            <w:pPr>
              <w:spacing w:before="60" w:after="60"/>
              <w:jc w:val="center"/>
              <w:rPr>
                <w:rFonts w:ascii="Calibri" w:hAnsi="Calibri"/>
                <w:iCs/>
                <w:sz w:val="22"/>
                <w:szCs w:val="20"/>
              </w:rPr>
            </w:pPr>
            <w:r w:rsidRPr="00553CE6">
              <w:rPr>
                <w:rFonts w:ascii="Calibri" w:hAnsi="Calibri"/>
                <w:iCs/>
                <w:sz w:val="22"/>
                <w:szCs w:val="20"/>
              </w:rPr>
              <w:t>50%</w:t>
            </w:r>
          </w:p>
        </w:tc>
        <w:tc>
          <w:tcPr>
            <w:tcW w:w="2016" w:type="dxa"/>
            <w:shd w:val="clear" w:color="auto" w:fill="auto"/>
          </w:tcPr>
          <w:p w:rsidR="00025923" w:rsidRPr="00553CE6" w:rsidRDefault="00025923" w:rsidP="00501416">
            <w:pPr>
              <w:spacing w:before="60" w:after="60"/>
              <w:jc w:val="center"/>
              <w:rPr>
                <w:rFonts w:ascii="Calibri" w:hAnsi="Calibri"/>
                <w:iCs/>
                <w:sz w:val="22"/>
                <w:szCs w:val="20"/>
              </w:rPr>
            </w:pPr>
            <w:r w:rsidRPr="00553CE6">
              <w:rPr>
                <w:rFonts w:ascii="Calibri" w:hAnsi="Calibri"/>
                <w:iCs/>
                <w:sz w:val="22"/>
                <w:szCs w:val="20"/>
              </w:rPr>
              <w:t>85%</w:t>
            </w:r>
          </w:p>
        </w:tc>
      </w:tr>
      <w:tr w:rsidR="00025923" w:rsidRPr="00DB26F2" w:rsidTr="00501416">
        <w:tc>
          <w:tcPr>
            <w:tcW w:w="2700" w:type="dxa"/>
            <w:shd w:val="clear" w:color="auto" w:fill="auto"/>
          </w:tcPr>
          <w:p w:rsidR="00025923" w:rsidRPr="00553CE6" w:rsidRDefault="00025923" w:rsidP="00501416">
            <w:pPr>
              <w:spacing w:before="60" w:after="60"/>
              <w:jc w:val="center"/>
              <w:rPr>
                <w:rFonts w:ascii="Calibri" w:hAnsi="Calibri"/>
                <w:b/>
                <w:iCs/>
                <w:sz w:val="22"/>
                <w:szCs w:val="20"/>
              </w:rPr>
            </w:pPr>
            <w:r w:rsidRPr="00553CE6">
              <w:rPr>
                <w:rFonts w:ascii="Calibri" w:hAnsi="Calibri"/>
                <w:b/>
                <w:iCs/>
                <w:sz w:val="22"/>
                <w:szCs w:val="20"/>
              </w:rPr>
              <w:t>TN reduction credit</w:t>
            </w:r>
          </w:p>
        </w:tc>
        <w:tc>
          <w:tcPr>
            <w:tcW w:w="1008" w:type="dxa"/>
            <w:shd w:val="clear" w:color="auto" w:fill="auto"/>
          </w:tcPr>
          <w:p w:rsidR="00025923" w:rsidRPr="00553CE6" w:rsidRDefault="00025923" w:rsidP="00501416">
            <w:pPr>
              <w:spacing w:before="60" w:after="60"/>
              <w:jc w:val="center"/>
              <w:rPr>
                <w:rFonts w:ascii="Calibri" w:hAnsi="Calibri"/>
                <w:iCs/>
                <w:sz w:val="22"/>
                <w:szCs w:val="20"/>
              </w:rPr>
            </w:pPr>
            <w:r>
              <w:rPr>
                <w:rFonts w:ascii="Calibri" w:hAnsi="Calibri"/>
                <w:iCs/>
                <w:sz w:val="22"/>
                <w:szCs w:val="20"/>
              </w:rPr>
              <w:t>30</w:t>
            </w:r>
            <w:r w:rsidRPr="00553CE6">
              <w:rPr>
                <w:rFonts w:ascii="Calibri" w:hAnsi="Calibri"/>
                <w:iCs/>
                <w:sz w:val="22"/>
                <w:szCs w:val="20"/>
              </w:rPr>
              <w:t>%</w:t>
            </w:r>
          </w:p>
        </w:tc>
        <w:tc>
          <w:tcPr>
            <w:tcW w:w="1008" w:type="dxa"/>
            <w:shd w:val="clear" w:color="auto" w:fill="auto"/>
          </w:tcPr>
          <w:p w:rsidR="00025923" w:rsidRPr="00553CE6" w:rsidRDefault="00025923" w:rsidP="00501416">
            <w:pPr>
              <w:spacing w:before="60" w:after="60"/>
              <w:jc w:val="center"/>
              <w:rPr>
                <w:rFonts w:ascii="Calibri" w:hAnsi="Calibri"/>
                <w:iCs/>
                <w:sz w:val="22"/>
                <w:szCs w:val="20"/>
              </w:rPr>
            </w:pPr>
            <w:r w:rsidRPr="00553CE6">
              <w:rPr>
                <w:rFonts w:ascii="Calibri" w:hAnsi="Calibri"/>
                <w:iCs/>
                <w:sz w:val="22"/>
                <w:szCs w:val="20"/>
              </w:rPr>
              <w:t>30%</w:t>
            </w:r>
          </w:p>
        </w:tc>
        <w:tc>
          <w:tcPr>
            <w:tcW w:w="1008" w:type="dxa"/>
            <w:shd w:val="clear" w:color="auto" w:fill="auto"/>
          </w:tcPr>
          <w:p w:rsidR="00025923" w:rsidRPr="00553CE6" w:rsidRDefault="00025923" w:rsidP="00501416">
            <w:pPr>
              <w:spacing w:before="60" w:after="60"/>
              <w:jc w:val="center"/>
              <w:rPr>
                <w:rFonts w:ascii="Calibri" w:hAnsi="Calibri"/>
                <w:iCs/>
                <w:sz w:val="22"/>
                <w:szCs w:val="20"/>
              </w:rPr>
            </w:pPr>
            <w:r>
              <w:rPr>
                <w:rFonts w:ascii="Calibri" w:hAnsi="Calibri"/>
                <w:iCs/>
                <w:sz w:val="22"/>
                <w:szCs w:val="20"/>
              </w:rPr>
              <w:t>30</w:t>
            </w:r>
            <w:r w:rsidRPr="00553CE6">
              <w:rPr>
                <w:rFonts w:ascii="Calibri" w:hAnsi="Calibri"/>
                <w:iCs/>
                <w:sz w:val="22"/>
                <w:szCs w:val="20"/>
              </w:rPr>
              <w:t>%</w:t>
            </w:r>
          </w:p>
        </w:tc>
        <w:tc>
          <w:tcPr>
            <w:tcW w:w="1008" w:type="dxa"/>
            <w:shd w:val="clear" w:color="auto" w:fill="auto"/>
          </w:tcPr>
          <w:p w:rsidR="00025923" w:rsidRPr="00553CE6" w:rsidRDefault="00025923" w:rsidP="00501416">
            <w:pPr>
              <w:spacing w:before="60" w:after="60"/>
              <w:jc w:val="center"/>
              <w:rPr>
                <w:rFonts w:ascii="Calibri" w:hAnsi="Calibri"/>
                <w:iCs/>
                <w:sz w:val="22"/>
                <w:szCs w:val="20"/>
              </w:rPr>
            </w:pPr>
            <w:r w:rsidRPr="00553CE6">
              <w:rPr>
                <w:rFonts w:ascii="Calibri" w:hAnsi="Calibri"/>
                <w:iCs/>
                <w:sz w:val="22"/>
                <w:szCs w:val="20"/>
              </w:rPr>
              <w:t>30%</w:t>
            </w:r>
          </w:p>
        </w:tc>
        <w:tc>
          <w:tcPr>
            <w:tcW w:w="2016" w:type="dxa"/>
            <w:shd w:val="clear" w:color="auto" w:fill="auto"/>
          </w:tcPr>
          <w:p w:rsidR="00025923" w:rsidRPr="00553CE6" w:rsidRDefault="00025923" w:rsidP="00501416">
            <w:pPr>
              <w:spacing w:before="60" w:after="60"/>
              <w:jc w:val="center"/>
              <w:rPr>
                <w:rFonts w:ascii="Calibri" w:hAnsi="Calibri"/>
                <w:iCs/>
                <w:sz w:val="22"/>
                <w:szCs w:val="20"/>
              </w:rPr>
            </w:pPr>
            <w:r>
              <w:rPr>
                <w:rFonts w:ascii="Calibri" w:hAnsi="Calibri"/>
                <w:iCs/>
                <w:sz w:val="22"/>
                <w:szCs w:val="20"/>
              </w:rPr>
              <w:t>3</w:t>
            </w:r>
            <w:r w:rsidRPr="00553CE6">
              <w:rPr>
                <w:rFonts w:ascii="Calibri" w:hAnsi="Calibri"/>
                <w:iCs/>
                <w:sz w:val="22"/>
                <w:szCs w:val="20"/>
              </w:rPr>
              <w:t>0%</w:t>
            </w:r>
          </w:p>
        </w:tc>
      </w:tr>
      <w:tr w:rsidR="00025923" w:rsidRPr="00DB26F2" w:rsidTr="00501416">
        <w:tc>
          <w:tcPr>
            <w:tcW w:w="2700" w:type="dxa"/>
            <w:shd w:val="clear" w:color="auto" w:fill="auto"/>
          </w:tcPr>
          <w:p w:rsidR="00025923" w:rsidRPr="00553CE6" w:rsidRDefault="00025923" w:rsidP="00501416">
            <w:pPr>
              <w:spacing w:before="60" w:after="60"/>
              <w:jc w:val="center"/>
              <w:rPr>
                <w:rFonts w:ascii="Calibri" w:hAnsi="Calibri"/>
                <w:b/>
                <w:iCs/>
                <w:sz w:val="22"/>
                <w:szCs w:val="20"/>
              </w:rPr>
            </w:pPr>
            <w:r w:rsidRPr="00553CE6">
              <w:rPr>
                <w:rFonts w:ascii="Calibri" w:hAnsi="Calibri"/>
                <w:b/>
                <w:iCs/>
                <w:sz w:val="22"/>
                <w:szCs w:val="20"/>
              </w:rPr>
              <w:t>TP reduction credit</w:t>
            </w:r>
          </w:p>
        </w:tc>
        <w:tc>
          <w:tcPr>
            <w:tcW w:w="1008" w:type="dxa"/>
            <w:shd w:val="clear" w:color="auto" w:fill="auto"/>
          </w:tcPr>
          <w:p w:rsidR="00025923" w:rsidRPr="00553CE6" w:rsidRDefault="00025923" w:rsidP="00501416">
            <w:pPr>
              <w:spacing w:before="60" w:after="60"/>
              <w:jc w:val="center"/>
              <w:rPr>
                <w:rFonts w:ascii="Calibri" w:hAnsi="Calibri"/>
                <w:iCs/>
                <w:sz w:val="22"/>
                <w:szCs w:val="20"/>
              </w:rPr>
            </w:pPr>
            <w:r>
              <w:rPr>
                <w:rFonts w:ascii="Calibri" w:hAnsi="Calibri"/>
                <w:iCs/>
                <w:sz w:val="22"/>
                <w:szCs w:val="20"/>
              </w:rPr>
              <w:t>3</w:t>
            </w:r>
            <w:r w:rsidRPr="00553CE6">
              <w:rPr>
                <w:rFonts w:ascii="Calibri" w:hAnsi="Calibri"/>
                <w:iCs/>
                <w:sz w:val="22"/>
                <w:szCs w:val="20"/>
              </w:rPr>
              <w:t>5%</w:t>
            </w:r>
          </w:p>
        </w:tc>
        <w:tc>
          <w:tcPr>
            <w:tcW w:w="1008" w:type="dxa"/>
            <w:shd w:val="clear" w:color="auto" w:fill="auto"/>
          </w:tcPr>
          <w:p w:rsidR="00025923" w:rsidRPr="00553CE6" w:rsidRDefault="00025923" w:rsidP="00501416">
            <w:pPr>
              <w:spacing w:before="60" w:after="60"/>
              <w:jc w:val="center"/>
              <w:rPr>
                <w:rFonts w:ascii="Calibri" w:hAnsi="Calibri"/>
                <w:iCs/>
                <w:sz w:val="22"/>
                <w:szCs w:val="20"/>
              </w:rPr>
            </w:pPr>
            <w:r>
              <w:rPr>
                <w:rFonts w:ascii="Calibri" w:hAnsi="Calibri"/>
                <w:iCs/>
                <w:sz w:val="22"/>
                <w:szCs w:val="20"/>
              </w:rPr>
              <w:t>35</w:t>
            </w:r>
            <w:r w:rsidRPr="00553CE6">
              <w:rPr>
                <w:rFonts w:ascii="Calibri" w:hAnsi="Calibri"/>
                <w:iCs/>
                <w:sz w:val="22"/>
                <w:szCs w:val="20"/>
              </w:rPr>
              <w:t>%</w:t>
            </w:r>
          </w:p>
        </w:tc>
        <w:tc>
          <w:tcPr>
            <w:tcW w:w="1008" w:type="dxa"/>
            <w:shd w:val="clear" w:color="auto" w:fill="auto"/>
          </w:tcPr>
          <w:p w:rsidR="00025923" w:rsidRPr="00553CE6" w:rsidRDefault="00025923" w:rsidP="00501416">
            <w:pPr>
              <w:spacing w:before="60" w:after="60"/>
              <w:jc w:val="center"/>
              <w:rPr>
                <w:rFonts w:ascii="Calibri" w:hAnsi="Calibri"/>
                <w:iCs/>
                <w:sz w:val="22"/>
                <w:szCs w:val="20"/>
              </w:rPr>
            </w:pPr>
            <w:r>
              <w:rPr>
                <w:rFonts w:ascii="Calibri" w:hAnsi="Calibri"/>
                <w:iCs/>
                <w:sz w:val="22"/>
                <w:szCs w:val="20"/>
              </w:rPr>
              <w:t>3</w:t>
            </w:r>
            <w:r w:rsidRPr="00553CE6">
              <w:rPr>
                <w:rFonts w:ascii="Calibri" w:hAnsi="Calibri"/>
                <w:iCs/>
                <w:sz w:val="22"/>
                <w:szCs w:val="20"/>
              </w:rPr>
              <w:t>5%</w:t>
            </w:r>
          </w:p>
        </w:tc>
        <w:tc>
          <w:tcPr>
            <w:tcW w:w="1008" w:type="dxa"/>
            <w:shd w:val="clear" w:color="auto" w:fill="auto"/>
          </w:tcPr>
          <w:p w:rsidR="00025923" w:rsidRPr="00553CE6" w:rsidRDefault="00025923" w:rsidP="00501416">
            <w:pPr>
              <w:spacing w:before="60" w:after="60"/>
              <w:jc w:val="center"/>
              <w:rPr>
                <w:rFonts w:ascii="Calibri" w:hAnsi="Calibri"/>
                <w:iCs/>
                <w:sz w:val="22"/>
                <w:szCs w:val="20"/>
              </w:rPr>
            </w:pPr>
            <w:r>
              <w:rPr>
                <w:rFonts w:ascii="Calibri" w:hAnsi="Calibri"/>
                <w:iCs/>
                <w:sz w:val="22"/>
                <w:szCs w:val="20"/>
              </w:rPr>
              <w:t>35</w:t>
            </w:r>
            <w:r w:rsidRPr="00553CE6">
              <w:rPr>
                <w:rFonts w:ascii="Calibri" w:hAnsi="Calibri"/>
                <w:iCs/>
                <w:sz w:val="22"/>
                <w:szCs w:val="20"/>
              </w:rPr>
              <w:t>%</w:t>
            </w:r>
          </w:p>
        </w:tc>
        <w:tc>
          <w:tcPr>
            <w:tcW w:w="2016" w:type="dxa"/>
            <w:shd w:val="clear" w:color="auto" w:fill="auto"/>
          </w:tcPr>
          <w:p w:rsidR="00025923" w:rsidRPr="00553CE6" w:rsidRDefault="00025923" w:rsidP="00501416">
            <w:pPr>
              <w:spacing w:before="60" w:after="60"/>
              <w:jc w:val="center"/>
              <w:rPr>
                <w:rFonts w:ascii="Calibri" w:hAnsi="Calibri"/>
                <w:iCs/>
                <w:sz w:val="22"/>
                <w:szCs w:val="20"/>
              </w:rPr>
            </w:pPr>
            <w:r>
              <w:rPr>
                <w:rFonts w:ascii="Calibri" w:hAnsi="Calibri"/>
                <w:iCs/>
                <w:sz w:val="22"/>
                <w:szCs w:val="20"/>
              </w:rPr>
              <w:t>35</w:t>
            </w:r>
            <w:r w:rsidRPr="00553CE6">
              <w:rPr>
                <w:rFonts w:ascii="Calibri" w:hAnsi="Calibri"/>
                <w:iCs/>
                <w:sz w:val="22"/>
                <w:szCs w:val="20"/>
              </w:rPr>
              <w:t>%</w:t>
            </w:r>
          </w:p>
        </w:tc>
      </w:tr>
    </w:tbl>
    <w:p w:rsidR="00D734A5" w:rsidRPr="00025923" w:rsidRDefault="00D734A5" w:rsidP="00025923">
      <w:pPr>
        <w:pStyle w:val="ListParagraph"/>
        <w:rPr>
          <w:rFonts w:ascii="Bookman Old Style" w:hAnsi="Bookman Old Style"/>
          <w:i/>
        </w:rPr>
      </w:pPr>
    </w:p>
    <w:sectPr w:rsidR="00D734A5" w:rsidRPr="00025923" w:rsidSect="00D734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809D5"/>
    <w:multiLevelType w:val="hybridMultilevel"/>
    <w:tmpl w:val="AF9EC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20"/>
  <w:characterSpacingControl w:val="doNotCompress"/>
  <w:compat/>
  <w:rsids>
    <w:rsidRoot w:val="00D74790"/>
    <w:rsid w:val="00025923"/>
    <w:rsid w:val="00524467"/>
    <w:rsid w:val="007670D8"/>
    <w:rsid w:val="00825BB0"/>
    <w:rsid w:val="00D734A5"/>
    <w:rsid w:val="00D74790"/>
    <w:rsid w:val="00F543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790"/>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74790"/>
    <w:pPr>
      <w:spacing w:after="160"/>
    </w:pPr>
    <w:rPr>
      <w:rFonts w:ascii="Book Antiqua" w:hAnsi="Book Antiqua"/>
      <w:sz w:val="22"/>
      <w:szCs w:val="22"/>
    </w:rPr>
  </w:style>
  <w:style w:type="character" w:customStyle="1" w:styleId="BodyTextChar">
    <w:name w:val="Body Text Char"/>
    <w:basedOn w:val="DefaultParagraphFont"/>
    <w:link w:val="BodyText"/>
    <w:rsid w:val="00D74790"/>
    <w:rPr>
      <w:rFonts w:ascii="Book Antiqua" w:eastAsia="Times New Roman" w:hAnsi="Book Antiqua" w:cs="Times New Roman"/>
      <w:lang w:eastAsia="ar-SA"/>
    </w:rPr>
  </w:style>
  <w:style w:type="paragraph" w:styleId="ListParagraph">
    <w:name w:val="List Paragraph"/>
    <w:basedOn w:val="Normal"/>
    <w:uiPriority w:val="34"/>
    <w:qFormat/>
    <w:rsid w:val="00D74790"/>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2014-12-11T15:38:00Z</cp:lastPrinted>
  <dcterms:created xsi:type="dcterms:W3CDTF">2014-12-11T15:28:00Z</dcterms:created>
  <dcterms:modified xsi:type="dcterms:W3CDTF">2014-12-11T16:02:00Z</dcterms:modified>
</cp:coreProperties>
</file>