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B4" w:rsidRPr="00C658B4" w:rsidRDefault="00C658B4" w:rsidP="00C658B4">
      <w:pPr>
        <w:spacing w:before="120"/>
        <w:jc w:val="center"/>
        <w:rPr>
          <w:rFonts w:ascii="Calibri" w:hAnsi="Calibri"/>
          <w:b/>
          <w:sz w:val="28"/>
          <w:szCs w:val="22"/>
        </w:rPr>
      </w:pPr>
      <w:r w:rsidRPr="00C658B4">
        <w:rPr>
          <w:rFonts w:ascii="Calibri" w:hAnsi="Calibri"/>
          <w:b/>
          <w:sz w:val="28"/>
          <w:szCs w:val="22"/>
        </w:rPr>
        <w:t>Potential MDC for Rainwater Harvesting Systems</w:t>
      </w:r>
    </w:p>
    <w:p w:rsidR="00C658B4" w:rsidRPr="00C658B4" w:rsidRDefault="00C658B4" w:rsidP="00C658B4">
      <w:pPr>
        <w:spacing w:after="120"/>
        <w:jc w:val="center"/>
        <w:rPr>
          <w:rFonts w:ascii="Calibri" w:hAnsi="Calibri"/>
          <w:szCs w:val="22"/>
        </w:rPr>
      </w:pPr>
      <w:proofErr w:type="gramStart"/>
      <w:r>
        <w:rPr>
          <w:rFonts w:ascii="Calibri" w:hAnsi="Calibri"/>
          <w:szCs w:val="22"/>
        </w:rPr>
        <w:t>f</w:t>
      </w:r>
      <w:r w:rsidRPr="00C658B4">
        <w:rPr>
          <w:rFonts w:ascii="Calibri" w:hAnsi="Calibri"/>
          <w:szCs w:val="22"/>
        </w:rPr>
        <w:t>or</w:t>
      </w:r>
      <w:proofErr w:type="gramEnd"/>
      <w:r w:rsidRPr="00C658B4">
        <w:rPr>
          <w:rFonts w:ascii="Calibri" w:hAnsi="Calibri"/>
          <w:szCs w:val="22"/>
        </w:rPr>
        <w:t xml:space="preserve"> MDC Team discussion on January 12, 2015</w:t>
      </w:r>
    </w:p>
    <w:p w:rsidR="00C658B4" w:rsidRPr="00C658B4" w:rsidRDefault="00C658B4" w:rsidP="00C658B4">
      <w:pPr>
        <w:spacing w:before="120" w:after="120"/>
        <w:rPr>
          <w:rFonts w:ascii="Calibri" w:hAnsi="Calibri"/>
          <w:szCs w:val="22"/>
        </w:rPr>
      </w:pPr>
    </w:p>
    <w:p w:rsidR="00C658B4" w:rsidRPr="00C658B4" w:rsidRDefault="00C658B4" w:rsidP="00C658B4">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t xml:space="preserve">BUILDING CODE COMPLIANCE.  </w:t>
      </w:r>
      <w:r w:rsidRPr="00C658B4">
        <w:rPr>
          <w:rFonts w:ascii="Calibri" w:hAnsi="Calibri"/>
          <w:sz w:val="24"/>
          <w:szCs w:val="22"/>
        </w:rPr>
        <w:t xml:space="preserve">All RWH systems </w:t>
      </w:r>
      <w:r w:rsidRPr="00C658B4">
        <w:rPr>
          <w:rFonts w:ascii="Calibri" w:hAnsi="Calibri"/>
          <w:sz w:val="24"/>
          <w:szCs w:val="22"/>
          <w:lang w:val="en-US"/>
        </w:rPr>
        <w:t xml:space="preserve">shall </w:t>
      </w:r>
      <w:r w:rsidRPr="00C658B4">
        <w:rPr>
          <w:rFonts w:ascii="Calibri" w:hAnsi="Calibri"/>
          <w:sz w:val="24"/>
          <w:szCs w:val="22"/>
        </w:rPr>
        <w:t>comply with</w:t>
      </w:r>
      <w:r w:rsidRPr="00C658B4">
        <w:rPr>
          <w:rFonts w:ascii="Calibri" w:hAnsi="Calibri"/>
          <w:sz w:val="24"/>
          <w:szCs w:val="22"/>
          <w:lang w:val="en-US"/>
        </w:rPr>
        <w:t xml:space="preserve"> applicable</w:t>
      </w:r>
      <w:r w:rsidRPr="00C658B4">
        <w:rPr>
          <w:rFonts w:ascii="Calibri" w:hAnsi="Calibri"/>
          <w:sz w:val="24"/>
          <w:szCs w:val="22"/>
        </w:rPr>
        <w:t xml:space="preserve"> state</w:t>
      </w:r>
      <w:r w:rsidRPr="00C658B4">
        <w:rPr>
          <w:rFonts w:ascii="Calibri" w:hAnsi="Calibri"/>
          <w:sz w:val="24"/>
          <w:szCs w:val="22"/>
          <w:lang w:val="en-US"/>
        </w:rPr>
        <w:t xml:space="preserve"> and local </w:t>
      </w:r>
      <w:r w:rsidRPr="00C658B4">
        <w:rPr>
          <w:rFonts w:ascii="Calibri" w:hAnsi="Calibri"/>
          <w:sz w:val="24"/>
          <w:szCs w:val="22"/>
        </w:rPr>
        <w:t>regulations and codes, including, but not limited to</w:t>
      </w:r>
      <w:r w:rsidRPr="00C658B4">
        <w:rPr>
          <w:rFonts w:ascii="Calibri" w:hAnsi="Calibri"/>
          <w:sz w:val="24"/>
          <w:szCs w:val="22"/>
          <w:lang w:val="en-US"/>
        </w:rPr>
        <w:t xml:space="preserve"> the</w:t>
      </w:r>
      <w:r w:rsidRPr="00C658B4">
        <w:rPr>
          <w:rFonts w:ascii="Calibri" w:hAnsi="Calibri"/>
          <w:sz w:val="24"/>
          <w:szCs w:val="22"/>
        </w:rPr>
        <w:t xml:space="preserve"> North Carolina </w:t>
      </w:r>
      <w:r w:rsidRPr="00C658B4">
        <w:rPr>
          <w:rFonts w:ascii="Calibri" w:hAnsi="Calibri"/>
          <w:sz w:val="24"/>
          <w:szCs w:val="22"/>
          <w:lang w:val="en-US"/>
        </w:rPr>
        <w:t>Building Code. For systems with a potable water back-up, cross-connection control requirements will apply.</w:t>
      </w:r>
    </w:p>
    <w:p w:rsidR="00C658B4" w:rsidRPr="00C658B4" w:rsidRDefault="00384D4E" w:rsidP="00C658B4">
      <w:pPr>
        <w:pStyle w:val="ListParagraph"/>
        <w:numPr>
          <w:ilvl w:val="0"/>
          <w:numId w:val="2"/>
        </w:numPr>
        <w:tabs>
          <w:tab w:val="left" w:pos="603"/>
        </w:tabs>
        <w:spacing w:before="120" w:after="120"/>
        <w:rPr>
          <w:rFonts w:ascii="Calibri" w:hAnsi="Calibri"/>
          <w:szCs w:val="22"/>
        </w:rPr>
      </w:pPr>
      <w:r>
        <w:rPr>
          <w:rFonts w:ascii="Calibri" w:hAnsi="Calibri"/>
          <w:szCs w:val="22"/>
        </w:rPr>
        <w:t xml:space="preserve">MINIMUM CAPTURE VOLUME.  </w:t>
      </w:r>
      <w:r w:rsidR="00C658B4" w:rsidRPr="00C658B4">
        <w:rPr>
          <w:rFonts w:ascii="Calibri" w:hAnsi="Calibri"/>
          <w:szCs w:val="22"/>
        </w:rPr>
        <w:t xml:space="preserve">The cistern shall be sized to capture a minimum of 86% of the total </w:t>
      </w:r>
      <w:r>
        <w:rPr>
          <w:rFonts w:ascii="Calibri" w:hAnsi="Calibri"/>
          <w:szCs w:val="22"/>
        </w:rPr>
        <w:t xml:space="preserve">annual </w:t>
      </w:r>
      <w:r w:rsidR="00C658B4" w:rsidRPr="00C658B4">
        <w:rPr>
          <w:rFonts w:ascii="Calibri" w:hAnsi="Calibri"/>
          <w:szCs w:val="22"/>
        </w:rPr>
        <w:t xml:space="preserve">runoff </w:t>
      </w:r>
      <w:r>
        <w:rPr>
          <w:rFonts w:ascii="Calibri" w:hAnsi="Calibri"/>
          <w:szCs w:val="22"/>
        </w:rPr>
        <w:t xml:space="preserve">volume </w:t>
      </w:r>
      <w:r w:rsidR="00C658B4" w:rsidRPr="00C658B4">
        <w:rPr>
          <w:rFonts w:ascii="Calibri" w:hAnsi="Calibri"/>
          <w:szCs w:val="22"/>
        </w:rPr>
        <w:t xml:space="preserve">as demonstrated through water balance calculations.   The captured runoff in the cistern shall be either (a) used to meet a non-potable water demand or (b) discharged via a passive drawdown device to a vegetated infiltration area meeting the requirement of this chapter (if allowed) or to a stormwater BMP sized per another chapter of this manual. </w:t>
      </w:r>
    </w:p>
    <w:p w:rsidR="00C658B4" w:rsidRPr="00C658B4" w:rsidRDefault="00384D4E" w:rsidP="00C658B4">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t xml:space="preserve">NON-POTABLE WATER DEMAND.  </w:t>
      </w:r>
      <w:r w:rsidR="00C658B4" w:rsidRPr="00C658B4">
        <w:rPr>
          <w:rFonts w:ascii="Calibri" w:hAnsi="Calibri"/>
          <w:sz w:val="24"/>
          <w:szCs w:val="22"/>
        </w:rPr>
        <w:t>The n</w:t>
      </w:r>
      <w:r w:rsidR="00C658B4" w:rsidRPr="00C658B4">
        <w:rPr>
          <w:rFonts w:ascii="Calibri" w:hAnsi="Calibri"/>
          <w:sz w:val="24"/>
          <w:szCs w:val="22"/>
          <w:lang w:val="en-US"/>
        </w:rPr>
        <w:t xml:space="preserve">on-potable water </w:t>
      </w:r>
      <w:r w:rsidR="00C658B4" w:rsidRPr="00C658B4">
        <w:rPr>
          <w:rFonts w:ascii="Calibri" w:hAnsi="Calibri"/>
          <w:sz w:val="24"/>
          <w:szCs w:val="22"/>
        </w:rPr>
        <w:t xml:space="preserve">demand must be quantified and the calculations shall be included in the design documentation.  </w:t>
      </w:r>
    </w:p>
    <w:p w:rsidR="00C658B4" w:rsidRPr="00C658B4" w:rsidRDefault="00384D4E" w:rsidP="00C658B4">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t xml:space="preserve">WATER BALANCE CALCULATIONS.  </w:t>
      </w:r>
      <w:r w:rsidR="00C658B4" w:rsidRPr="00C658B4">
        <w:rPr>
          <w:rFonts w:ascii="Calibri" w:hAnsi="Calibri"/>
          <w:sz w:val="24"/>
          <w:szCs w:val="22"/>
          <w:lang w:val="en-US"/>
        </w:rPr>
        <w:t>The water balance shall be calculated using the NCSU Rainwater Harvester model or another continuous-simulation hydrologic model that calculates the water balance on a daily or more frequent time-step using a minimum of 5 representative years of actual rainfall records.  The model shall account for withdrawals from the cistern for usage and for the active or passive drawdown as well as additions to the cistern by rainfall and runoff and by a make-up water source (if applicable).</w:t>
      </w:r>
    </w:p>
    <w:p w:rsidR="00C658B4" w:rsidRPr="00C658B4" w:rsidRDefault="00384D4E" w:rsidP="00C658B4">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t xml:space="preserve">BACK-UP WATER SUPPLY.  </w:t>
      </w:r>
      <w:r w:rsidR="00C658B4" w:rsidRPr="00C658B4">
        <w:rPr>
          <w:rFonts w:ascii="Calibri" w:hAnsi="Calibri"/>
          <w:sz w:val="24"/>
          <w:szCs w:val="22"/>
        </w:rPr>
        <w:t>If a back-up water supply discharges into the cistern, this water volume shall be accounted for in the design.</w:t>
      </w:r>
    </w:p>
    <w:p w:rsidR="00C658B4" w:rsidRPr="00C658B4" w:rsidRDefault="00384D4E" w:rsidP="00C658B4">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t xml:space="preserve">DISTRIBUTION SYSTEM.  </w:t>
      </w:r>
      <w:r w:rsidR="00C658B4" w:rsidRPr="00C658B4">
        <w:rPr>
          <w:rFonts w:ascii="Calibri" w:hAnsi="Calibri"/>
          <w:sz w:val="24"/>
          <w:szCs w:val="22"/>
          <w:lang w:val="en-US"/>
        </w:rPr>
        <w:t xml:space="preserve">RWH systems shall include a functioning distribution system prior to be being considered complete.  The design of this system shall include </w:t>
      </w:r>
      <w:r w:rsidR="00C658B4" w:rsidRPr="00C658B4">
        <w:rPr>
          <w:rFonts w:ascii="Calibri" w:hAnsi="Calibri"/>
          <w:sz w:val="24"/>
          <w:szCs w:val="22"/>
          <w:lang w:val="en-US"/>
        </w:rPr>
        <w:t>testing protocols</w:t>
      </w:r>
      <w:r w:rsidR="00C658B4" w:rsidRPr="00C658B4">
        <w:rPr>
          <w:rFonts w:ascii="Calibri" w:hAnsi="Calibri"/>
          <w:sz w:val="24"/>
          <w:szCs w:val="22"/>
          <w:lang w:val="en-US"/>
        </w:rPr>
        <w:t xml:space="preserve"> which shall be executed in the prior to acceptance of the system at construction completion.</w:t>
      </w:r>
    </w:p>
    <w:p w:rsidR="00C658B4" w:rsidRPr="00C658B4" w:rsidRDefault="00384D4E" w:rsidP="00C658B4">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t xml:space="preserve">PRE-TREATMENT.  </w:t>
      </w:r>
      <w:r w:rsidR="00C658B4" w:rsidRPr="00C658B4">
        <w:rPr>
          <w:rFonts w:ascii="Calibri" w:hAnsi="Calibri"/>
          <w:sz w:val="24"/>
          <w:szCs w:val="22"/>
          <w:lang w:val="en-US"/>
        </w:rPr>
        <w:t xml:space="preserve">A pre-treatment device </w:t>
      </w:r>
      <w:r w:rsidR="00C658B4" w:rsidRPr="00C658B4">
        <w:rPr>
          <w:rFonts w:ascii="Calibri" w:hAnsi="Calibri"/>
          <w:sz w:val="24"/>
          <w:szCs w:val="22"/>
        </w:rPr>
        <w:t>shall be included</w:t>
      </w:r>
      <w:r w:rsidR="00C658B4" w:rsidRPr="00C658B4">
        <w:rPr>
          <w:rFonts w:ascii="Calibri" w:hAnsi="Calibri"/>
          <w:sz w:val="24"/>
          <w:szCs w:val="22"/>
          <w:lang w:val="en-US"/>
        </w:rPr>
        <w:t xml:space="preserve"> upstream of the cistern</w:t>
      </w:r>
      <w:r w:rsidR="00C658B4" w:rsidRPr="00C658B4">
        <w:rPr>
          <w:rFonts w:ascii="Calibri" w:hAnsi="Calibri"/>
          <w:sz w:val="24"/>
          <w:szCs w:val="22"/>
        </w:rPr>
        <w:t xml:space="preserve"> to minimize gross and course solids collection in the tank.</w:t>
      </w:r>
    </w:p>
    <w:p w:rsidR="00C658B4" w:rsidRPr="00C658B4" w:rsidRDefault="00384D4E" w:rsidP="00C658B4">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t xml:space="preserve">PROTECTION FROM LIGHT.  </w:t>
      </w:r>
      <w:r w:rsidR="00C658B4" w:rsidRPr="00C658B4">
        <w:rPr>
          <w:rFonts w:ascii="Calibri" w:hAnsi="Calibri"/>
          <w:sz w:val="24"/>
          <w:szCs w:val="22"/>
          <w:lang w:val="en-US"/>
        </w:rPr>
        <w:t>Cisterns shall be constructed to prevent light from entering the cistern.</w:t>
      </w:r>
    </w:p>
    <w:p w:rsidR="00C658B4" w:rsidRPr="00C658B4" w:rsidRDefault="00384D4E" w:rsidP="00C658B4">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t xml:space="preserve">SAFETY.  </w:t>
      </w:r>
      <w:r w:rsidR="00C658B4" w:rsidRPr="00C658B4">
        <w:rPr>
          <w:rFonts w:ascii="Calibri" w:hAnsi="Calibri"/>
          <w:sz w:val="24"/>
          <w:szCs w:val="22"/>
          <w:lang w:val="en-US"/>
        </w:rPr>
        <w:t xml:space="preserve">Safety measures appropriate to the cistern type shall be installed to address </w:t>
      </w:r>
      <w:proofErr w:type="gramStart"/>
      <w:r w:rsidR="00C658B4" w:rsidRPr="00C658B4">
        <w:rPr>
          <w:rFonts w:ascii="Calibri" w:hAnsi="Calibri"/>
          <w:sz w:val="24"/>
          <w:szCs w:val="22"/>
          <w:lang w:val="en-US"/>
        </w:rPr>
        <w:t>issues</w:t>
      </w:r>
      <w:proofErr w:type="gramEnd"/>
      <w:r w:rsidR="00C658B4" w:rsidRPr="00C658B4">
        <w:rPr>
          <w:rFonts w:ascii="Calibri" w:hAnsi="Calibri"/>
          <w:sz w:val="24"/>
          <w:szCs w:val="22"/>
          <w:lang w:val="en-US"/>
        </w:rPr>
        <w:t xml:space="preserve"> such as fall protection and confined spaces</w:t>
      </w:r>
      <w:r w:rsidR="00C658B4" w:rsidRPr="00C658B4">
        <w:rPr>
          <w:rFonts w:ascii="Calibri" w:hAnsi="Calibri"/>
          <w:sz w:val="24"/>
          <w:szCs w:val="22"/>
        </w:rPr>
        <w:t xml:space="preserve">. </w:t>
      </w:r>
      <w:r w:rsidR="00C658B4" w:rsidRPr="00C658B4">
        <w:rPr>
          <w:rFonts w:ascii="Calibri" w:hAnsi="Calibri"/>
          <w:sz w:val="24"/>
          <w:szCs w:val="22"/>
          <w:lang w:val="en-US"/>
        </w:rPr>
        <w:t xml:space="preserve"> Safety measures shall comply with federal and state occupational safety regulations.  </w:t>
      </w:r>
    </w:p>
    <w:p w:rsidR="00C658B4" w:rsidRPr="00C658B4" w:rsidRDefault="00C658B4" w:rsidP="00C658B4">
      <w:pPr>
        <w:pStyle w:val="BodyText"/>
        <w:numPr>
          <w:ilvl w:val="0"/>
          <w:numId w:val="2"/>
        </w:numPr>
        <w:tabs>
          <w:tab w:val="left" w:pos="603"/>
        </w:tabs>
        <w:spacing w:before="120" w:after="120"/>
        <w:rPr>
          <w:rFonts w:ascii="Calibri" w:hAnsi="Calibri"/>
          <w:sz w:val="24"/>
          <w:szCs w:val="22"/>
          <w:lang w:val="en-US"/>
        </w:rPr>
      </w:pPr>
      <w:r w:rsidRPr="00C658B4">
        <w:rPr>
          <w:rFonts w:ascii="Calibri" w:hAnsi="Calibri"/>
          <w:sz w:val="24"/>
          <w:szCs w:val="22"/>
          <w:lang w:val="en-US"/>
        </w:rPr>
        <w:t>All manufacturer requirements, product standards, and industry guidelines shall be followed to ensure lasting effectiveness (in addition to meeting the requirements of this chapter).</w:t>
      </w:r>
    </w:p>
    <w:p w:rsidR="00C658B4" w:rsidRPr="00384D4E" w:rsidRDefault="00384D4E" w:rsidP="00384D4E">
      <w:pPr>
        <w:pStyle w:val="BodyText"/>
        <w:numPr>
          <w:ilvl w:val="0"/>
          <w:numId w:val="2"/>
        </w:numPr>
        <w:tabs>
          <w:tab w:val="left" w:pos="603"/>
        </w:tabs>
        <w:spacing w:before="120" w:after="120"/>
        <w:rPr>
          <w:rFonts w:ascii="Calibri" w:hAnsi="Calibri"/>
          <w:sz w:val="24"/>
          <w:szCs w:val="22"/>
          <w:lang w:val="en-US"/>
        </w:rPr>
      </w:pPr>
      <w:r>
        <w:rPr>
          <w:rFonts w:ascii="Calibri" w:hAnsi="Calibri"/>
          <w:sz w:val="24"/>
          <w:szCs w:val="22"/>
          <w:lang w:val="en-US"/>
        </w:rPr>
        <w:lastRenderedPageBreak/>
        <w:t xml:space="preserve">SIGNAGE REQUIREMENTS.  </w:t>
      </w:r>
      <w:r w:rsidR="00C658B4" w:rsidRPr="00C658B4">
        <w:rPr>
          <w:rFonts w:ascii="Calibri" w:hAnsi="Calibri"/>
          <w:sz w:val="24"/>
          <w:szCs w:val="22"/>
          <w:lang w:val="en-US"/>
        </w:rPr>
        <w:t xml:space="preserve">All harvested rainwater outlets (e.g. spigots, hose bibs), storage facilities, and appurtenances shall be labeled as “Non-Potable Water” to warn the public and others that the water is not intended for drinking. </w:t>
      </w:r>
      <w:r w:rsidR="00C658B4" w:rsidRPr="00C658B4">
        <w:rPr>
          <w:rFonts w:ascii="Calibri" w:hAnsi="Calibri"/>
          <w:sz w:val="24"/>
          <w:szCs w:val="22"/>
        </w:rPr>
        <w:t xml:space="preserve"> </w:t>
      </w:r>
      <w:r w:rsidRPr="00C658B4">
        <w:rPr>
          <w:rFonts w:ascii="Calibri" w:hAnsi="Calibri"/>
          <w:sz w:val="24"/>
          <w:szCs w:val="22"/>
          <w:lang w:val="en-US"/>
        </w:rPr>
        <w:t>P</w:t>
      </w:r>
      <w:proofErr w:type="spellStart"/>
      <w:r w:rsidRPr="00C658B4">
        <w:rPr>
          <w:rFonts w:ascii="Calibri" w:hAnsi="Calibri"/>
          <w:sz w:val="24"/>
          <w:szCs w:val="22"/>
        </w:rPr>
        <w:t>assive</w:t>
      </w:r>
      <w:proofErr w:type="spellEnd"/>
      <w:r w:rsidRPr="00C658B4">
        <w:rPr>
          <w:rFonts w:ascii="Calibri" w:hAnsi="Calibri"/>
          <w:sz w:val="24"/>
          <w:szCs w:val="22"/>
        </w:rPr>
        <w:t xml:space="preserve"> </w:t>
      </w:r>
      <w:r w:rsidRPr="00C658B4">
        <w:rPr>
          <w:rFonts w:ascii="Calibri" w:hAnsi="Calibri"/>
          <w:sz w:val="24"/>
          <w:szCs w:val="22"/>
          <w:lang w:val="en-US"/>
        </w:rPr>
        <w:t xml:space="preserve">drawdown </w:t>
      </w:r>
      <w:r w:rsidRPr="00C658B4">
        <w:rPr>
          <w:rFonts w:ascii="Calibri" w:hAnsi="Calibri"/>
          <w:sz w:val="24"/>
          <w:szCs w:val="22"/>
        </w:rPr>
        <w:t>device</w:t>
      </w:r>
      <w:r w:rsidRPr="00C658B4">
        <w:rPr>
          <w:rFonts w:ascii="Calibri" w:hAnsi="Calibri"/>
          <w:sz w:val="24"/>
          <w:szCs w:val="22"/>
          <w:lang w:val="en-US"/>
        </w:rPr>
        <w:t>s, when employed,</w:t>
      </w:r>
      <w:r w:rsidRPr="00C658B4">
        <w:rPr>
          <w:rFonts w:ascii="Calibri" w:hAnsi="Calibri"/>
          <w:sz w:val="24"/>
          <w:szCs w:val="22"/>
        </w:rPr>
        <w:t xml:space="preserve"> </w:t>
      </w:r>
      <w:r w:rsidRPr="00C658B4">
        <w:rPr>
          <w:rFonts w:ascii="Calibri" w:hAnsi="Calibri"/>
          <w:sz w:val="24"/>
          <w:szCs w:val="22"/>
          <w:lang w:val="en-US"/>
        </w:rPr>
        <w:t>shall be marked with identifying s</w:t>
      </w:r>
      <w:proofErr w:type="spellStart"/>
      <w:r w:rsidRPr="00C658B4">
        <w:rPr>
          <w:rFonts w:ascii="Calibri" w:hAnsi="Calibri"/>
          <w:sz w:val="24"/>
          <w:szCs w:val="22"/>
        </w:rPr>
        <w:t>ignage</w:t>
      </w:r>
      <w:proofErr w:type="spellEnd"/>
      <w:r w:rsidRPr="00C658B4">
        <w:rPr>
          <w:rFonts w:ascii="Calibri" w:hAnsi="Calibri"/>
          <w:sz w:val="24"/>
          <w:szCs w:val="22"/>
        </w:rPr>
        <w:t xml:space="preserve"> </w:t>
      </w:r>
      <w:r w:rsidRPr="00C658B4">
        <w:rPr>
          <w:rFonts w:ascii="Calibri" w:hAnsi="Calibri"/>
          <w:sz w:val="24"/>
          <w:szCs w:val="22"/>
          <w:lang w:val="en-US"/>
        </w:rPr>
        <w:t xml:space="preserve">or labels that is </w:t>
      </w:r>
      <w:r w:rsidRPr="00C658B4">
        <w:rPr>
          <w:rFonts w:ascii="Calibri" w:hAnsi="Calibri"/>
          <w:sz w:val="24"/>
          <w:szCs w:val="22"/>
        </w:rPr>
        <w:t xml:space="preserve">visible to </w:t>
      </w:r>
      <w:r w:rsidRPr="00C658B4">
        <w:rPr>
          <w:rFonts w:ascii="Calibri" w:hAnsi="Calibri"/>
          <w:sz w:val="24"/>
          <w:szCs w:val="22"/>
          <w:lang w:val="en-US"/>
        </w:rPr>
        <w:t>owners</w:t>
      </w:r>
      <w:r w:rsidRPr="00C658B4">
        <w:rPr>
          <w:rFonts w:ascii="Calibri" w:hAnsi="Calibri"/>
          <w:sz w:val="24"/>
          <w:szCs w:val="22"/>
        </w:rPr>
        <w:t xml:space="preserve"> and maintenance personne</w:t>
      </w:r>
      <w:r w:rsidRPr="00C658B4">
        <w:rPr>
          <w:rFonts w:ascii="Calibri" w:hAnsi="Calibri"/>
          <w:sz w:val="24"/>
          <w:szCs w:val="22"/>
          <w:lang w:val="en-US"/>
        </w:rPr>
        <w:t xml:space="preserve">l. </w:t>
      </w:r>
    </w:p>
    <w:p w:rsidR="00C658B4" w:rsidRPr="00384D4E" w:rsidRDefault="00384D4E" w:rsidP="00384D4E">
      <w:pPr>
        <w:pStyle w:val="BodyText"/>
        <w:numPr>
          <w:ilvl w:val="0"/>
          <w:numId w:val="2"/>
        </w:numPr>
        <w:tabs>
          <w:tab w:val="left" w:pos="603"/>
        </w:tabs>
        <w:spacing w:before="120" w:after="120"/>
        <w:rPr>
          <w:rFonts w:ascii="Calibri" w:hAnsi="Calibri"/>
          <w:sz w:val="24"/>
          <w:szCs w:val="22"/>
        </w:rPr>
      </w:pPr>
      <w:r>
        <w:rPr>
          <w:rFonts w:ascii="Calibri" w:hAnsi="Calibri"/>
          <w:sz w:val="24"/>
          <w:szCs w:val="22"/>
          <w:lang w:val="en-US"/>
        </w:rPr>
        <w:t xml:space="preserve">PASSIVE DRAWDOWN DEVICES.  </w:t>
      </w:r>
      <w:r w:rsidR="00C658B4" w:rsidRPr="00C658B4">
        <w:rPr>
          <w:rFonts w:ascii="Calibri" w:hAnsi="Calibri"/>
          <w:sz w:val="24"/>
          <w:szCs w:val="22"/>
          <w:lang w:val="en-US"/>
        </w:rPr>
        <w:t>P</w:t>
      </w:r>
      <w:proofErr w:type="spellStart"/>
      <w:r w:rsidR="00C658B4" w:rsidRPr="00C658B4">
        <w:rPr>
          <w:rFonts w:ascii="Calibri" w:hAnsi="Calibri"/>
          <w:sz w:val="24"/>
          <w:szCs w:val="22"/>
        </w:rPr>
        <w:t>assive</w:t>
      </w:r>
      <w:proofErr w:type="spellEnd"/>
      <w:r w:rsidR="00C658B4" w:rsidRPr="00C658B4">
        <w:rPr>
          <w:rFonts w:ascii="Calibri" w:hAnsi="Calibri"/>
          <w:sz w:val="24"/>
          <w:szCs w:val="22"/>
        </w:rPr>
        <w:t xml:space="preserve"> </w:t>
      </w:r>
      <w:r w:rsidR="00C658B4" w:rsidRPr="00C658B4">
        <w:rPr>
          <w:rFonts w:ascii="Calibri" w:hAnsi="Calibri"/>
          <w:sz w:val="24"/>
          <w:szCs w:val="22"/>
          <w:lang w:val="en-US"/>
        </w:rPr>
        <w:t xml:space="preserve">drawdown </w:t>
      </w:r>
      <w:r w:rsidR="00C658B4" w:rsidRPr="00C658B4">
        <w:rPr>
          <w:rFonts w:ascii="Calibri" w:hAnsi="Calibri"/>
          <w:sz w:val="24"/>
          <w:szCs w:val="22"/>
        </w:rPr>
        <w:t>device</w:t>
      </w:r>
      <w:r w:rsidR="00C658B4" w:rsidRPr="00C658B4">
        <w:rPr>
          <w:rFonts w:ascii="Calibri" w:hAnsi="Calibri"/>
          <w:sz w:val="24"/>
          <w:szCs w:val="22"/>
          <w:lang w:val="en-US"/>
        </w:rPr>
        <w:t>s, when employed,</w:t>
      </w:r>
      <w:r w:rsidR="00C658B4" w:rsidRPr="00C658B4">
        <w:rPr>
          <w:rFonts w:ascii="Calibri" w:hAnsi="Calibri"/>
          <w:sz w:val="24"/>
          <w:szCs w:val="22"/>
        </w:rPr>
        <w:t xml:space="preserve"> shall be designed to prevent clogging. </w:t>
      </w:r>
    </w:p>
    <w:p w:rsidR="00C658B4" w:rsidRPr="00C658B4" w:rsidRDefault="00384D4E" w:rsidP="00C658B4">
      <w:pPr>
        <w:pStyle w:val="BodyText"/>
        <w:numPr>
          <w:ilvl w:val="0"/>
          <w:numId w:val="2"/>
        </w:numPr>
        <w:tabs>
          <w:tab w:val="left" w:pos="603"/>
        </w:tabs>
        <w:spacing w:before="120" w:after="120"/>
        <w:rPr>
          <w:rFonts w:ascii="Calibri" w:hAnsi="Calibri"/>
          <w:sz w:val="24"/>
          <w:szCs w:val="22"/>
        </w:rPr>
      </w:pPr>
      <w:r>
        <w:rPr>
          <w:rFonts w:ascii="Calibri" w:hAnsi="Calibri"/>
          <w:sz w:val="24"/>
          <w:szCs w:val="22"/>
          <w:u w:val="single"/>
          <w:lang w:val="en-US"/>
        </w:rPr>
        <w:t>RECOMMENDATION</w:t>
      </w:r>
      <w:r w:rsidR="00C658B4" w:rsidRPr="00C658B4">
        <w:rPr>
          <w:rFonts w:ascii="Calibri" w:hAnsi="Calibri"/>
          <w:sz w:val="24"/>
          <w:szCs w:val="22"/>
          <w:lang w:val="en-US"/>
        </w:rPr>
        <w:t>:  An indicator of water level should</w:t>
      </w:r>
      <w:r w:rsidR="00C658B4" w:rsidRPr="00C658B4">
        <w:rPr>
          <w:rFonts w:ascii="Calibri" w:hAnsi="Calibri"/>
          <w:sz w:val="24"/>
          <w:szCs w:val="22"/>
        </w:rPr>
        <w:t xml:space="preserve"> be visible to users and maintenance personnel.</w:t>
      </w:r>
    </w:p>
    <w:p w:rsidR="00C658B4" w:rsidRPr="00C658B4" w:rsidRDefault="00384D4E" w:rsidP="00C658B4">
      <w:pPr>
        <w:pStyle w:val="BodyText"/>
        <w:numPr>
          <w:ilvl w:val="0"/>
          <w:numId w:val="2"/>
        </w:numPr>
        <w:tabs>
          <w:tab w:val="left" w:pos="603"/>
        </w:tabs>
        <w:spacing w:before="120" w:after="120"/>
        <w:rPr>
          <w:rFonts w:ascii="Calibri" w:hAnsi="Calibri"/>
          <w:sz w:val="24"/>
          <w:szCs w:val="22"/>
        </w:rPr>
      </w:pPr>
      <w:r>
        <w:rPr>
          <w:rFonts w:ascii="Calibri" w:hAnsi="Calibri"/>
          <w:sz w:val="24"/>
          <w:szCs w:val="22"/>
          <w:u w:val="single"/>
          <w:lang w:val="en-US"/>
        </w:rPr>
        <w:t>RECOMMENDATION</w:t>
      </w:r>
      <w:r w:rsidR="00C658B4" w:rsidRPr="00C658B4">
        <w:rPr>
          <w:rFonts w:ascii="Calibri" w:hAnsi="Calibri"/>
          <w:sz w:val="24"/>
          <w:szCs w:val="22"/>
          <w:lang w:val="en-US"/>
        </w:rPr>
        <w:t>:  All spigots, hose bibs or other outlets for the harvested rainwater should be</w:t>
      </w:r>
      <w:r w:rsidR="00C658B4" w:rsidRPr="00C658B4">
        <w:rPr>
          <w:rFonts w:ascii="Calibri" w:hAnsi="Calibri"/>
          <w:sz w:val="24"/>
          <w:szCs w:val="22"/>
        </w:rPr>
        <w:t xml:space="preserve"> of a type, or secured in a manner, that permits operation</w:t>
      </w:r>
      <w:r w:rsidR="00C658B4" w:rsidRPr="00C658B4">
        <w:rPr>
          <w:rFonts w:ascii="Calibri" w:hAnsi="Calibri"/>
          <w:sz w:val="24"/>
          <w:szCs w:val="22"/>
          <w:lang w:val="en-US"/>
        </w:rPr>
        <w:t xml:space="preserve"> only</w:t>
      </w:r>
      <w:r w:rsidR="00C658B4" w:rsidRPr="00C658B4">
        <w:rPr>
          <w:rFonts w:ascii="Calibri" w:hAnsi="Calibri"/>
          <w:sz w:val="24"/>
          <w:szCs w:val="22"/>
        </w:rPr>
        <w:t xml:space="preserve"> by</w:t>
      </w:r>
      <w:r w:rsidR="00C658B4" w:rsidRPr="00C658B4">
        <w:rPr>
          <w:rFonts w:ascii="Calibri" w:hAnsi="Calibri"/>
          <w:sz w:val="24"/>
          <w:szCs w:val="22"/>
          <w:lang w:val="en-US"/>
        </w:rPr>
        <w:t xml:space="preserve"> authorized </w:t>
      </w:r>
      <w:r w:rsidR="00C658B4" w:rsidRPr="00C658B4">
        <w:rPr>
          <w:rFonts w:ascii="Calibri" w:hAnsi="Calibri"/>
          <w:sz w:val="24"/>
          <w:szCs w:val="22"/>
        </w:rPr>
        <w:t>personnel</w:t>
      </w:r>
      <w:r w:rsidR="00C658B4" w:rsidRPr="00C658B4">
        <w:rPr>
          <w:rFonts w:ascii="Calibri" w:hAnsi="Calibri"/>
          <w:sz w:val="24"/>
          <w:szCs w:val="22"/>
          <w:lang w:val="en-US"/>
        </w:rPr>
        <w:t>,</w:t>
      </w:r>
      <w:r w:rsidR="00C658B4" w:rsidRPr="00C658B4">
        <w:rPr>
          <w:rFonts w:ascii="Calibri" w:hAnsi="Calibri"/>
          <w:sz w:val="24"/>
          <w:szCs w:val="22"/>
        </w:rPr>
        <w:t xml:space="preserve"> </w:t>
      </w:r>
      <w:r w:rsidR="00C658B4" w:rsidRPr="00C658B4">
        <w:rPr>
          <w:rFonts w:ascii="Calibri" w:hAnsi="Calibri"/>
          <w:sz w:val="24"/>
          <w:szCs w:val="22"/>
          <w:lang w:val="en-US"/>
        </w:rPr>
        <w:t xml:space="preserve">such as a locked below grade vault or a spigot that can only be operated by a tool.  </w:t>
      </w:r>
    </w:p>
    <w:p w:rsidR="00C658B4" w:rsidRPr="00C658B4" w:rsidRDefault="00384D4E" w:rsidP="00C658B4">
      <w:pPr>
        <w:pStyle w:val="BodyText"/>
        <w:numPr>
          <w:ilvl w:val="0"/>
          <w:numId w:val="2"/>
        </w:numPr>
        <w:tabs>
          <w:tab w:val="left" w:pos="603"/>
        </w:tabs>
        <w:spacing w:before="120" w:after="120"/>
        <w:rPr>
          <w:rFonts w:ascii="Calibri" w:hAnsi="Calibri"/>
          <w:sz w:val="24"/>
          <w:szCs w:val="22"/>
        </w:rPr>
      </w:pPr>
      <w:r>
        <w:rPr>
          <w:rFonts w:ascii="Calibri" w:hAnsi="Calibri"/>
          <w:sz w:val="24"/>
          <w:szCs w:val="22"/>
          <w:u w:val="single"/>
          <w:lang w:val="en-US"/>
        </w:rPr>
        <w:t>RECOMMENDATION</w:t>
      </w:r>
      <w:r w:rsidR="00C658B4" w:rsidRPr="00C658B4">
        <w:rPr>
          <w:rFonts w:ascii="Calibri" w:hAnsi="Calibri"/>
          <w:sz w:val="24"/>
          <w:szCs w:val="22"/>
          <w:lang w:val="en-US"/>
        </w:rPr>
        <w:t xml:space="preserve">:  Exterior distribution piping for the harvested rainwater should be </w:t>
      </w:r>
      <w:r w:rsidR="00C658B4" w:rsidRPr="00C658B4">
        <w:rPr>
          <w:rFonts w:ascii="Calibri" w:hAnsi="Calibri"/>
          <w:sz w:val="24"/>
          <w:szCs w:val="22"/>
        </w:rPr>
        <w:t>color-coded, taped, or otherwise marked to identify the source of the water</w:t>
      </w:r>
      <w:r w:rsidR="00C658B4" w:rsidRPr="00C658B4">
        <w:rPr>
          <w:rFonts w:ascii="Calibri" w:hAnsi="Calibri"/>
          <w:sz w:val="24"/>
          <w:szCs w:val="22"/>
          <w:lang w:val="en-US"/>
        </w:rPr>
        <w:t xml:space="preserve"> as non-potable.  </w:t>
      </w:r>
    </w:p>
    <w:p w:rsidR="005A451E" w:rsidRPr="00C658B4" w:rsidRDefault="005A451E" w:rsidP="00C658B4">
      <w:pPr>
        <w:spacing w:before="120" w:after="120"/>
        <w:rPr>
          <w:sz w:val="28"/>
        </w:rPr>
      </w:pPr>
    </w:p>
    <w:sectPr w:rsidR="005A451E" w:rsidRPr="00C658B4" w:rsidSect="005A4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51C4"/>
    <w:multiLevelType w:val="hybridMultilevel"/>
    <w:tmpl w:val="169EF2AE"/>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nsid w:val="4B1E145B"/>
    <w:multiLevelType w:val="hybridMultilevel"/>
    <w:tmpl w:val="977E27B8"/>
    <w:lvl w:ilvl="0" w:tplc="4A9A688E">
      <w:start w:val="1"/>
      <w:numFmt w:val="decimal"/>
      <w:lvlText w:val="%1."/>
      <w:lvlJc w:val="left"/>
      <w:pPr>
        <w:ind w:left="603" w:hanging="495"/>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658B4"/>
    <w:rsid w:val="001D5BF6"/>
    <w:rsid w:val="00384D4E"/>
    <w:rsid w:val="005A451E"/>
    <w:rsid w:val="00C65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8B4"/>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58B4"/>
    <w:pPr>
      <w:spacing w:after="160"/>
    </w:pPr>
    <w:rPr>
      <w:rFonts w:ascii="Book Antiqua" w:hAnsi="Book Antiqua"/>
      <w:sz w:val="20"/>
      <w:szCs w:val="20"/>
      <w:lang/>
    </w:rPr>
  </w:style>
  <w:style w:type="character" w:customStyle="1" w:styleId="BodyTextChar">
    <w:name w:val="Body Text Char"/>
    <w:basedOn w:val="DefaultParagraphFont"/>
    <w:link w:val="BodyText"/>
    <w:rsid w:val="00C658B4"/>
    <w:rPr>
      <w:rFonts w:ascii="Book Antiqua" w:eastAsia="Times New Roman" w:hAnsi="Book Antiqua" w:cs="Times New Roman"/>
      <w:sz w:val="20"/>
      <w:szCs w:val="20"/>
      <w:lang w:eastAsia="ar-SA"/>
    </w:rPr>
  </w:style>
  <w:style w:type="paragraph" w:styleId="ListParagraph">
    <w:name w:val="List Paragraph"/>
    <w:basedOn w:val="Normal"/>
    <w:uiPriority w:val="34"/>
    <w:qFormat/>
    <w:rsid w:val="00C658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7BEFF-AD57-4363-A36A-A89A7A72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2015-01-09T15:45:00Z</dcterms:created>
  <dcterms:modified xsi:type="dcterms:W3CDTF">2015-01-09T15:45:00Z</dcterms:modified>
</cp:coreProperties>
</file>