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83" w:rsidRPr="00926694" w:rsidRDefault="00CB2083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26694">
        <w:rPr>
          <w:rFonts w:ascii="Arial" w:hAnsi="Arial" w:cs="Arial"/>
          <w:b/>
          <w:sz w:val="28"/>
          <w:szCs w:val="28"/>
          <w:u w:val="single"/>
        </w:rPr>
        <w:t>Tune-up Information</w:t>
      </w:r>
    </w:p>
    <w:p w:rsidR="00CB2083" w:rsidRPr="00926694" w:rsidRDefault="00CB2083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36483" w:rsidRPr="00926694" w:rsidRDefault="007869D4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6694">
        <w:rPr>
          <w:rFonts w:ascii="Arial" w:hAnsi="Arial" w:cs="Arial"/>
          <w:color w:val="000000"/>
          <w:sz w:val="24"/>
          <w:szCs w:val="24"/>
        </w:rPr>
        <w:t>National Emission Standards for Hazardous Air Pollutants</w:t>
      </w:r>
      <w:r w:rsidR="0049549C">
        <w:rPr>
          <w:rFonts w:ascii="Arial" w:hAnsi="Arial" w:cs="Arial"/>
          <w:color w:val="000000"/>
          <w:sz w:val="24"/>
          <w:szCs w:val="24"/>
        </w:rPr>
        <w:t xml:space="preserve"> for Area Sources</w:t>
      </w:r>
      <w:r w:rsidRPr="00926694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7869D4" w:rsidRPr="00926694" w:rsidRDefault="007869D4" w:rsidP="000A14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6694">
        <w:rPr>
          <w:rFonts w:ascii="Arial" w:hAnsi="Arial" w:cs="Arial"/>
          <w:color w:val="000000"/>
          <w:sz w:val="24"/>
          <w:szCs w:val="24"/>
        </w:rPr>
        <w:t>Industrial, Commercial, and Institutional Boilers</w:t>
      </w:r>
      <w:r w:rsidR="00936483" w:rsidRPr="0092669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01F05" w:rsidRPr="00926694" w:rsidRDefault="00CB2083" w:rsidP="00CB20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40 CFR Part 63 Subpart </w:t>
      </w:r>
      <w:r w:rsidRPr="00926694">
        <w:rPr>
          <w:rFonts w:ascii="Arial" w:hAnsi="Arial" w:cs="Arial"/>
          <w:b/>
          <w:bCs/>
          <w:sz w:val="24"/>
          <w:szCs w:val="24"/>
        </w:rPr>
        <w:t>JJJJJJ</w:t>
      </w:r>
    </w:p>
    <w:p w:rsidR="00201F05" w:rsidRPr="00926694" w:rsidRDefault="00201F05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1416" w:rsidRPr="00926694" w:rsidRDefault="000A1416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 xml:space="preserve">Who must </w:t>
      </w:r>
      <w:r w:rsidR="00B87926" w:rsidRPr="00926694">
        <w:rPr>
          <w:rFonts w:ascii="Arial" w:hAnsi="Arial" w:cs="Arial"/>
          <w:b/>
          <w:i/>
          <w:sz w:val="24"/>
          <w:szCs w:val="24"/>
        </w:rPr>
        <w:t>conduct a</w:t>
      </w:r>
      <w:r w:rsidRPr="00926694">
        <w:rPr>
          <w:rFonts w:ascii="Arial" w:hAnsi="Arial" w:cs="Arial"/>
          <w:b/>
          <w:i/>
          <w:sz w:val="24"/>
          <w:szCs w:val="24"/>
        </w:rPr>
        <w:t xml:space="preserve"> tune-up</w:t>
      </w:r>
      <w:r w:rsidR="006960E8">
        <w:rPr>
          <w:rFonts w:ascii="Arial" w:hAnsi="Arial" w:cs="Arial"/>
          <w:b/>
          <w:i/>
          <w:sz w:val="24"/>
          <w:szCs w:val="24"/>
        </w:rPr>
        <w:t xml:space="preserve"> </w:t>
      </w:r>
      <w:r w:rsidR="006960E8" w:rsidRPr="00926694">
        <w:rPr>
          <w:rFonts w:ascii="Arial" w:hAnsi="Arial" w:cs="Arial"/>
          <w:sz w:val="24"/>
          <w:szCs w:val="24"/>
        </w:rPr>
        <w:t>(§63.11214</w:t>
      </w:r>
      <w:r w:rsidR="006960E8">
        <w:rPr>
          <w:rFonts w:ascii="Arial" w:hAnsi="Arial" w:cs="Arial"/>
          <w:sz w:val="24"/>
          <w:szCs w:val="24"/>
        </w:rPr>
        <w:t>)</w:t>
      </w:r>
      <w:r w:rsidR="007B0241" w:rsidRPr="00926694">
        <w:rPr>
          <w:rFonts w:ascii="Arial" w:hAnsi="Arial" w:cs="Arial"/>
          <w:b/>
          <w:i/>
          <w:sz w:val="24"/>
          <w:szCs w:val="24"/>
        </w:rPr>
        <w:t>?</w:t>
      </w:r>
      <w:r w:rsidRPr="0092669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5015EE" w:rsidRPr="00926694" w:rsidRDefault="005015EE" w:rsidP="000A14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1416" w:rsidRPr="00E441B9" w:rsidRDefault="0037428F" w:rsidP="000A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441B9">
        <w:rPr>
          <w:rFonts w:ascii="Arial" w:hAnsi="Arial" w:cs="Arial"/>
        </w:rPr>
        <w:t xml:space="preserve">Owners and operators of new and existing coal-fired area source boilers having a heat input capacity of less than 10 </w:t>
      </w:r>
      <w:r w:rsidR="006960E8" w:rsidRPr="00E441B9">
        <w:rPr>
          <w:rFonts w:ascii="Arial" w:hAnsi="Arial" w:cs="Arial"/>
        </w:rPr>
        <w:t>million B</w:t>
      </w:r>
      <w:r w:rsidR="00117520">
        <w:rPr>
          <w:rFonts w:ascii="Arial" w:hAnsi="Arial" w:cs="Arial"/>
        </w:rPr>
        <w:t xml:space="preserve">tu per </w:t>
      </w:r>
      <w:r w:rsidR="0044621F" w:rsidRPr="00E441B9">
        <w:rPr>
          <w:rFonts w:ascii="Arial" w:hAnsi="Arial" w:cs="Arial"/>
        </w:rPr>
        <w:t>hour</w:t>
      </w:r>
      <w:r w:rsidR="005A637A" w:rsidRPr="00E441B9">
        <w:rPr>
          <w:rFonts w:ascii="Arial" w:hAnsi="Arial" w:cs="Arial"/>
        </w:rPr>
        <w:t>.</w:t>
      </w:r>
    </w:p>
    <w:p w:rsidR="006960E8" w:rsidRPr="00E441B9" w:rsidRDefault="006960E8" w:rsidP="006960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</w:rPr>
      </w:pPr>
    </w:p>
    <w:p w:rsidR="000A1416" w:rsidRPr="00926694" w:rsidRDefault="0037428F" w:rsidP="000A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1B9">
        <w:rPr>
          <w:rFonts w:ascii="Arial" w:hAnsi="Arial" w:cs="Arial"/>
        </w:rPr>
        <w:t>Owners and operators of all biomass-fired and oil-fired area source boilers</w:t>
      </w:r>
      <w:r w:rsidR="005A637A">
        <w:rPr>
          <w:rFonts w:ascii="Arial" w:hAnsi="Arial" w:cs="Arial"/>
          <w:sz w:val="24"/>
          <w:szCs w:val="24"/>
        </w:rPr>
        <w:t>.</w:t>
      </w:r>
      <w:r w:rsidRPr="00926694">
        <w:rPr>
          <w:rFonts w:ascii="Arial" w:hAnsi="Arial" w:cs="Arial"/>
          <w:sz w:val="24"/>
          <w:szCs w:val="24"/>
        </w:rPr>
        <w:t xml:space="preserve"> </w:t>
      </w:r>
    </w:p>
    <w:p w:rsidR="000A1416" w:rsidRPr="00926694" w:rsidRDefault="001F4BB2" w:rsidP="001F4BB2">
      <w:pPr>
        <w:pStyle w:val="ListParagraph"/>
        <w:tabs>
          <w:tab w:val="left" w:pos="68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0241" w:rsidRPr="00926694" w:rsidRDefault="009D11EE" w:rsidP="00D42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By w</w:t>
      </w:r>
      <w:r w:rsidR="0037428F" w:rsidRPr="00926694">
        <w:rPr>
          <w:rFonts w:ascii="Arial" w:hAnsi="Arial" w:cs="Arial"/>
          <w:b/>
          <w:i/>
          <w:sz w:val="24"/>
          <w:szCs w:val="24"/>
        </w:rPr>
        <w:t xml:space="preserve">hen must I complete the </w:t>
      </w:r>
      <w:r w:rsidR="001128EC">
        <w:rPr>
          <w:rFonts w:ascii="Arial" w:hAnsi="Arial" w:cs="Arial"/>
          <w:b/>
          <w:i/>
          <w:sz w:val="24"/>
          <w:szCs w:val="24"/>
        </w:rPr>
        <w:t xml:space="preserve">initial </w:t>
      </w:r>
      <w:r w:rsidR="0037428F" w:rsidRPr="00926694">
        <w:rPr>
          <w:rFonts w:ascii="Arial" w:hAnsi="Arial" w:cs="Arial"/>
          <w:b/>
          <w:i/>
          <w:sz w:val="24"/>
          <w:szCs w:val="24"/>
        </w:rPr>
        <w:t>tune-up</w:t>
      </w:r>
      <w:r w:rsidR="006960E8">
        <w:rPr>
          <w:rFonts w:ascii="Arial" w:hAnsi="Arial" w:cs="Arial"/>
          <w:b/>
          <w:i/>
          <w:sz w:val="24"/>
          <w:szCs w:val="24"/>
        </w:rPr>
        <w:t xml:space="preserve"> </w:t>
      </w:r>
      <w:r w:rsidR="006960E8">
        <w:rPr>
          <w:rFonts w:ascii="Arial" w:hAnsi="Arial" w:cs="Arial"/>
          <w:sz w:val="24"/>
          <w:szCs w:val="24"/>
        </w:rPr>
        <w:t>(§63.11196</w:t>
      </w:r>
      <w:r w:rsidR="006960E8" w:rsidRPr="00926694">
        <w:rPr>
          <w:rFonts w:ascii="Arial" w:hAnsi="Arial" w:cs="Arial"/>
          <w:sz w:val="24"/>
          <w:szCs w:val="24"/>
        </w:rPr>
        <w:t>)</w:t>
      </w:r>
      <w:r w:rsidR="0037428F" w:rsidRPr="00926694">
        <w:rPr>
          <w:rFonts w:ascii="Arial" w:hAnsi="Arial" w:cs="Arial"/>
          <w:b/>
          <w:i/>
          <w:sz w:val="24"/>
          <w:szCs w:val="24"/>
        </w:rPr>
        <w:t>?</w:t>
      </w:r>
    </w:p>
    <w:p w:rsidR="007B0241" w:rsidRPr="00926694" w:rsidRDefault="007B0241" w:rsidP="00D42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0AB" w:rsidRPr="00E441B9" w:rsidRDefault="005B14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>Existing Sources</w:t>
      </w:r>
      <w:r w:rsidRPr="00E441B9">
        <w:rPr>
          <w:rFonts w:ascii="Arial" w:hAnsi="Arial" w:cs="Arial"/>
          <w:i/>
        </w:rPr>
        <w:t>:</w:t>
      </w:r>
      <w:r w:rsidRPr="00E441B9">
        <w:rPr>
          <w:rFonts w:ascii="Arial" w:hAnsi="Arial" w:cs="Arial"/>
        </w:rPr>
        <w:t xml:space="preserve">  </w:t>
      </w:r>
      <w:r w:rsidR="0044621F" w:rsidRPr="00E441B9">
        <w:rPr>
          <w:rFonts w:ascii="Arial" w:hAnsi="Arial" w:cs="Arial"/>
        </w:rPr>
        <w:t>N</w:t>
      </w:r>
      <w:r w:rsidRPr="00E441B9">
        <w:rPr>
          <w:rFonts w:ascii="Arial" w:hAnsi="Arial" w:cs="Arial"/>
        </w:rPr>
        <w:t xml:space="preserve">o later than March 21, 2012. </w:t>
      </w:r>
    </w:p>
    <w:p w:rsidR="003630AB" w:rsidRPr="00E441B9" w:rsidRDefault="003630A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3630AB" w:rsidRPr="006D7F80" w:rsidRDefault="005B14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>New Sources</w:t>
      </w:r>
      <w:r w:rsidRPr="00E441B9">
        <w:rPr>
          <w:rFonts w:ascii="Arial" w:hAnsi="Arial" w:cs="Arial"/>
          <w:i/>
        </w:rPr>
        <w:t>:</w:t>
      </w:r>
      <w:r w:rsidRPr="00E441B9">
        <w:rPr>
          <w:rFonts w:ascii="Arial" w:hAnsi="Arial" w:cs="Arial"/>
          <w:b/>
          <w:i/>
        </w:rPr>
        <w:t xml:space="preserve"> </w:t>
      </w:r>
      <w:r w:rsidR="00B87926" w:rsidRPr="00E441B9">
        <w:rPr>
          <w:rFonts w:ascii="Arial" w:hAnsi="Arial" w:cs="Arial"/>
          <w:b/>
          <w:i/>
        </w:rPr>
        <w:t xml:space="preserve"> </w:t>
      </w:r>
      <w:r w:rsidR="00B56A8D" w:rsidRPr="00E441B9">
        <w:rPr>
          <w:rFonts w:ascii="Arial" w:hAnsi="Arial" w:cs="Arial"/>
        </w:rPr>
        <w:t xml:space="preserve">No later than </w:t>
      </w:r>
      <w:r w:rsidRPr="00E441B9">
        <w:rPr>
          <w:rFonts w:ascii="Arial" w:hAnsi="Arial" w:cs="Arial"/>
        </w:rPr>
        <w:t>May 20, 2011 or upon start-up of the boiler, whichever is later.</w:t>
      </w:r>
    </w:p>
    <w:p w:rsidR="006D7F80" w:rsidRDefault="006D7F80" w:rsidP="006D7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23846" w:rsidRPr="00E441B9" w:rsidRDefault="00423846" w:rsidP="009D11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</w:rPr>
        <w:t>If the unit is not operating on the required date for a tune-up</w:t>
      </w:r>
      <w:r w:rsidR="00FE6A81" w:rsidRPr="00E441B9">
        <w:rPr>
          <w:rFonts w:ascii="Arial" w:hAnsi="Arial" w:cs="Arial"/>
        </w:rPr>
        <w:t xml:space="preserve"> (because it is </w:t>
      </w:r>
      <w:r w:rsidR="00CD107E" w:rsidRPr="00E441B9">
        <w:rPr>
          <w:rFonts w:ascii="Arial" w:hAnsi="Arial" w:cs="Arial"/>
        </w:rPr>
        <w:t>a seasonal boiler</w:t>
      </w:r>
      <w:r w:rsidR="00FE6A81" w:rsidRPr="00E441B9">
        <w:rPr>
          <w:rFonts w:ascii="Arial" w:hAnsi="Arial" w:cs="Arial"/>
        </w:rPr>
        <w:t>, or because it is down for maintenance, for example)</w:t>
      </w:r>
      <w:r w:rsidRPr="00E441B9">
        <w:rPr>
          <w:rFonts w:ascii="Arial" w:hAnsi="Arial" w:cs="Arial"/>
        </w:rPr>
        <w:t>, the tune-up must be conducted within one week of startup</w:t>
      </w:r>
      <w:r w:rsidR="00363565" w:rsidRPr="00E441B9">
        <w:rPr>
          <w:rFonts w:ascii="Arial" w:hAnsi="Arial" w:cs="Arial"/>
        </w:rPr>
        <w:t xml:space="preserve"> (§63.11223(b</w:t>
      </w:r>
      <w:proofErr w:type="gramStart"/>
      <w:r w:rsidR="00363565" w:rsidRPr="00E441B9">
        <w:rPr>
          <w:rFonts w:ascii="Arial" w:hAnsi="Arial" w:cs="Arial"/>
        </w:rPr>
        <w:t>)(</w:t>
      </w:r>
      <w:proofErr w:type="gramEnd"/>
      <w:r w:rsidR="00363565" w:rsidRPr="00E441B9">
        <w:rPr>
          <w:rFonts w:ascii="Arial" w:hAnsi="Arial" w:cs="Arial"/>
        </w:rPr>
        <w:t>7))</w:t>
      </w:r>
      <w:r w:rsidRPr="00E441B9">
        <w:rPr>
          <w:rFonts w:ascii="Arial" w:hAnsi="Arial" w:cs="Arial"/>
        </w:rPr>
        <w:t>.</w:t>
      </w:r>
    </w:p>
    <w:p w:rsidR="00011A9A" w:rsidRPr="00E441B9" w:rsidRDefault="00011A9A" w:rsidP="00011A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011A9A" w:rsidRPr="00E441B9" w:rsidRDefault="00011A9A" w:rsidP="009D11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41B9">
        <w:rPr>
          <w:rFonts w:ascii="Arial" w:hAnsi="Arial" w:cs="Arial"/>
        </w:rPr>
        <w:t xml:space="preserve">Each </w:t>
      </w:r>
      <w:r w:rsidR="00CD107E" w:rsidRPr="00E441B9">
        <w:rPr>
          <w:rFonts w:ascii="Arial" w:hAnsi="Arial" w:cs="Arial"/>
        </w:rPr>
        <w:t xml:space="preserve">subsequent </w:t>
      </w:r>
      <w:r w:rsidRPr="00E441B9">
        <w:rPr>
          <w:rFonts w:ascii="Arial" w:hAnsi="Arial" w:cs="Arial"/>
        </w:rPr>
        <w:t>biennial tune-up must be conducted no more than 25 months after the previous tune-up</w:t>
      </w:r>
      <w:r w:rsidR="00EC5166" w:rsidRPr="00E441B9">
        <w:rPr>
          <w:rFonts w:ascii="Arial" w:hAnsi="Arial" w:cs="Arial"/>
        </w:rPr>
        <w:t xml:space="preserve"> (§63.11223(a))</w:t>
      </w:r>
      <w:r w:rsidRPr="00E441B9">
        <w:rPr>
          <w:rFonts w:ascii="Arial" w:hAnsi="Arial" w:cs="Arial"/>
        </w:rPr>
        <w:t>.</w:t>
      </w:r>
    </w:p>
    <w:p w:rsidR="006E5889" w:rsidRPr="00926694" w:rsidRDefault="006E5889" w:rsidP="00B1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233B" w:rsidRPr="00926694" w:rsidRDefault="0046233B" w:rsidP="008D0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 xml:space="preserve">How do I meet the </w:t>
      </w:r>
      <w:r w:rsidR="009D11EE" w:rsidRPr="00926694">
        <w:rPr>
          <w:rFonts w:ascii="Arial" w:hAnsi="Arial" w:cs="Arial"/>
          <w:b/>
          <w:i/>
          <w:sz w:val="24"/>
          <w:szCs w:val="24"/>
        </w:rPr>
        <w:t xml:space="preserve">tune-up </w:t>
      </w:r>
      <w:r w:rsidRPr="00926694">
        <w:rPr>
          <w:rFonts w:ascii="Arial" w:hAnsi="Arial" w:cs="Arial"/>
          <w:b/>
          <w:i/>
          <w:sz w:val="24"/>
          <w:szCs w:val="24"/>
        </w:rPr>
        <w:t>requirement</w:t>
      </w:r>
      <w:r w:rsidR="009D11EE">
        <w:rPr>
          <w:rFonts w:ascii="Arial" w:hAnsi="Arial" w:cs="Arial"/>
          <w:b/>
          <w:i/>
          <w:sz w:val="24"/>
          <w:szCs w:val="24"/>
        </w:rPr>
        <w:t>s</w:t>
      </w:r>
      <w:r w:rsidRPr="00926694">
        <w:rPr>
          <w:rFonts w:ascii="Arial" w:hAnsi="Arial" w:cs="Arial"/>
          <w:b/>
          <w:i/>
          <w:sz w:val="24"/>
          <w:szCs w:val="24"/>
        </w:rPr>
        <w:t>?</w:t>
      </w:r>
    </w:p>
    <w:p w:rsidR="0046233B" w:rsidRPr="00926694" w:rsidRDefault="0046233B" w:rsidP="008D0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B5C" w:rsidRPr="00E441B9" w:rsidRDefault="008F07EE" w:rsidP="004623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 xml:space="preserve">For </w:t>
      </w:r>
      <w:r w:rsidR="007D4883" w:rsidRPr="00E441B9">
        <w:rPr>
          <w:rFonts w:ascii="Arial" w:hAnsi="Arial" w:cs="Arial"/>
          <w:i/>
          <w:u w:val="single"/>
        </w:rPr>
        <w:t>Initial Tune-up:</w:t>
      </w:r>
      <w:r w:rsidR="007D4883" w:rsidRPr="00E441B9">
        <w:rPr>
          <w:rFonts w:ascii="Arial" w:hAnsi="Arial" w:cs="Arial"/>
        </w:rPr>
        <w:t xml:space="preserve"> </w:t>
      </w:r>
      <w:r w:rsidR="003C13BC" w:rsidRPr="00E441B9">
        <w:rPr>
          <w:rFonts w:ascii="Arial" w:hAnsi="Arial" w:cs="Arial"/>
        </w:rPr>
        <w:t>Y</w:t>
      </w:r>
      <w:r w:rsidR="008D0F2B" w:rsidRPr="00E441B9">
        <w:rPr>
          <w:rFonts w:ascii="Arial" w:hAnsi="Arial" w:cs="Arial"/>
        </w:rPr>
        <w:t xml:space="preserve">ou must conduct a performance tune-up according to §63.11223(b) and you must submit a signed statement in the Notification of Compliance Status report </w:t>
      </w:r>
      <w:r w:rsidR="00EF791D" w:rsidRPr="00E441B9">
        <w:rPr>
          <w:rFonts w:ascii="Arial" w:hAnsi="Arial" w:cs="Arial"/>
        </w:rPr>
        <w:t>(§63.11225</w:t>
      </w:r>
      <w:r w:rsidR="00150DBF" w:rsidRPr="00E441B9">
        <w:rPr>
          <w:rFonts w:ascii="Arial" w:hAnsi="Arial" w:cs="Arial"/>
        </w:rPr>
        <w:t>(a</w:t>
      </w:r>
      <w:proofErr w:type="gramStart"/>
      <w:r w:rsidR="00150DBF" w:rsidRPr="00E441B9">
        <w:rPr>
          <w:rFonts w:ascii="Arial" w:hAnsi="Arial" w:cs="Arial"/>
        </w:rPr>
        <w:t>)(</w:t>
      </w:r>
      <w:proofErr w:type="gramEnd"/>
      <w:r w:rsidR="00150DBF" w:rsidRPr="00E441B9">
        <w:rPr>
          <w:rFonts w:ascii="Arial" w:hAnsi="Arial" w:cs="Arial"/>
        </w:rPr>
        <w:t>4)(</w:t>
      </w:r>
      <w:proofErr w:type="spellStart"/>
      <w:r w:rsidR="00150DBF" w:rsidRPr="00E441B9">
        <w:rPr>
          <w:rFonts w:ascii="Arial" w:hAnsi="Arial" w:cs="Arial"/>
        </w:rPr>
        <w:t>i</w:t>
      </w:r>
      <w:proofErr w:type="spellEnd"/>
      <w:r w:rsidR="00150DBF" w:rsidRPr="00E441B9">
        <w:rPr>
          <w:rFonts w:ascii="Arial" w:hAnsi="Arial" w:cs="Arial"/>
        </w:rPr>
        <w:t>)</w:t>
      </w:r>
      <w:r w:rsidR="00EF791D" w:rsidRPr="00E441B9">
        <w:rPr>
          <w:rFonts w:ascii="Arial" w:hAnsi="Arial" w:cs="Arial"/>
        </w:rPr>
        <w:t>)</w:t>
      </w:r>
      <w:r w:rsidR="00150DBF" w:rsidRPr="00E441B9">
        <w:rPr>
          <w:rFonts w:ascii="Arial" w:hAnsi="Arial" w:cs="Arial"/>
        </w:rPr>
        <w:t xml:space="preserve"> </w:t>
      </w:r>
      <w:r w:rsidR="008D0F2B" w:rsidRPr="00E441B9">
        <w:rPr>
          <w:rFonts w:ascii="Arial" w:hAnsi="Arial" w:cs="Arial"/>
        </w:rPr>
        <w:t>that indicates that you conducted a tune-up of the boiler.</w:t>
      </w:r>
      <w:r w:rsidR="00E441B9" w:rsidRPr="00E441B9">
        <w:rPr>
          <w:rStyle w:val="FootnoteReference"/>
          <w:rFonts w:ascii="Arial" w:hAnsi="Arial" w:cs="Arial"/>
        </w:rPr>
        <w:footnoteReference w:id="1"/>
      </w:r>
      <w:r w:rsidR="00AB294E" w:rsidRPr="00E441B9">
        <w:rPr>
          <w:rFonts w:ascii="Arial" w:hAnsi="Arial" w:cs="Arial"/>
        </w:rPr>
        <w:t xml:space="preserve"> </w:t>
      </w:r>
    </w:p>
    <w:p w:rsidR="008D50F7" w:rsidRPr="00E441B9" w:rsidRDefault="008D50F7" w:rsidP="004623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D0F2B" w:rsidRPr="00E441B9" w:rsidRDefault="008F07EE" w:rsidP="0046233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 xml:space="preserve">For </w:t>
      </w:r>
      <w:r w:rsidR="00CC5B5C" w:rsidRPr="00E441B9">
        <w:rPr>
          <w:rFonts w:ascii="Arial" w:hAnsi="Arial" w:cs="Arial"/>
          <w:i/>
          <w:u w:val="single"/>
        </w:rPr>
        <w:t>Subsequent Tune-up</w:t>
      </w:r>
      <w:r w:rsidR="00CC5B5C" w:rsidRPr="00E441B9">
        <w:rPr>
          <w:rFonts w:ascii="Arial" w:hAnsi="Arial" w:cs="Arial"/>
          <w:i/>
        </w:rPr>
        <w:t>:</w:t>
      </w:r>
      <w:r w:rsidR="00CC5B5C" w:rsidRPr="00E441B9">
        <w:rPr>
          <w:rFonts w:ascii="Arial" w:hAnsi="Arial" w:cs="Arial"/>
        </w:rPr>
        <w:t xml:space="preserve"> You must conduct a performance tune-up according to §63.11223(b) and you must prepare a </w:t>
      </w:r>
      <w:r w:rsidR="001F039A" w:rsidRPr="00E441B9">
        <w:rPr>
          <w:rFonts w:ascii="Arial" w:hAnsi="Arial" w:cs="Arial"/>
        </w:rPr>
        <w:t xml:space="preserve">biennial compliance certification that indicates you </w:t>
      </w:r>
      <w:r w:rsidR="00B56A8D" w:rsidRPr="00E441B9">
        <w:rPr>
          <w:rFonts w:ascii="Arial" w:hAnsi="Arial" w:cs="Arial"/>
        </w:rPr>
        <w:t>complied with all the relevant standards and requirements of this subpart</w:t>
      </w:r>
      <w:r w:rsidR="001F039A" w:rsidRPr="00E441B9">
        <w:rPr>
          <w:rFonts w:ascii="Arial" w:hAnsi="Arial" w:cs="Arial"/>
        </w:rPr>
        <w:t xml:space="preserve">. You do </w:t>
      </w:r>
      <w:r w:rsidR="005B1496" w:rsidRPr="00E441B9">
        <w:rPr>
          <w:rFonts w:ascii="Arial" w:hAnsi="Arial" w:cs="Arial"/>
          <w:b/>
          <w:i/>
        </w:rPr>
        <w:t>not</w:t>
      </w:r>
      <w:r w:rsidR="001F039A" w:rsidRPr="00E441B9">
        <w:rPr>
          <w:rFonts w:ascii="Arial" w:hAnsi="Arial" w:cs="Arial"/>
        </w:rPr>
        <w:t xml:space="preserve"> need to submit this report, but it can be requested by your delegated authority </w:t>
      </w:r>
      <w:r w:rsidR="00AB294E" w:rsidRPr="00E441B9">
        <w:rPr>
          <w:rFonts w:ascii="Arial" w:hAnsi="Arial" w:cs="Arial"/>
        </w:rPr>
        <w:t>(§63.11225(b)).</w:t>
      </w:r>
    </w:p>
    <w:p w:rsidR="008D0F2B" w:rsidRPr="00E441B9" w:rsidRDefault="008D0F2B" w:rsidP="00B1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E139E1" w:rsidRPr="00E441B9" w:rsidRDefault="008F07EE" w:rsidP="007265D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441B9">
        <w:rPr>
          <w:rFonts w:ascii="Arial" w:hAnsi="Arial" w:cs="Arial"/>
          <w:i/>
          <w:u w:val="single"/>
        </w:rPr>
        <w:t xml:space="preserve">For </w:t>
      </w:r>
      <w:r w:rsidR="001F039A" w:rsidRPr="00E441B9">
        <w:rPr>
          <w:rFonts w:ascii="Arial" w:hAnsi="Arial" w:cs="Arial"/>
          <w:i/>
          <w:u w:val="single"/>
        </w:rPr>
        <w:t>All Tune-ups</w:t>
      </w:r>
      <w:r w:rsidR="005A637A" w:rsidRPr="00E441B9">
        <w:rPr>
          <w:rFonts w:ascii="Arial" w:hAnsi="Arial" w:cs="Arial"/>
          <w:i/>
          <w:u w:val="single"/>
        </w:rPr>
        <w:t>,</w:t>
      </w:r>
      <w:r w:rsidR="001F039A" w:rsidRPr="00E441B9">
        <w:rPr>
          <w:rFonts w:ascii="Arial" w:hAnsi="Arial" w:cs="Arial"/>
        </w:rPr>
        <w:t xml:space="preserve"> </w:t>
      </w:r>
      <w:r w:rsidR="005A637A" w:rsidRPr="00E441B9">
        <w:rPr>
          <w:rFonts w:ascii="Arial" w:hAnsi="Arial" w:cs="Arial"/>
        </w:rPr>
        <w:t>y</w:t>
      </w:r>
      <w:r w:rsidR="00EF791D" w:rsidRPr="00E441B9">
        <w:rPr>
          <w:rFonts w:ascii="Arial" w:hAnsi="Arial" w:cs="Arial"/>
        </w:rPr>
        <w:t>ou</w:t>
      </w:r>
      <w:r w:rsidR="000A1416" w:rsidRPr="00E441B9">
        <w:rPr>
          <w:rFonts w:ascii="Arial" w:hAnsi="Arial" w:cs="Arial"/>
        </w:rPr>
        <w:t xml:space="preserve"> mu</w:t>
      </w:r>
      <w:r w:rsidR="00B56A8D" w:rsidRPr="00E441B9">
        <w:rPr>
          <w:rFonts w:ascii="Arial" w:hAnsi="Arial" w:cs="Arial"/>
        </w:rPr>
        <w:t>st keep records of the dates and procedures</w:t>
      </w:r>
      <w:r w:rsidR="000A1416" w:rsidRPr="00E441B9">
        <w:rPr>
          <w:rFonts w:ascii="Arial" w:hAnsi="Arial" w:cs="Arial"/>
        </w:rPr>
        <w:t xml:space="preserve"> of each boiler tune-up</w:t>
      </w:r>
      <w:r w:rsidR="00B56A8D" w:rsidRPr="00E441B9">
        <w:rPr>
          <w:rFonts w:ascii="Arial" w:hAnsi="Arial" w:cs="Arial"/>
        </w:rPr>
        <w:t>, and the fuel used by the boiler</w:t>
      </w:r>
      <w:r w:rsidR="000A1416" w:rsidRPr="00E441B9">
        <w:rPr>
          <w:rFonts w:ascii="Arial" w:hAnsi="Arial" w:cs="Arial"/>
        </w:rPr>
        <w:t xml:space="preserve">. </w:t>
      </w:r>
      <w:r w:rsidR="00E441B9" w:rsidRPr="00E441B9">
        <w:rPr>
          <w:rFonts w:ascii="Arial" w:hAnsi="Arial" w:cs="Arial"/>
        </w:rPr>
        <w:t xml:space="preserve">You should begin keeping fuel records on May 20, 2011. </w:t>
      </w:r>
      <w:r w:rsidR="00E139E1" w:rsidRPr="00E441B9">
        <w:rPr>
          <w:rFonts w:ascii="Arial" w:hAnsi="Arial" w:cs="Arial"/>
        </w:rPr>
        <w:t xml:space="preserve">The </w:t>
      </w:r>
      <w:r w:rsidR="00267C34" w:rsidRPr="00E441B9">
        <w:rPr>
          <w:rFonts w:ascii="Arial" w:hAnsi="Arial" w:cs="Arial"/>
        </w:rPr>
        <w:t xml:space="preserve">record </w:t>
      </w:r>
      <w:r w:rsidR="00E139E1" w:rsidRPr="00E441B9">
        <w:rPr>
          <w:rFonts w:ascii="Arial" w:hAnsi="Arial" w:cs="Arial"/>
        </w:rPr>
        <w:t>must be maintained on</w:t>
      </w:r>
      <w:r w:rsidR="007265D3" w:rsidRPr="00E441B9">
        <w:rPr>
          <w:rFonts w:ascii="Arial" w:hAnsi="Arial" w:cs="Arial"/>
        </w:rPr>
        <w:t xml:space="preserve"> </w:t>
      </w:r>
      <w:r w:rsidR="00E139E1" w:rsidRPr="00E441B9">
        <w:rPr>
          <w:rFonts w:ascii="Arial" w:hAnsi="Arial" w:cs="Arial"/>
        </w:rPr>
        <w:t xml:space="preserve">site and submitted to </w:t>
      </w:r>
      <w:r w:rsidR="001F039A" w:rsidRPr="00E441B9">
        <w:rPr>
          <w:rFonts w:ascii="Arial" w:hAnsi="Arial" w:cs="Arial"/>
        </w:rPr>
        <w:t>the delegated authority</w:t>
      </w:r>
      <w:r w:rsidR="00E139E1" w:rsidRPr="00E441B9">
        <w:rPr>
          <w:rFonts w:ascii="Arial" w:hAnsi="Arial" w:cs="Arial"/>
        </w:rPr>
        <w:t xml:space="preserve"> if requested</w:t>
      </w:r>
      <w:r w:rsidR="00DF24EC" w:rsidRPr="00E441B9">
        <w:rPr>
          <w:rFonts w:ascii="Arial" w:hAnsi="Arial" w:cs="Arial"/>
        </w:rPr>
        <w:t xml:space="preserve"> (§63.11225(c</w:t>
      </w:r>
      <w:proofErr w:type="gramStart"/>
      <w:r w:rsidR="00DF24EC" w:rsidRPr="00E441B9">
        <w:rPr>
          <w:rFonts w:ascii="Arial" w:hAnsi="Arial" w:cs="Arial"/>
        </w:rPr>
        <w:t>)(</w:t>
      </w:r>
      <w:proofErr w:type="gramEnd"/>
      <w:r w:rsidR="00DF24EC" w:rsidRPr="00E441B9">
        <w:rPr>
          <w:rFonts w:ascii="Arial" w:hAnsi="Arial" w:cs="Arial"/>
        </w:rPr>
        <w:t>2)(</w:t>
      </w:r>
      <w:proofErr w:type="spellStart"/>
      <w:r w:rsidR="00DF24EC" w:rsidRPr="00E441B9">
        <w:rPr>
          <w:rFonts w:ascii="Arial" w:hAnsi="Arial" w:cs="Arial"/>
        </w:rPr>
        <w:t>i</w:t>
      </w:r>
      <w:proofErr w:type="spellEnd"/>
      <w:r w:rsidR="00DF24EC" w:rsidRPr="00E441B9">
        <w:rPr>
          <w:rFonts w:ascii="Arial" w:hAnsi="Arial" w:cs="Arial"/>
        </w:rPr>
        <w:t>))</w:t>
      </w:r>
      <w:r w:rsidR="00E139E1" w:rsidRPr="00E441B9">
        <w:rPr>
          <w:rFonts w:ascii="Arial" w:hAnsi="Arial" w:cs="Arial"/>
        </w:rPr>
        <w:t>.</w:t>
      </w:r>
      <w:r w:rsidR="005B12A4" w:rsidRPr="00E441B9">
        <w:rPr>
          <w:rFonts w:ascii="Arial" w:hAnsi="Arial" w:cs="Arial"/>
        </w:rPr>
        <w:t>You may use the enclosed forms to document the tune-up, keep records, and meet the reporting requirement.</w:t>
      </w:r>
    </w:p>
    <w:p w:rsidR="007D2749" w:rsidRDefault="007D2749">
      <w:pPr>
        <w:rPr>
          <w:rFonts w:ascii="Arial" w:hAnsi="Arial" w:cs="Arial"/>
          <w:b/>
          <w:i/>
        </w:rPr>
      </w:pPr>
    </w:p>
    <w:p w:rsidR="006F7941" w:rsidRPr="007D2749" w:rsidRDefault="00D51318">
      <w:pPr>
        <w:rPr>
          <w:rFonts w:ascii="Arial" w:hAnsi="Arial" w:cs="Arial"/>
        </w:rPr>
      </w:pPr>
      <w:r w:rsidRPr="007D2749">
        <w:rPr>
          <w:rFonts w:ascii="Arial" w:hAnsi="Arial" w:cs="Arial"/>
          <w:b/>
          <w:i/>
        </w:rPr>
        <w:t>For More Information:</w:t>
      </w:r>
      <w:r w:rsidR="00011A9A" w:rsidRPr="007D2749">
        <w:rPr>
          <w:rFonts w:ascii="Arial" w:hAnsi="Arial" w:cs="Arial"/>
          <w:b/>
        </w:rPr>
        <w:t xml:space="preserve">  </w:t>
      </w:r>
      <w:r w:rsidR="007A356C" w:rsidRPr="007D2749">
        <w:rPr>
          <w:rFonts w:ascii="Arial" w:hAnsi="Arial" w:cs="Arial"/>
        </w:rPr>
        <w:t xml:space="preserve">The complete regulatory text for the </w:t>
      </w:r>
      <w:r w:rsidR="000A1416" w:rsidRPr="007D2749">
        <w:rPr>
          <w:rFonts w:ascii="Arial" w:hAnsi="Arial" w:cs="Arial"/>
          <w:color w:val="000000"/>
        </w:rPr>
        <w:t xml:space="preserve">National Emission Standards for Hazardous Air Pollutants for Area Sources: Industrial, Commercial, and Institutional Boilers final rule, </w:t>
      </w:r>
      <w:r w:rsidR="000A1416" w:rsidRPr="007D2749">
        <w:rPr>
          <w:rFonts w:ascii="Arial" w:hAnsi="Arial" w:cs="Arial"/>
        </w:rPr>
        <w:t xml:space="preserve">40 CFR </w:t>
      </w:r>
      <w:proofErr w:type="gramStart"/>
      <w:r w:rsidR="006F426F" w:rsidRPr="007D2749">
        <w:rPr>
          <w:rFonts w:ascii="Arial" w:hAnsi="Arial" w:cs="Arial"/>
        </w:rPr>
        <w:t>part</w:t>
      </w:r>
      <w:proofErr w:type="gramEnd"/>
      <w:r w:rsidR="006F426F" w:rsidRPr="007D2749">
        <w:rPr>
          <w:rFonts w:ascii="Arial" w:hAnsi="Arial" w:cs="Arial"/>
        </w:rPr>
        <w:t xml:space="preserve"> </w:t>
      </w:r>
      <w:r w:rsidR="000A1416" w:rsidRPr="007D2749">
        <w:rPr>
          <w:rFonts w:ascii="Arial" w:hAnsi="Arial" w:cs="Arial"/>
        </w:rPr>
        <w:t>63</w:t>
      </w:r>
      <w:r w:rsidR="006F426F" w:rsidRPr="007D2749">
        <w:rPr>
          <w:rFonts w:ascii="Arial" w:hAnsi="Arial" w:cs="Arial"/>
        </w:rPr>
        <w:t>,</w:t>
      </w:r>
      <w:r w:rsidR="008F1902" w:rsidRPr="007D2749">
        <w:rPr>
          <w:rFonts w:ascii="Arial" w:hAnsi="Arial" w:cs="Arial"/>
        </w:rPr>
        <w:t xml:space="preserve"> subpart JJJJJJ</w:t>
      </w:r>
      <w:r w:rsidR="000A1416" w:rsidRPr="007D2749">
        <w:rPr>
          <w:rFonts w:ascii="Arial" w:hAnsi="Arial" w:cs="Arial"/>
        </w:rPr>
        <w:t xml:space="preserve">, </w:t>
      </w:r>
      <w:r w:rsidR="000A1416" w:rsidRPr="007D2749">
        <w:rPr>
          <w:rFonts w:ascii="Arial" w:hAnsi="Arial" w:cs="Arial"/>
          <w:color w:val="000000"/>
        </w:rPr>
        <w:t>can be found at</w:t>
      </w:r>
      <w:r w:rsidR="00F77BFF" w:rsidRPr="007D2749">
        <w:rPr>
          <w:rFonts w:ascii="Arial" w:hAnsi="Arial" w:cs="Arial"/>
        </w:rPr>
        <w:t xml:space="preserve"> </w:t>
      </w:r>
      <w:hyperlink r:id="rId8" w:history="1">
        <w:r w:rsidR="00F77BFF" w:rsidRPr="007D2749">
          <w:rPr>
            <w:rStyle w:val="Hyperlink"/>
            <w:rFonts w:ascii="Arial" w:hAnsi="Arial" w:cs="Arial"/>
          </w:rPr>
          <w:t>http://edocket.access.gpo.gov/2011/pdf/2011-4493.pdf</w:t>
        </w:r>
      </w:hyperlink>
      <w:r w:rsidR="00011A9A" w:rsidRPr="007D2749">
        <w:rPr>
          <w:rFonts w:ascii="Arial" w:hAnsi="Arial" w:cs="Arial"/>
          <w:color w:val="000000"/>
        </w:rPr>
        <w:t>.</w:t>
      </w:r>
      <w:r w:rsidR="006F7941" w:rsidRPr="007D2749">
        <w:rPr>
          <w:rFonts w:ascii="Arial" w:hAnsi="Arial" w:cs="Arial"/>
        </w:rPr>
        <w:br w:type="page"/>
      </w:r>
    </w:p>
    <w:p w:rsidR="006F7941" w:rsidRPr="00926694" w:rsidRDefault="00847E52" w:rsidP="006F7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94">
        <w:rPr>
          <w:rFonts w:ascii="Arial" w:hAnsi="Arial" w:cs="Arial"/>
          <w:b/>
          <w:sz w:val="28"/>
          <w:szCs w:val="28"/>
        </w:rPr>
        <w:lastRenderedPageBreak/>
        <w:t>EXAMPLE</w:t>
      </w:r>
      <w:r w:rsidR="004251A6" w:rsidRPr="00926694">
        <w:rPr>
          <w:rFonts w:ascii="Arial" w:hAnsi="Arial" w:cs="Arial"/>
          <w:b/>
          <w:sz w:val="28"/>
          <w:szCs w:val="28"/>
        </w:rPr>
        <w:t xml:space="preserve"> Tune-up </w:t>
      </w:r>
      <w:r w:rsidR="005946AF" w:rsidRPr="00926694">
        <w:rPr>
          <w:rFonts w:ascii="Arial" w:hAnsi="Arial" w:cs="Arial"/>
          <w:b/>
          <w:sz w:val="28"/>
          <w:szCs w:val="28"/>
        </w:rPr>
        <w:t>Record</w:t>
      </w:r>
      <w:r w:rsidR="00B56A8D" w:rsidRPr="00926694">
        <w:rPr>
          <w:rFonts w:ascii="Arial" w:hAnsi="Arial" w:cs="Arial"/>
          <w:b/>
          <w:sz w:val="28"/>
          <w:szCs w:val="28"/>
        </w:rPr>
        <w:t xml:space="preserve"> and Biennial Compliance Certification</w:t>
      </w:r>
    </w:p>
    <w:p w:rsidR="006F7941" w:rsidRPr="00926694" w:rsidRDefault="006F7941" w:rsidP="006F7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7941" w:rsidRPr="00926694" w:rsidRDefault="006F7941" w:rsidP="006F794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National Emission Standards for Hazardous Air Pollutants</w:t>
      </w:r>
      <w:r w:rsidR="000D2B7E">
        <w:rPr>
          <w:rFonts w:ascii="Arial" w:hAnsi="Arial" w:cs="Arial"/>
          <w:sz w:val="24"/>
          <w:szCs w:val="24"/>
        </w:rPr>
        <w:t xml:space="preserve"> for Area Sources</w:t>
      </w:r>
      <w:r w:rsidRPr="00926694">
        <w:rPr>
          <w:rFonts w:ascii="Arial" w:hAnsi="Arial" w:cs="Arial"/>
          <w:sz w:val="24"/>
          <w:szCs w:val="24"/>
        </w:rPr>
        <w:t xml:space="preserve">: </w:t>
      </w:r>
    </w:p>
    <w:p w:rsidR="006F7941" w:rsidRPr="00926694" w:rsidRDefault="006F7941" w:rsidP="006F794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bCs/>
          <w:sz w:val="24"/>
          <w:szCs w:val="24"/>
        </w:rPr>
        <w:t>Industrial, Commercial, and Institutional Boilers</w:t>
      </w:r>
    </w:p>
    <w:p w:rsidR="006F7941" w:rsidRDefault="006F7941" w:rsidP="006F794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40 CFR Part 63 Subpart </w:t>
      </w:r>
      <w:r w:rsidRPr="00926694">
        <w:rPr>
          <w:rFonts w:ascii="Arial" w:hAnsi="Arial" w:cs="Arial"/>
          <w:b/>
          <w:bCs/>
          <w:sz w:val="24"/>
          <w:szCs w:val="24"/>
        </w:rPr>
        <w:t>JJJJJJ</w:t>
      </w:r>
      <w:r w:rsidRPr="00926694">
        <w:rPr>
          <w:rFonts w:ascii="Arial" w:hAnsi="Arial" w:cs="Arial"/>
          <w:b/>
          <w:sz w:val="24"/>
          <w:szCs w:val="24"/>
        </w:rPr>
        <w:t xml:space="preserve"> </w:t>
      </w:r>
    </w:p>
    <w:p w:rsidR="005463D4" w:rsidRPr="00926694" w:rsidRDefault="005463D4" w:rsidP="006F794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941" w:rsidRPr="00926694" w:rsidRDefault="001C2A53" w:rsidP="006F7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.25pt;margin-top:6pt;width:510pt;height:50.6pt;z-index:251659264;mso-width-relative:margin;mso-height-relative:margin">
            <v:textbox style="mso-next-textbox:#_x0000_s1028">
              <w:txbxContent>
                <w:p w:rsidR="00905117" w:rsidRDefault="00905117" w:rsidP="004135DB"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This 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form shows examples of what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on site records 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should be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maintained to document your tune-up. 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Your regulated boiler may require additional detail, depending on your boiler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design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. This list is not all-inclusive,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because</w:t>
                  </w:r>
                  <w:r w:rsidRPr="004135D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it is not modeled after a particular system, but instead gives only general information that is applicable to most systems.</w:t>
                  </w:r>
                </w:p>
                <w:p w:rsidR="00905117" w:rsidRPr="004135DB" w:rsidRDefault="00905117" w:rsidP="004135DB"/>
              </w:txbxContent>
            </v:textbox>
          </v:shape>
        </w:pict>
      </w: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0028" w:rsidRPr="00926694" w:rsidRDefault="00330028" w:rsidP="00330028">
      <w:pPr>
        <w:widowControl w:val="0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What is the purpose of this form?</w:t>
      </w:r>
    </w:p>
    <w:p w:rsidR="00330028" w:rsidRPr="00926694" w:rsidRDefault="00330028" w:rsidP="00330028">
      <w:pPr>
        <w:widowControl w:val="0"/>
        <w:ind w:left="72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You may use this form to meet the requirements for completing and documenting a tune-up under the National Emission Standards for Hazardous Air Pollutants </w:t>
      </w:r>
      <w:r w:rsidR="000D2B7E">
        <w:rPr>
          <w:rFonts w:ascii="Arial" w:hAnsi="Arial" w:cs="Arial"/>
          <w:sz w:val="24"/>
          <w:szCs w:val="24"/>
        </w:rPr>
        <w:t xml:space="preserve">for </w:t>
      </w:r>
      <w:r w:rsidR="000D2B7E" w:rsidRPr="00926694">
        <w:rPr>
          <w:rFonts w:ascii="Arial" w:hAnsi="Arial" w:cs="Arial"/>
          <w:sz w:val="24"/>
          <w:szCs w:val="24"/>
        </w:rPr>
        <w:t>Area Sources</w:t>
      </w:r>
      <w:r w:rsidR="000D2B7E">
        <w:rPr>
          <w:rFonts w:ascii="Arial" w:hAnsi="Arial" w:cs="Arial"/>
          <w:sz w:val="24"/>
          <w:szCs w:val="24"/>
        </w:rPr>
        <w:t>:</w:t>
      </w:r>
      <w:r w:rsidR="000D2B7E" w:rsidRPr="00926694">
        <w:rPr>
          <w:rFonts w:ascii="Arial" w:hAnsi="Arial" w:cs="Arial"/>
          <w:sz w:val="24"/>
          <w:szCs w:val="24"/>
        </w:rPr>
        <w:t xml:space="preserve"> </w:t>
      </w:r>
      <w:r w:rsidRPr="00926694">
        <w:rPr>
          <w:rFonts w:ascii="Arial" w:hAnsi="Arial" w:cs="Arial"/>
          <w:sz w:val="24"/>
          <w:szCs w:val="24"/>
        </w:rPr>
        <w:t xml:space="preserve"> Industrial, Commercial, and Institutional Boilers. However, you may </w:t>
      </w:r>
      <w:r w:rsidR="008D34F7">
        <w:rPr>
          <w:rFonts w:ascii="Arial" w:hAnsi="Arial" w:cs="Arial"/>
          <w:sz w:val="24"/>
          <w:szCs w:val="24"/>
        </w:rPr>
        <w:t xml:space="preserve">also </w:t>
      </w:r>
      <w:r w:rsidRPr="00926694">
        <w:rPr>
          <w:rFonts w:ascii="Arial" w:hAnsi="Arial" w:cs="Arial"/>
          <w:sz w:val="24"/>
          <w:szCs w:val="24"/>
        </w:rPr>
        <w:t>record the information in another form or format.</w:t>
      </w:r>
    </w:p>
    <w:p w:rsidR="00330028" w:rsidRDefault="00330028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3B8C" w:rsidRPr="00926694" w:rsidRDefault="00246272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>SECTION I</w:t>
      </w:r>
      <w:r w:rsidR="00413B8C"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="005463D4">
        <w:rPr>
          <w:rFonts w:ascii="Arial" w:hAnsi="Arial" w:cs="Arial"/>
          <w:b/>
          <w:sz w:val="24"/>
          <w:szCs w:val="24"/>
        </w:rPr>
        <w:t>I</w:t>
      </w:r>
      <w:r w:rsidR="00413B8C" w:rsidRPr="00926694">
        <w:rPr>
          <w:rFonts w:ascii="Arial" w:hAnsi="Arial" w:cs="Arial"/>
          <w:b/>
          <w:sz w:val="24"/>
          <w:szCs w:val="24"/>
        </w:rPr>
        <w:t>NSTRUCTIONS</w:t>
      </w:r>
      <w:r w:rsidR="00413B8C" w:rsidRPr="00926694" w:rsidDel="00D97CCB">
        <w:rPr>
          <w:rFonts w:ascii="Arial" w:hAnsi="Arial" w:cs="Arial"/>
          <w:b/>
          <w:sz w:val="24"/>
          <w:szCs w:val="24"/>
        </w:rPr>
        <w:t xml:space="preserve">  </w:t>
      </w:r>
    </w:p>
    <w:p w:rsidR="005463D4" w:rsidRDefault="005463D4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02034" w:rsidRPr="00330028" w:rsidDel="00D97CCB" w:rsidRDefault="00402034" w:rsidP="00413B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330028">
        <w:rPr>
          <w:rFonts w:ascii="Arial" w:hAnsi="Arial" w:cs="Arial"/>
          <w:b/>
          <w:i/>
        </w:rPr>
        <w:t>Check the applicable box</w:t>
      </w:r>
      <w:r w:rsidR="008F07EE">
        <w:rPr>
          <w:rFonts w:ascii="Arial" w:hAnsi="Arial" w:cs="Arial"/>
          <w:b/>
          <w:i/>
        </w:rPr>
        <w:t xml:space="preserve"> below:</w:t>
      </w:r>
    </w:p>
    <w:p w:rsidR="004135DB" w:rsidRPr="00926694" w:rsidRDefault="004135D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7CCB" w:rsidRPr="00926694" w:rsidRDefault="001C2A53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97CCB" w:rsidRPr="00926694">
        <w:rPr>
          <w:rFonts w:ascii="Arial" w:hAnsi="Arial" w:cs="Arial"/>
        </w:rPr>
        <w:instrText xml:space="preserve"> FORMCHECKBOX </w:instrText>
      </w:r>
      <w:r w:rsidRPr="00926694">
        <w:rPr>
          <w:rFonts w:ascii="Arial" w:hAnsi="Arial" w:cs="Arial"/>
        </w:rPr>
      </w:r>
      <w:r w:rsidRPr="00926694">
        <w:rPr>
          <w:rFonts w:ascii="Arial" w:hAnsi="Arial" w:cs="Arial"/>
        </w:rPr>
        <w:fldChar w:fldCharType="end"/>
      </w:r>
      <w:r w:rsidR="00D97CCB" w:rsidRPr="00926694">
        <w:rPr>
          <w:rFonts w:ascii="Arial" w:hAnsi="Arial" w:cs="Arial"/>
        </w:rPr>
        <w:t xml:space="preserve">   My boiler is subject to a tune-up </w:t>
      </w:r>
      <w:r w:rsidR="00115985">
        <w:rPr>
          <w:rFonts w:ascii="Arial" w:hAnsi="Arial" w:cs="Arial"/>
        </w:rPr>
        <w:t>requirement</w:t>
      </w:r>
      <w:r w:rsidR="00D97CCB" w:rsidRPr="00926694">
        <w:rPr>
          <w:rFonts w:ascii="Arial" w:hAnsi="Arial" w:cs="Arial"/>
        </w:rPr>
        <w:t>.</w:t>
      </w:r>
    </w:p>
    <w:p w:rsidR="00D97CCB" w:rsidRPr="00926694" w:rsidRDefault="00B56A8D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163195</wp:posOffset>
            </wp:positionV>
            <wp:extent cx="387350" cy="365760"/>
            <wp:effectExtent l="19050" t="0" r="0" b="0"/>
            <wp:wrapTight wrapText="bothSides">
              <wp:wrapPolygon edited="0">
                <wp:start x="2125" y="0"/>
                <wp:lineTo x="-1062" y="4500"/>
                <wp:lineTo x="-1062" y="13500"/>
                <wp:lineTo x="2125" y="19125"/>
                <wp:lineTo x="16997" y="19125"/>
                <wp:lineTo x="18059" y="19125"/>
                <wp:lineTo x="19121" y="18000"/>
                <wp:lineTo x="18059" y="18000"/>
                <wp:lineTo x="20184" y="13500"/>
                <wp:lineTo x="20184" y="4500"/>
                <wp:lineTo x="16997" y="0"/>
                <wp:lineTo x="2125" y="0"/>
              </wp:wrapPolygon>
            </wp:wrapTight>
            <wp:docPr id="4" name="Picture 1" descr="C:\Documents and Settings\ASingleton\Local Settings\Temporary Internet Files\Content.IE5\0JAXMH8Z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ingleton\Local Settings\Temporary Internet Files\Content.IE5\0JAXMH8Z\MC90041124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5D5" w:rsidRDefault="00C25FEC" w:rsidP="002525D5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</w:rPr>
        <w:t>If you did not check the box above</w:t>
      </w:r>
      <w:r w:rsidR="00330028">
        <w:rPr>
          <w:rFonts w:ascii="Arial" w:hAnsi="Arial" w:cs="Arial"/>
        </w:rPr>
        <w:t>,</w:t>
      </w:r>
      <w:r w:rsidRPr="00926694">
        <w:rPr>
          <w:rFonts w:ascii="Arial" w:hAnsi="Arial" w:cs="Arial"/>
        </w:rPr>
        <w:t xml:space="preserve"> </w:t>
      </w:r>
      <w:r w:rsidRPr="000E3D35">
        <w:rPr>
          <w:rFonts w:ascii="Arial" w:hAnsi="Arial" w:cs="Arial"/>
        </w:rPr>
        <w:t>do not use this example record</w:t>
      </w:r>
      <w:r w:rsidRPr="00926694">
        <w:rPr>
          <w:rFonts w:ascii="Arial" w:hAnsi="Arial" w:cs="Arial"/>
        </w:rPr>
        <w:t>.</w:t>
      </w:r>
      <w:r w:rsidR="008F07EE">
        <w:rPr>
          <w:rFonts w:ascii="Arial" w:hAnsi="Arial" w:cs="Arial"/>
        </w:rPr>
        <w:t xml:space="preserve"> There is a separate </w:t>
      </w:r>
      <w:r w:rsidR="00E441B9">
        <w:rPr>
          <w:rFonts w:ascii="Arial" w:hAnsi="Arial" w:cs="Arial"/>
        </w:rPr>
        <w:t xml:space="preserve">set of records and </w:t>
      </w:r>
      <w:r w:rsidR="008F07EE">
        <w:rPr>
          <w:rFonts w:ascii="Arial" w:hAnsi="Arial" w:cs="Arial"/>
        </w:rPr>
        <w:t xml:space="preserve">compliance certification form that </w:t>
      </w:r>
      <w:r w:rsidR="00616B24">
        <w:rPr>
          <w:rFonts w:ascii="Arial" w:hAnsi="Arial" w:cs="Arial"/>
        </w:rPr>
        <w:t xml:space="preserve">may </w:t>
      </w:r>
      <w:r w:rsidR="008F07EE">
        <w:rPr>
          <w:rFonts w:ascii="Arial" w:hAnsi="Arial" w:cs="Arial"/>
        </w:rPr>
        <w:t>appl</w:t>
      </w:r>
      <w:r w:rsidR="00616B24">
        <w:rPr>
          <w:rFonts w:ascii="Arial" w:hAnsi="Arial" w:cs="Arial"/>
        </w:rPr>
        <w:t>y</w:t>
      </w:r>
      <w:r w:rsidR="008F07EE">
        <w:rPr>
          <w:rFonts w:ascii="Arial" w:hAnsi="Arial" w:cs="Arial"/>
        </w:rPr>
        <w:t xml:space="preserve"> to you. </w:t>
      </w:r>
      <w:r w:rsidR="00026C26">
        <w:rPr>
          <w:rFonts w:ascii="Arial" w:hAnsi="Arial" w:cs="Arial"/>
        </w:rPr>
        <w:t xml:space="preserve">See </w:t>
      </w:r>
      <w:hyperlink r:id="rId10" w:history="1">
        <w:r w:rsidR="00026C26" w:rsidRPr="00C661E6">
          <w:rPr>
            <w:rStyle w:val="Hyperlink"/>
            <w:rFonts w:ascii="Arial" w:hAnsi="Arial" w:cs="Arial"/>
          </w:rPr>
          <w:t>http://www.epa.gov/ttn/atw/boiler/boilerpg.html</w:t>
        </w:r>
      </w:hyperlink>
      <w:r w:rsidR="00026C26">
        <w:rPr>
          <w:rFonts w:ascii="Arial" w:hAnsi="Arial" w:cs="Arial"/>
          <w:b/>
          <w:i/>
        </w:rPr>
        <w:t xml:space="preserve"> </w:t>
      </w:r>
      <w:r w:rsidR="00026C26" w:rsidRPr="00026C26">
        <w:rPr>
          <w:rFonts w:ascii="Arial" w:hAnsi="Arial" w:cs="Arial"/>
        </w:rPr>
        <w:t>for additional implementation tools.</w:t>
      </w:r>
    </w:p>
    <w:p w:rsidR="00413B8C" w:rsidRPr="00926694" w:rsidRDefault="00413B8C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7CCB" w:rsidRPr="00926694" w:rsidRDefault="00D97CCB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0CC5" w:rsidRPr="00926694" w:rsidRDefault="008B0CC5" w:rsidP="00D97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When is this form due</w:t>
      </w:r>
      <w:r w:rsidR="002525D5" w:rsidRPr="002525D5">
        <w:rPr>
          <w:rFonts w:ascii="Arial" w:hAnsi="Arial" w:cs="Arial"/>
          <w:i/>
          <w:sz w:val="24"/>
          <w:szCs w:val="24"/>
        </w:rPr>
        <w:t xml:space="preserve"> (§63.11225(b))</w:t>
      </w:r>
      <w:r w:rsidRPr="00926694">
        <w:rPr>
          <w:rFonts w:ascii="Arial" w:hAnsi="Arial" w:cs="Arial"/>
          <w:b/>
          <w:i/>
          <w:sz w:val="24"/>
          <w:szCs w:val="24"/>
        </w:rPr>
        <w:t xml:space="preserve">? </w:t>
      </w:r>
      <w:r w:rsidR="00D97CCB" w:rsidRPr="00926694">
        <w:rPr>
          <w:rFonts w:ascii="Arial" w:hAnsi="Arial" w:cs="Arial"/>
          <w:i/>
          <w:sz w:val="24"/>
          <w:szCs w:val="24"/>
        </w:rPr>
        <w:t xml:space="preserve"> </w:t>
      </w:r>
    </w:p>
    <w:p w:rsidR="008B0CC5" w:rsidRPr="00926694" w:rsidRDefault="008B0CC5" w:rsidP="00D97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7CCB" w:rsidRPr="00926694" w:rsidRDefault="008B0CC5" w:rsidP="00885E0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Existing Sources: </w:t>
      </w:r>
      <w:r w:rsidRPr="00926694">
        <w:rPr>
          <w:rFonts w:ascii="Arial" w:hAnsi="Arial" w:cs="Arial"/>
          <w:sz w:val="24"/>
          <w:szCs w:val="24"/>
        </w:rPr>
        <w:tab/>
      </w:r>
      <w:r w:rsidR="00117520">
        <w:rPr>
          <w:rFonts w:ascii="Arial" w:hAnsi="Arial" w:cs="Arial"/>
          <w:sz w:val="24"/>
          <w:szCs w:val="24"/>
        </w:rPr>
        <w:t xml:space="preserve">For each tune-up conducted, </w:t>
      </w:r>
      <w:r w:rsidR="00905117">
        <w:rPr>
          <w:rFonts w:ascii="Arial" w:hAnsi="Arial" w:cs="Arial"/>
          <w:sz w:val="24"/>
          <w:szCs w:val="24"/>
        </w:rPr>
        <w:t xml:space="preserve">Sections I-V of this form </w:t>
      </w:r>
      <w:proofErr w:type="gramStart"/>
      <w:r w:rsidR="00905117">
        <w:rPr>
          <w:rFonts w:ascii="Arial" w:hAnsi="Arial" w:cs="Arial"/>
          <w:sz w:val="24"/>
          <w:szCs w:val="24"/>
        </w:rPr>
        <w:t>are</w:t>
      </w:r>
      <w:proofErr w:type="gramEnd"/>
      <w:r w:rsidR="00905117">
        <w:rPr>
          <w:rFonts w:ascii="Arial" w:hAnsi="Arial" w:cs="Arial"/>
          <w:sz w:val="24"/>
          <w:szCs w:val="24"/>
        </w:rPr>
        <w:t xml:space="preserve"> records that </w:t>
      </w:r>
      <w:r w:rsidR="00117520">
        <w:rPr>
          <w:rFonts w:ascii="Arial" w:hAnsi="Arial" w:cs="Arial"/>
          <w:sz w:val="24"/>
          <w:szCs w:val="24"/>
        </w:rPr>
        <w:t>you should keep</w:t>
      </w:r>
      <w:r w:rsidR="00905117">
        <w:rPr>
          <w:rFonts w:ascii="Arial" w:hAnsi="Arial" w:cs="Arial"/>
          <w:sz w:val="24"/>
          <w:szCs w:val="24"/>
        </w:rPr>
        <w:t xml:space="preserve"> to demonstrate compliance with this rule. The first tune-up should be completed by March 21, 2012. </w:t>
      </w:r>
      <w:r w:rsidR="00117520">
        <w:rPr>
          <w:rFonts w:ascii="Arial" w:hAnsi="Arial" w:cs="Arial"/>
          <w:sz w:val="24"/>
          <w:szCs w:val="24"/>
        </w:rPr>
        <w:t xml:space="preserve">The </w:t>
      </w:r>
      <w:r w:rsidR="00905117">
        <w:rPr>
          <w:rFonts w:ascii="Arial" w:hAnsi="Arial" w:cs="Arial"/>
          <w:color w:val="000000"/>
          <w:sz w:val="24"/>
          <w:szCs w:val="24"/>
        </w:rPr>
        <w:t>next</w:t>
      </w:r>
      <w:r w:rsidR="001128EC" w:rsidRPr="001128EC">
        <w:rPr>
          <w:rFonts w:ascii="Arial" w:hAnsi="Arial" w:cs="Arial"/>
          <w:color w:val="000000"/>
          <w:sz w:val="24"/>
          <w:szCs w:val="24"/>
        </w:rPr>
        <w:t xml:space="preserve"> biennial tune-up should be c</w:t>
      </w:r>
      <w:r w:rsidR="00905117">
        <w:rPr>
          <w:rFonts w:ascii="Arial" w:hAnsi="Arial" w:cs="Arial"/>
          <w:color w:val="000000"/>
          <w:sz w:val="24"/>
          <w:szCs w:val="24"/>
        </w:rPr>
        <w:t>ompleted no later than 25 months</w:t>
      </w:r>
      <w:r w:rsidR="006D7F80">
        <w:rPr>
          <w:rFonts w:ascii="Arial" w:hAnsi="Arial" w:cs="Arial"/>
          <w:color w:val="000000"/>
          <w:sz w:val="24"/>
          <w:szCs w:val="24"/>
        </w:rPr>
        <w:t xml:space="preserve"> after </w:t>
      </w:r>
      <w:r w:rsidR="00117520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D7F80">
        <w:rPr>
          <w:rFonts w:ascii="Arial" w:hAnsi="Arial" w:cs="Arial"/>
          <w:color w:val="000000"/>
          <w:sz w:val="24"/>
          <w:szCs w:val="24"/>
        </w:rPr>
        <w:t xml:space="preserve">initial tune-up. </w:t>
      </w:r>
      <w:r w:rsidR="00D97CCB" w:rsidRPr="00926694">
        <w:rPr>
          <w:rFonts w:ascii="Arial" w:hAnsi="Arial" w:cs="Arial"/>
          <w:sz w:val="24"/>
          <w:szCs w:val="24"/>
        </w:rPr>
        <w:t xml:space="preserve">The first biennial compliance </w:t>
      </w:r>
      <w:r w:rsidR="00885E09" w:rsidRPr="00926694">
        <w:rPr>
          <w:rFonts w:ascii="Arial" w:hAnsi="Arial" w:cs="Arial"/>
          <w:sz w:val="24"/>
          <w:szCs w:val="24"/>
        </w:rPr>
        <w:t>certification</w:t>
      </w:r>
      <w:r w:rsidR="006D7F80">
        <w:rPr>
          <w:rFonts w:ascii="Arial" w:hAnsi="Arial" w:cs="Arial"/>
          <w:sz w:val="24"/>
          <w:szCs w:val="24"/>
        </w:rPr>
        <w:t xml:space="preserve"> (Section V</w:t>
      </w:r>
      <w:r w:rsidR="002C28A9">
        <w:rPr>
          <w:rFonts w:ascii="Arial" w:hAnsi="Arial" w:cs="Arial"/>
          <w:sz w:val="24"/>
          <w:szCs w:val="24"/>
        </w:rPr>
        <w:t>I</w:t>
      </w:r>
      <w:r w:rsidR="006D7F80">
        <w:rPr>
          <w:rFonts w:ascii="Arial" w:hAnsi="Arial" w:cs="Arial"/>
          <w:sz w:val="24"/>
          <w:szCs w:val="24"/>
        </w:rPr>
        <w:t xml:space="preserve"> of this form)</w:t>
      </w:r>
      <w:r w:rsidR="00D97CCB" w:rsidRPr="00926694">
        <w:rPr>
          <w:rFonts w:ascii="Arial" w:hAnsi="Arial" w:cs="Arial"/>
          <w:sz w:val="24"/>
          <w:szCs w:val="24"/>
        </w:rPr>
        <w:t xml:space="preserve"> </w:t>
      </w:r>
      <w:r w:rsidR="002562ED">
        <w:rPr>
          <w:rFonts w:ascii="Arial" w:hAnsi="Arial" w:cs="Arial"/>
          <w:sz w:val="24"/>
          <w:szCs w:val="24"/>
        </w:rPr>
        <w:t xml:space="preserve">must </w:t>
      </w:r>
      <w:r w:rsidR="00D97CCB" w:rsidRPr="00926694">
        <w:rPr>
          <w:rFonts w:ascii="Arial" w:hAnsi="Arial" w:cs="Arial"/>
          <w:sz w:val="24"/>
          <w:szCs w:val="24"/>
        </w:rPr>
        <w:t>be prepared by March 1, 201</w:t>
      </w:r>
      <w:r w:rsidR="001128EC">
        <w:rPr>
          <w:rFonts w:ascii="Arial" w:hAnsi="Arial" w:cs="Arial"/>
          <w:sz w:val="24"/>
          <w:szCs w:val="24"/>
        </w:rPr>
        <w:t>5</w:t>
      </w:r>
      <w:r w:rsidR="00E441B9">
        <w:rPr>
          <w:rFonts w:ascii="Arial" w:hAnsi="Arial" w:cs="Arial"/>
          <w:sz w:val="24"/>
          <w:szCs w:val="24"/>
        </w:rPr>
        <w:t>.</w:t>
      </w:r>
      <w:r w:rsidR="001128EC">
        <w:rPr>
          <w:rFonts w:ascii="Arial" w:hAnsi="Arial" w:cs="Arial"/>
          <w:sz w:val="24"/>
          <w:szCs w:val="24"/>
        </w:rPr>
        <w:t xml:space="preserve"> </w:t>
      </w:r>
      <w:r w:rsidR="000E3D35">
        <w:rPr>
          <w:rFonts w:ascii="Arial" w:hAnsi="Arial" w:cs="Arial"/>
          <w:sz w:val="24"/>
          <w:szCs w:val="24"/>
        </w:rPr>
        <w:t xml:space="preserve">Later </w:t>
      </w:r>
      <w:r w:rsidR="00885E09" w:rsidRPr="00926694">
        <w:rPr>
          <w:rFonts w:ascii="Arial" w:hAnsi="Arial" w:cs="Arial"/>
          <w:sz w:val="24"/>
          <w:szCs w:val="24"/>
        </w:rPr>
        <w:t>certifications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2562ED">
        <w:rPr>
          <w:rFonts w:ascii="Arial" w:hAnsi="Arial" w:cs="Arial"/>
          <w:sz w:val="24"/>
          <w:szCs w:val="24"/>
        </w:rPr>
        <w:t xml:space="preserve">must </w:t>
      </w:r>
      <w:r w:rsidRPr="00926694">
        <w:rPr>
          <w:rFonts w:ascii="Arial" w:hAnsi="Arial" w:cs="Arial"/>
          <w:sz w:val="24"/>
          <w:szCs w:val="24"/>
        </w:rPr>
        <w:t xml:space="preserve">be prepared </w:t>
      </w:r>
      <w:r w:rsidR="000E3D35" w:rsidRPr="00926694">
        <w:rPr>
          <w:rFonts w:ascii="Arial" w:hAnsi="Arial" w:cs="Arial"/>
          <w:sz w:val="24"/>
          <w:szCs w:val="24"/>
        </w:rPr>
        <w:t xml:space="preserve">every other year </w:t>
      </w:r>
      <w:r w:rsidRPr="00926694">
        <w:rPr>
          <w:rFonts w:ascii="Arial" w:hAnsi="Arial" w:cs="Arial"/>
          <w:sz w:val="24"/>
          <w:szCs w:val="24"/>
        </w:rPr>
        <w:t>by March 1</w:t>
      </w:r>
      <w:r w:rsidR="000E3D35">
        <w:rPr>
          <w:rFonts w:ascii="Arial" w:hAnsi="Arial" w:cs="Arial"/>
          <w:sz w:val="24"/>
          <w:szCs w:val="24"/>
        </w:rPr>
        <w:t>.</w:t>
      </w:r>
      <w:r w:rsidR="001128EC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8B0CC5" w:rsidRPr="00926694" w:rsidRDefault="008B0CC5" w:rsidP="008B0C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</w:p>
    <w:p w:rsidR="008B0CC5" w:rsidRDefault="008B0CC5" w:rsidP="008B0CC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New Sources: </w:t>
      </w:r>
      <w:r w:rsidRPr="00926694">
        <w:rPr>
          <w:rFonts w:ascii="Arial" w:hAnsi="Arial" w:cs="Arial"/>
          <w:sz w:val="24"/>
          <w:szCs w:val="24"/>
        </w:rPr>
        <w:tab/>
        <w:t xml:space="preserve">The first biennial compliance </w:t>
      </w:r>
      <w:r w:rsidR="00885E09" w:rsidRPr="00926694">
        <w:rPr>
          <w:rFonts w:ascii="Arial" w:hAnsi="Arial" w:cs="Arial"/>
          <w:sz w:val="24"/>
          <w:szCs w:val="24"/>
        </w:rPr>
        <w:t>certification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6E5889">
        <w:rPr>
          <w:rFonts w:ascii="Arial" w:hAnsi="Arial" w:cs="Arial"/>
          <w:sz w:val="24"/>
          <w:szCs w:val="24"/>
        </w:rPr>
        <w:t>must</w:t>
      </w:r>
      <w:r w:rsidR="006E5889" w:rsidRPr="00926694">
        <w:rPr>
          <w:rFonts w:ascii="Arial" w:hAnsi="Arial" w:cs="Arial"/>
          <w:sz w:val="24"/>
          <w:szCs w:val="24"/>
        </w:rPr>
        <w:t xml:space="preserve"> </w:t>
      </w:r>
      <w:r w:rsidRPr="00926694">
        <w:rPr>
          <w:rFonts w:ascii="Arial" w:hAnsi="Arial" w:cs="Arial"/>
          <w:sz w:val="24"/>
          <w:szCs w:val="24"/>
        </w:rPr>
        <w:t>be prepared by March 1</w:t>
      </w:r>
      <w:r w:rsidR="004D6A9B" w:rsidRPr="00926694">
        <w:rPr>
          <w:rFonts w:ascii="Arial" w:hAnsi="Arial" w:cs="Arial"/>
          <w:sz w:val="24"/>
          <w:szCs w:val="24"/>
        </w:rPr>
        <w:t>, 2012 or on March 1</w:t>
      </w:r>
      <w:r w:rsidRPr="00926694">
        <w:rPr>
          <w:rFonts w:ascii="Arial" w:hAnsi="Arial" w:cs="Arial"/>
          <w:sz w:val="24"/>
          <w:szCs w:val="24"/>
        </w:rPr>
        <w:t xml:space="preserve"> of the year immediately following </w:t>
      </w:r>
      <w:r w:rsidR="00595CC5">
        <w:rPr>
          <w:rFonts w:ascii="Arial" w:hAnsi="Arial" w:cs="Arial"/>
          <w:sz w:val="24"/>
          <w:szCs w:val="24"/>
        </w:rPr>
        <w:t xml:space="preserve">start up </w:t>
      </w:r>
      <w:r w:rsidRPr="00926694">
        <w:rPr>
          <w:rFonts w:ascii="Arial" w:hAnsi="Arial" w:cs="Arial"/>
          <w:sz w:val="24"/>
          <w:szCs w:val="24"/>
        </w:rPr>
        <w:t xml:space="preserve">of the </w:t>
      </w:r>
      <w:r w:rsidR="00B81613">
        <w:rPr>
          <w:rFonts w:ascii="Arial" w:hAnsi="Arial" w:cs="Arial"/>
          <w:sz w:val="24"/>
          <w:szCs w:val="24"/>
        </w:rPr>
        <w:t xml:space="preserve">new or reconstructed </w:t>
      </w:r>
      <w:r w:rsidRPr="00926694">
        <w:rPr>
          <w:rFonts w:ascii="Arial" w:hAnsi="Arial" w:cs="Arial"/>
          <w:sz w:val="24"/>
          <w:szCs w:val="24"/>
        </w:rPr>
        <w:t>boiler</w:t>
      </w:r>
      <w:r w:rsidR="004D6A9B" w:rsidRPr="00926694">
        <w:rPr>
          <w:rFonts w:ascii="Arial" w:hAnsi="Arial" w:cs="Arial"/>
          <w:sz w:val="24"/>
          <w:szCs w:val="24"/>
        </w:rPr>
        <w:t>, whichever is later.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0E3D35">
        <w:rPr>
          <w:rFonts w:ascii="Arial" w:hAnsi="Arial" w:cs="Arial"/>
          <w:sz w:val="24"/>
          <w:szCs w:val="24"/>
        </w:rPr>
        <w:t xml:space="preserve">Later </w:t>
      </w:r>
      <w:r w:rsidR="00885E09" w:rsidRPr="00926694">
        <w:rPr>
          <w:rFonts w:ascii="Arial" w:hAnsi="Arial" w:cs="Arial"/>
          <w:sz w:val="24"/>
          <w:szCs w:val="24"/>
        </w:rPr>
        <w:t>certifications</w:t>
      </w:r>
      <w:r w:rsidR="004D6A9B" w:rsidRPr="00926694">
        <w:rPr>
          <w:rFonts w:ascii="Arial" w:hAnsi="Arial" w:cs="Arial"/>
          <w:sz w:val="24"/>
          <w:szCs w:val="24"/>
        </w:rPr>
        <w:t xml:space="preserve"> </w:t>
      </w:r>
      <w:r w:rsidR="006E5889">
        <w:rPr>
          <w:rFonts w:ascii="Arial" w:hAnsi="Arial" w:cs="Arial"/>
          <w:sz w:val="24"/>
          <w:szCs w:val="24"/>
        </w:rPr>
        <w:t>must</w:t>
      </w:r>
      <w:r w:rsidR="006E5889" w:rsidRPr="00926694">
        <w:rPr>
          <w:rFonts w:ascii="Arial" w:hAnsi="Arial" w:cs="Arial"/>
          <w:sz w:val="24"/>
          <w:szCs w:val="24"/>
        </w:rPr>
        <w:t xml:space="preserve"> </w:t>
      </w:r>
      <w:r w:rsidR="004D6A9B" w:rsidRPr="00926694">
        <w:rPr>
          <w:rFonts w:ascii="Arial" w:hAnsi="Arial" w:cs="Arial"/>
          <w:sz w:val="24"/>
          <w:szCs w:val="24"/>
        </w:rPr>
        <w:t xml:space="preserve">be prepared </w:t>
      </w:r>
      <w:r w:rsidR="000E3D35" w:rsidRPr="00926694">
        <w:rPr>
          <w:rFonts w:ascii="Arial" w:hAnsi="Arial" w:cs="Arial"/>
          <w:sz w:val="24"/>
          <w:szCs w:val="24"/>
        </w:rPr>
        <w:t xml:space="preserve">every other year </w:t>
      </w:r>
      <w:r w:rsidR="004D6A9B" w:rsidRPr="00926694">
        <w:rPr>
          <w:rFonts w:ascii="Arial" w:hAnsi="Arial" w:cs="Arial"/>
          <w:sz w:val="24"/>
          <w:szCs w:val="24"/>
        </w:rPr>
        <w:t>by March 1.</w:t>
      </w:r>
    </w:p>
    <w:p w:rsidR="008E0966" w:rsidRDefault="008E0966" w:rsidP="008B0CC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8B0CC5" w:rsidRPr="00926694" w:rsidRDefault="008B0CC5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Where do I send this form</w:t>
      </w:r>
      <w:r w:rsidR="002525D5" w:rsidRPr="002525D5">
        <w:rPr>
          <w:rFonts w:ascii="Arial" w:hAnsi="Arial" w:cs="Arial"/>
          <w:i/>
          <w:sz w:val="24"/>
          <w:szCs w:val="24"/>
        </w:rPr>
        <w:t xml:space="preserve"> (§63.11225(b))</w:t>
      </w:r>
      <w:r w:rsidRPr="00926694">
        <w:rPr>
          <w:rFonts w:ascii="Arial" w:hAnsi="Arial" w:cs="Arial"/>
          <w:b/>
          <w:i/>
          <w:sz w:val="24"/>
          <w:szCs w:val="24"/>
        </w:rPr>
        <w:t>?</w:t>
      </w:r>
    </w:p>
    <w:p w:rsidR="008B0CC5" w:rsidRPr="00926694" w:rsidRDefault="008B0CC5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0CC5" w:rsidRPr="00926694" w:rsidRDefault="008B0CC5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This </w:t>
      </w:r>
      <w:r w:rsidR="00885E09" w:rsidRPr="00926694">
        <w:rPr>
          <w:rFonts w:ascii="Arial" w:hAnsi="Arial" w:cs="Arial"/>
          <w:sz w:val="24"/>
          <w:szCs w:val="24"/>
        </w:rPr>
        <w:t>certification</w:t>
      </w:r>
      <w:r w:rsidRPr="00926694">
        <w:rPr>
          <w:rFonts w:ascii="Arial" w:hAnsi="Arial" w:cs="Arial"/>
          <w:sz w:val="24"/>
          <w:szCs w:val="24"/>
        </w:rPr>
        <w:t xml:space="preserve"> does </w:t>
      </w:r>
      <w:r w:rsidRPr="00926694">
        <w:rPr>
          <w:rFonts w:ascii="Arial" w:hAnsi="Arial" w:cs="Arial"/>
          <w:b/>
          <w:i/>
          <w:sz w:val="24"/>
          <w:szCs w:val="24"/>
        </w:rPr>
        <w:t>not</w:t>
      </w:r>
      <w:r w:rsidRPr="00926694">
        <w:rPr>
          <w:rFonts w:ascii="Arial" w:hAnsi="Arial" w:cs="Arial"/>
          <w:sz w:val="24"/>
          <w:szCs w:val="24"/>
        </w:rPr>
        <w:t xml:space="preserve"> need to be submitted, but it must be maint</w:t>
      </w:r>
      <w:r w:rsidR="004D6A9B" w:rsidRPr="00926694">
        <w:rPr>
          <w:rFonts w:ascii="Arial" w:hAnsi="Arial" w:cs="Arial"/>
          <w:sz w:val="24"/>
          <w:szCs w:val="24"/>
        </w:rPr>
        <w:t>ain</w:t>
      </w:r>
      <w:r w:rsidR="0015616F" w:rsidRPr="00926694">
        <w:rPr>
          <w:rFonts w:ascii="Arial" w:hAnsi="Arial" w:cs="Arial"/>
          <w:sz w:val="24"/>
          <w:szCs w:val="24"/>
        </w:rPr>
        <w:t xml:space="preserve">ed on </w:t>
      </w:r>
      <w:r w:rsidRPr="00926694">
        <w:rPr>
          <w:rFonts w:ascii="Arial" w:hAnsi="Arial" w:cs="Arial"/>
          <w:sz w:val="24"/>
          <w:szCs w:val="24"/>
        </w:rPr>
        <w:t>site as a record and may be requested by the delegated authority.</w:t>
      </w:r>
    </w:p>
    <w:p w:rsidR="00BD005C" w:rsidRDefault="00BD005C" w:rsidP="003C1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44DF" w:rsidRPr="00926694" w:rsidRDefault="004444D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 w:rsidDel="00D97CCB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Pr="00926694">
        <w:rPr>
          <w:rFonts w:ascii="Arial" w:hAnsi="Arial" w:cs="Arial"/>
          <w:b/>
          <w:sz w:val="24"/>
          <w:szCs w:val="24"/>
        </w:rPr>
        <w:t>II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 xml:space="preserve">RECORD OF 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GENERAL </w:t>
      </w:r>
      <w:r w:rsidRPr="00926694">
        <w:rPr>
          <w:rFonts w:ascii="Arial" w:hAnsi="Arial" w:cs="Arial"/>
          <w:b/>
          <w:sz w:val="24"/>
          <w:szCs w:val="24"/>
        </w:rPr>
        <w:t xml:space="preserve">BOILER </w:t>
      </w:r>
      <w:r w:rsidRPr="00926694" w:rsidDel="00D97CCB">
        <w:rPr>
          <w:rFonts w:ascii="Arial" w:hAnsi="Arial" w:cs="Arial"/>
          <w:b/>
          <w:sz w:val="24"/>
          <w:szCs w:val="24"/>
        </w:rPr>
        <w:t>INFORMATION</w:t>
      </w:r>
      <w:r w:rsidRPr="00926694">
        <w:rPr>
          <w:rFonts w:ascii="Arial" w:hAnsi="Arial" w:cs="Arial"/>
          <w:sz w:val="24"/>
          <w:szCs w:val="24"/>
        </w:rPr>
        <w:t xml:space="preserve"> </w:t>
      </w:r>
    </w:p>
    <w:p w:rsidR="004444DF" w:rsidRPr="00926694" w:rsidRDefault="004444D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44DF" w:rsidRPr="00926694" w:rsidRDefault="0015616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Date</w:t>
      </w:r>
      <w:proofErr w:type="gramStart"/>
      <w:r w:rsidR="004444DF" w:rsidRPr="00926694">
        <w:rPr>
          <w:rFonts w:ascii="Arial" w:hAnsi="Arial" w:cs="Arial"/>
          <w:sz w:val="24"/>
          <w:szCs w:val="24"/>
        </w:rPr>
        <w:t>:_</w:t>
      </w:r>
      <w:proofErr w:type="gramEnd"/>
      <w:r w:rsidR="004444DF" w:rsidRPr="00926694">
        <w:rPr>
          <w:rFonts w:ascii="Arial" w:hAnsi="Arial" w:cs="Arial"/>
          <w:sz w:val="24"/>
          <w:szCs w:val="24"/>
        </w:rPr>
        <w:t>__________________________</w:t>
      </w:r>
      <w:r w:rsidR="00D11C5A">
        <w:rPr>
          <w:rFonts w:ascii="Arial" w:hAnsi="Arial" w:cs="Arial"/>
          <w:sz w:val="24"/>
          <w:szCs w:val="24"/>
        </w:rPr>
        <w:t>____________________________</w:t>
      </w:r>
    </w:p>
    <w:p w:rsidR="004444DF" w:rsidRPr="00926694" w:rsidRDefault="004444D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44DF" w:rsidRPr="00926694" w:rsidRDefault="0015616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Reporting Period</w:t>
      </w:r>
      <w:proofErr w:type="gramStart"/>
      <w:r w:rsidR="004444DF" w:rsidRPr="00926694">
        <w:rPr>
          <w:rFonts w:ascii="Arial" w:hAnsi="Arial" w:cs="Arial"/>
          <w:sz w:val="24"/>
          <w:szCs w:val="24"/>
        </w:rPr>
        <w:t>:_</w:t>
      </w:r>
      <w:proofErr w:type="gramEnd"/>
      <w:r w:rsidR="004444DF" w:rsidRPr="00926694">
        <w:rPr>
          <w:rFonts w:ascii="Arial" w:hAnsi="Arial" w:cs="Arial"/>
          <w:sz w:val="24"/>
          <w:szCs w:val="24"/>
        </w:rPr>
        <w:t>____________________________________________</w:t>
      </w:r>
    </w:p>
    <w:p w:rsidR="004444DF" w:rsidRPr="00926694" w:rsidRDefault="004444D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7941" w:rsidRPr="00926694" w:rsidRDefault="0015616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Boiler Operator</w:t>
      </w:r>
      <w:proofErr w:type="gramStart"/>
      <w:r w:rsidR="006F7941" w:rsidRPr="00926694">
        <w:rPr>
          <w:rFonts w:ascii="Arial" w:hAnsi="Arial" w:cs="Arial"/>
          <w:sz w:val="24"/>
          <w:szCs w:val="24"/>
        </w:rPr>
        <w:t>:</w:t>
      </w:r>
      <w:r w:rsidR="00F1532E" w:rsidRPr="00926694">
        <w:rPr>
          <w:rFonts w:ascii="Arial" w:hAnsi="Arial" w:cs="Arial"/>
          <w:sz w:val="24"/>
          <w:szCs w:val="24"/>
        </w:rPr>
        <w:t>_</w:t>
      </w:r>
      <w:proofErr w:type="gramEnd"/>
      <w:r w:rsidR="00F1532E" w:rsidRPr="00926694">
        <w:rPr>
          <w:rFonts w:ascii="Arial" w:hAnsi="Arial" w:cs="Arial"/>
          <w:sz w:val="24"/>
          <w:szCs w:val="24"/>
        </w:rPr>
        <w:t>_____________________________________________</w:t>
      </w:r>
    </w:p>
    <w:p w:rsidR="00F1532E" w:rsidRPr="00926694" w:rsidRDefault="00F1532E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7941" w:rsidRPr="00926694" w:rsidRDefault="0015616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Boiler Emission Unit</w:t>
      </w:r>
      <w:r w:rsidR="00E85666" w:rsidRPr="00926694">
        <w:rPr>
          <w:rFonts w:ascii="Arial" w:hAnsi="Arial" w:cs="Arial"/>
          <w:sz w:val="24"/>
          <w:szCs w:val="24"/>
        </w:rPr>
        <w:t xml:space="preserve"> ID</w:t>
      </w:r>
      <w:r w:rsidR="00E85666" w:rsidRPr="00926694">
        <w:rPr>
          <w:rStyle w:val="FootnoteReference"/>
          <w:rFonts w:ascii="Arial" w:hAnsi="Arial" w:cs="Arial"/>
          <w:sz w:val="24"/>
          <w:szCs w:val="24"/>
        </w:rPr>
        <w:footnoteReference w:id="2"/>
      </w:r>
      <w:proofErr w:type="gramStart"/>
      <w:r w:rsidR="006F7941" w:rsidRPr="00926694">
        <w:rPr>
          <w:rFonts w:ascii="Arial" w:hAnsi="Arial" w:cs="Arial"/>
          <w:sz w:val="24"/>
          <w:szCs w:val="24"/>
        </w:rPr>
        <w:t>:</w:t>
      </w:r>
      <w:r w:rsidR="00F1532E" w:rsidRPr="00926694">
        <w:rPr>
          <w:rFonts w:ascii="Arial" w:hAnsi="Arial" w:cs="Arial"/>
          <w:sz w:val="24"/>
          <w:szCs w:val="24"/>
        </w:rPr>
        <w:t>_</w:t>
      </w:r>
      <w:proofErr w:type="gramEnd"/>
      <w:r w:rsidR="00F1532E" w:rsidRPr="00926694">
        <w:rPr>
          <w:rFonts w:ascii="Arial" w:hAnsi="Arial" w:cs="Arial"/>
          <w:sz w:val="24"/>
          <w:szCs w:val="24"/>
        </w:rPr>
        <w:t>_______________________________________</w:t>
      </w:r>
    </w:p>
    <w:p w:rsidR="00F1532E" w:rsidRPr="00926694" w:rsidRDefault="00F1532E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7941" w:rsidRPr="00926694" w:rsidRDefault="0015616F" w:rsidP="006F7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Tune-Up Conducted By</w:t>
      </w:r>
      <w:proofErr w:type="gramStart"/>
      <w:r w:rsidR="006F7941" w:rsidRPr="00926694">
        <w:rPr>
          <w:rFonts w:ascii="Arial" w:hAnsi="Arial" w:cs="Arial"/>
          <w:sz w:val="24"/>
          <w:szCs w:val="24"/>
        </w:rPr>
        <w:t>:</w:t>
      </w:r>
      <w:r w:rsidR="00F1532E" w:rsidRPr="00926694">
        <w:rPr>
          <w:rFonts w:ascii="Arial" w:hAnsi="Arial" w:cs="Arial"/>
          <w:sz w:val="24"/>
          <w:szCs w:val="24"/>
        </w:rPr>
        <w:t>_</w:t>
      </w:r>
      <w:proofErr w:type="gramEnd"/>
      <w:r w:rsidR="00F1532E" w:rsidRPr="00926694">
        <w:rPr>
          <w:rFonts w:ascii="Arial" w:hAnsi="Arial" w:cs="Arial"/>
          <w:sz w:val="24"/>
          <w:szCs w:val="24"/>
        </w:rPr>
        <w:t>_______________________________________</w:t>
      </w:r>
    </w:p>
    <w:p w:rsidR="006F7941" w:rsidRDefault="00270A83" w:rsidP="00270A8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Please Print</w:t>
      </w:r>
    </w:p>
    <w:p w:rsidR="00010A0E" w:rsidRPr="00926694" w:rsidRDefault="00010A0E" w:rsidP="00270A8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</w:p>
    <w:p w:rsidR="00BC04BF" w:rsidRPr="00F82DB7" w:rsidRDefault="004444DF" w:rsidP="00BC0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 w:rsidDel="00D97CCB">
        <w:rPr>
          <w:rFonts w:ascii="Arial" w:hAnsi="Arial" w:cs="Arial"/>
          <w:b/>
          <w:sz w:val="24"/>
          <w:szCs w:val="24"/>
        </w:rPr>
        <w:t>SECTION I</w:t>
      </w:r>
      <w:r w:rsidR="00E85666" w:rsidRPr="00926694">
        <w:rPr>
          <w:rFonts w:ascii="Arial" w:hAnsi="Arial" w:cs="Arial"/>
          <w:b/>
          <w:sz w:val="24"/>
          <w:szCs w:val="24"/>
        </w:rPr>
        <w:t>II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>RECORD OF TUNE-UP PROCEDURES</w:t>
      </w:r>
      <w:r w:rsidRPr="00926694">
        <w:rPr>
          <w:rFonts w:ascii="Arial" w:hAnsi="Arial" w:cs="Arial"/>
          <w:sz w:val="24"/>
          <w:szCs w:val="24"/>
        </w:rPr>
        <w:t xml:space="preserve"> </w:t>
      </w:r>
      <w:r w:rsidR="00BC04BF">
        <w:rPr>
          <w:rFonts w:ascii="Arial" w:hAnsi="Arial" w:cs="Arial"/>
          <w:sz w:val="24"/>
          <w:szCs w:val="24"/>
        </w:rPr>
        <w:t>(</w:t>
      </w:r>
      <w:r w:rsidR="00BC04BF" w:rsidRPr="00F82DB7">
        <w:rPr>
          <w:rFonts w:ascii="Arial" w:hAnsi="Arial" w:cs="Arial"/>
        </w:rPr>
        <w:t>§63.11225(c</w:t>
      </w:r>
      <w:proofErr w:type="gramStart"/>
      <w:r w:rsidR="00BC04BF" w:rsidRPr="00F82DB7">
        <w:rPr>
          <w:rFonts w:ascii="Arial" w:hAnsi="Arial" w:cs="Arial"/>
        </w:rPr>
        <w:t>)(</w:t>
      </w:r>
      <w:proofErr w:type="gramEnd"/>
      <w:r w:rsidR="00BC04BF" w:rsidRPr="00F82DB7">
        <w:rPr>
          <w:rFonts w:ascii="Arial" w:hAnsi="Arial" w:cs="Arial"/>
        </w:rPr>
        <w:t>2) and (§63.11223(b)(6)(</w:t>
      </w:r>
      <w:proofErr w:type="spellStart"/>
      <w:r w:rsidR="00BC04BF" w:rsidRPr="00F82DB7">
        <w:rPr>
          <w:rFonts w:ascii="Arial" w:hAnsi="Arial" w:cs="Arial"/>
        </w:rPr>
        <w:t>i</w:t>
      </w:r>
      <w:proofErr w:type="spellEnd"/>
      <w:r w:rsidR="00BC04BF" w:rsidRPr="00F82DB7">
        <w:rPr>
          <w:rFonts w:ascii="Arial" w:hAnsi="Arial" w:cs="Arial"/>
        </w:rPr>
        <w:t>) and (ii)</w:t>
      </w:r>
      <w:r w:rsidR="00BC04BF">
        <w:rPr>
          <w:rFonts w:ascii="Arial" w:hAnsi="Arial" w:cs="Arial"/>
        </w:rPr>
        <w:t>)</w:t>
      </w:r>
    </w:p>
    <w:p w:rsidR="00F82DB7" w:rsidRDefault="00F82DB7" w:rsidP="0040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2034" w:rsidRPr="00926694" w:rsidDel="00D97CCB" w:rsidRDefault="00402034" w:rsidP="00402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26694">
        <w:rPr>
          <w:rFonts w:ascii="Arial" w:hAnsi="Arial" w:cs="Arial"/>
          <w:b/>
          <w:i/>
          <w:sz w:val="24"/>
          <w:szCs w:val="24"/>
        </w:rPr>
        <w:t>Check the applicable box</w:t>
      </w:r>
      <w:r w:rsidR="008F07EE">
        <w:rPr>
          <w:rFonts w:ascii="Arial" w:hAnsi="Arial" w:cs="Arial"/>
          <w:b/>
          <w:i/>
          <w:sz w:val="24"/>
          <w:szCs w:val="24"/>
        </w:rPr>
        <w:t xml:space="preserve"> when the procedure is completed. If the procedure does not apply to you</w:t>
      </w:r>
      <w:r w:rsidR="00010A0E">
        <w:rPr>
          <w:rFonts w:ascii="Arial" w:hAnsi="Arial" w:cs="Arial"/>
          <w:b/>
          <w:i/>
          <w:sz w:val="24"/>
          <w:szCs w:val="24"/>
        </w:rPr>
        <w:t>,</w:t>
      </w:r>
      <w:r w:rsidR="008F07EE">
        <w:rPr>
          <w:rFonts w:ascii="Arial" w:hAnsi="Arial" w:cs="Arial"/>
          <w:b/>
          <w:i/>
          <w:sz w:val="24"/>
          <w:szCs w:val="24"/>
        </w:rPr>
        <w:t xml:space="preserve"> indicate ‘not applicable’ or ‘NA’ in the comments column.</w:t>
      </w:r>
    </w:p>
    <w:p w:rsidR="004444DF" w:rsidRPr="00926694" w:rsidRDefault="004444DF" w:rsidP="004444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608"/>
        <w:gridCol w:w="1560"/>
        <w:gridCol w:w="1561"/>
        <w:gridCol w:w="1111"/>
        <w:gridCol w:w="3528"/>
      </w:tblGrid>
      <w:tr w:rsidR="0057080D" w:rsidRPr="00926694" w:rsidTr="00626F75">
        <w:tc>
          <w:tcPr>
            <w:tcW w:w="3256" w:type="dxa"/>
            <w:gridSpan w:val="2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4232" w:type="dxa"/>
            <w:gridSpan w:val="3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528" w:type="dxa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Inspector Comments/</w:t>
            </w:r>
          </w:p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Corrective Actions Taken</w:t>
            </w:r>
          </w:p>
        </w:tc>
      </w:tr>
      <w:tr w:rsidR="00843FA2" w:rsidRPr="00926694" w:rsidTr="00A42D26">
        <w:trPr>
          <w:trHeight w:val="1196"/>
        </w:trPr>
        <w:tc>
          <w:tcPr>
            <w:tcW w:w="648" w:type="dxa"/>
          </w:tcPr>
          <w:p w:rsidR="00843FA2" w:rsidRPr="00926694" w:rsidRDefault="001C2A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08" w:type="dxa"/>
          </w:tcPr>
          <w:p w:rsidR="00843FA2" w:rsidRPr="00926694" w:rsidRDefault="00626F75" w:rsidP="00843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 the b</w:t>
            </w:r>
            <w:r w:rsidR="00843FA2" w:rsidRPr="00926694">
              <w:rPr>
                <w:rFonts w:ascii="Arial" w:hAnsi="Arial" w:cs="Arial"/>
              </w:rPr>
              <w:t>urner</w:t>
            </w:r>
            <w:r w:rsidR="00843FA2" w:rsidRPr="00926694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4232" w:type="dxa"/>
            <w:gridSpan w:val="3"/>
          </w:tcPr>
          <w:p w:rsidR="00843FA2" w:rsidRPr="00926694" w:rsidRDefault="00843FA2" w:rsidP="00843FA2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</w:rPr>
              <w:t>Clean or replace any components of the burner</w:t>
            </w:r>
            <w:r w:rsidR="002B69D4" w:rsidRPr="00926694">
              <w:rPr>
                <w:rFonts w:ascii="Arial" w:hAnsi="Arial" w:cs="Arial"/>
              </w:rPr>
              <w:t>,</w:t>
            </w:r>
            <w:r w:rsidRPr="00926694">
              <w:rPr>
                <w:rFonts w:ascii="Arial" w:hAnsi="Arial" w:cs="Arial"/>
              </w:rPr>
              <w:t xml:space="preserve"> as necessary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FA2" w:rsidRPr="00926694" w:rsidTr="001018D3">
        <w:trPr>
          <w:trHeight w:val="1259"/>
        </w:trPr>
        <w:tc>
          <w:tcPr>
            <w:tcW w:w="648" w:type="dxa"/>
          </w:tcPr>
          <w:p w:rsidR="00843FA2" w:rsidRPr="00926694" w:rsidRDefault="001C2A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608" w:type="dxa"/>
          </w:tcPr>
          <w:p w:rsidR="00843FA2" w:rsidRPr="00926694" w:rsidRDefault="00843FA2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Inspect the flame pattern</w:t>
            </w:r>
          </w:p>
        </w:tc>
        <w:tc>
          <w:tcPr>
            <w:tcW w:w="4232" w:type="dxa"/>
            <w:gridSpan w:val="3"/>
          </w:tcPr>
          <w:p w:rsidR="00843FA2" w:rsidRPr="001018D3" w:rsidRDefault="00843FA2" w:rsidP="001018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Adjust the burner as necessary to optimize the flame pattern. The adjustment should be consistent with the manufacturer’s specifications, if available.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FA2" w:rsidRPr="00926694" w:rsidTr="001018D3">
        <w:trPr>
          <w:trHeight w:val="971"/>
        </w:trPr>
        <w:tc>
          <w:tcPr>
            <w:tcW w:w="648" w:type="dxa"/>
          </w:tcPr>
          <w:p w:rsidR="00843FA2" w:rsidRPr="00926694" w:rsidRDefault="001C2A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608" w:type="dxa"/>
          </w:tcPr>
          <w:p w:rsidR="00843FA2" w:rsidRPr="00926694" w:rsidRDefault="00843FA2" w:rsidP="00843FA2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Inspect air-to-fuel ratio control system</w:t>
            </w:r>
          </w:p>
        </w:tc>
        <w:tc>
          <w:tcPr>
            <w:tcW w:w="4232" w:type="dxa"/>
            <w:gridSpan w:val="3"/>
          </w:tcPr>
          <w:p w:rsidR="00843FA2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</w:rPr>
              <w:t>Ensure system is calibrated and functioning properly</w:t>
            </w:r>
            <w:r w:rsidR="002B69D4" w:rsidRPr="00926694">
              <w:rPr>
                <w:rFonts w:ascii="Arial" w:hAnsi="Arial" w:cs="Arial"/>
              </w:rPr>
              <w:t>, if such a system is installed on the boiler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3FA2" w:rsidRPr="00926694" w:rsidTr="00A42D26">
        <w:trPr>
          <w:trHeight w:val="1241"/>
        </w:trPr>
        <w:tc>
          <w:tcPr>
            <w:tcW w:w="648" w:type="dxa"/>
          </w:tcPr>
          <w:p w:rsidR="00843FA2" w:rsidRPr="00926694" w:rsidRDefault="001C2A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843FA2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608" w:type="dxa"/>
          </w:tcPr>
          <w:p w:rsidR="00843FA2" w:rsidRPr="00926694" w:rsidRDefault="0057080D" w:rsidP="00F52EB4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 xml:space="preserve">Optimize emissions of </w:t>
            </w:r>
            <w:r w:rsidR="00F52EB4" w:rsidRPr="00926694">
              <w:rPr>
                <w:rFonts w:ascii="Arial" w:hAnsi="Arial" w:cs="Arial"/>
              </w:rPr>
              <w:t>c</w:t>
            </w:r>
            <w:r w:rsidRPr="00926694">
              <w:rPr>
                <w:rFonts w:ascii="Arial" w:hAnsi="Arial" w:cs="Arial"/>
              </w:rPr>
              <w:t xml:space="preserve">arbon </w:t>
            </w:r>
            <w:r w:rsidR="00F52EB4" w:rsidRPr="00926694">
              <w:rPr>
                <w:rFonts w:ascii="Arial" w:hAnsi="Arial" w:cs="Arial"/>
              </w:rPr>
              <w:t>m</w:t>
            </w:r>
            <w:r w:rsidRPr="00926694">
              <w:rPr>
                <w:rFonts w:ascii="Arial" w:hAnsi="Arial" w:cs="Arial"/>
              </w:rPr>
              <w:t>onoxide (CO)</w:t>
            </w:r>
          </w:p>
        </w:tc>
        <w:tc>
          <w:tcPr>
            <w:tcW w:w="4232" w:type="dxa"/>
            <w:gridSpan w:val="3"/>
          </w:tcPr>
          <w:p w:rsidR="00843FA2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</w:rPr>
              <w:t>Optimize emissions consistent with the manufacturer’s specifications, if available.</w:t>
            </w:r>
          </w:p>
        </w:tc>
        <w:tc>
          <w:tcPr>
            <w:tcW w:w="3528" w:type="dxa"/>
          </w:tcPr>
          <w:p w:rsidR="00843FA2" w:rsidRPr="00926694" w:rsidRDefault="0084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80D" w:rsidRPr="00926694" w:rsidTr="00626F75">
        <w:trPr>
          <w:trHeight w:val="279"/>
        </w:trPr>
        <w:tc>
          <w:tcPr>
            <w:tcW w:w="648" w:type="dxa"/>
            <w:vMerge w:val="restart"/>
          </w:tcPr>
          <w:p w:rsidR="0057080D" w:rsidRPr="00926694" w:rsidRDefault="001C2A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="0057080D" w:rsidRPr="0092669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08" w:type="dxa"/>
            <w:vMerge w:val="restart"/>
          </w:tcPr>
          <w:p w:rsidR="0057080D" w:rsidRPr="00926694" w:rsidRDefault="0057080D" w:rsidP="00936283">
            <w:pPr>
              <w:rPr>
                <w:rFonts w:ascii="Arial" w:hAnsi="Arial" w:cs="Arial"/>
              </w:rPr>
            </w:pPr>
            <w:r w:rsidRPr="00626F75">
              <w:rPr>
                <w:rFonts w:ascii="Arial" w:hAnsi="Arial" w:cs="Arial"/>
              </w:rPr>
              <w:t xml:space="preserve">Measure CO </w:t>
            </w:r>
            <w:r w:rsidR="00936283">
              <w:rPr>
                <w:rFonts w:ascii="Arial" w:hAnsi="Arial" w:cs="Arial"/>
              </w:rPr>
              <w:t>and O</w:t>
            </w:r>
            <w:r w:rsidR="00936283" w:rsidRPr="006A22C1">
              <w:rPr>
                <w:rFonts w:ascii="Arial" w:hAnsi="Arial" w:cs="Arial"/>
                <w:vertAlign w:val="subscript"/>
              </w:rPr>
              <w:t>2</w:t>
            </w:r>
            <w:r w:rsidR="00936283">
              <w:rPr>
                <w:rFonts w:ascii="Arial" w:hAnsi="Arial" w:cs="Arial"/>
              </w:rPr>
              <w:t xml:space="preserve"> levels</w:t>
            </w:r>
            <w:r w:rsidRPr="00626F75">
              <w:rPr>
                <w:rFonts w:ascii="Arial" w:hAnsi="Arial" w:cs="Arial"/>
              </w:rPr>
              <w:t xml:space="preserve"> in exhaust, before and after tune-up</w:t>
            </w:r>
            <w:r w:rsidR="002B69D4" w:rsidRPr="00926694">
              <w:rPr>
                <w:rStyle w:val="FootnoteReference"/>
                <w:rFonts w:ascii="Arial" w:hAnsi="Arial" w:cs="Arial"/>
              </w:rPr>
              <w:footnoteReference w:id="4"/>
            </w:r>
          </w:p>
        </w:tc>
        <w:tc>
          <w:tcPr>
            <w:tcW w:w="1560" w:type="dxa"/>
          </w:tcPr>
          <w:p w:rsidR="0057080D" w:rsidRPr="00926694" w:rsidRDefault="002B69D4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156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  <w:b/>
              </w:rPr>
              <w:t>Before</w:t>
            </w:r>
          </w:p>
        </w:tc>
        <w:tc>
          <w:tcPr>
            <w:tcW w:w="111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  <w:r w:rsidRPr="00926694">
              <w:rPr>
                <w:rFonts w:ascii="Arial" w:hAnsi="Arial" w:cs="Arial"/>
                <w:b/>
              </w:rPr>
              <w:t>After</w:t>
            </w:r>
          </w:p>
        </w:tc>
        <w:tc>
          <w:tcPr>
            <w:tcW w:w="3528" w:type="dxa"/>
            <w:vMerge w:val="restart"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69D4" w:rsidRPr="00926694" w:rsidTr="00626F75">
        <w:trPr>
          <w:trHeight w:val="277"/>
        </w:trPr>
        <w:tc>
          <w:tcPr>
            <w:tcW w:w="648" w:type="dxa"/>
            <w:vMerge/>
          </w:tcPr>
          <w:p w:rsidR="002B69D4" w:rsidRPr="00926694" w:rsidRDefault="002B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B69D4" w:rsidRPr="00926694" w:rsidRDefault="002B69D4" w:rsidP="0057080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13B8C" w:rsidRPr="00926694" w:rsidRDefault="002B69D4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 xml:space="preserve">Basis </w:t>
            </w:r>
          </w:p>
          <w:p w:rsidR="002B69D4" w:rsidRPr="00926694" w:rsidRDefault="002B69D4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(wet or dry)</w:t>
            </w:r>
          </w:p>
        </w:tc>
        <w:tc>
          <w:tcPr>
            <w:tcW w:w="2672" w:type="dxa"/>
            <w:gridSpan w:val="2"/>
          </w:tcPr>
          <w:p w:rsidR="002B69D4" w:rsidRPr="00926694" w:rsidRDefault="002B69D4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vMerge/>
          </w:tcPr>
          <w:p w:rsidR="002B69D4" w:rsidRPr="00926694" w:rsidRDefault="002B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80D" w:rsidRPr="00926694" w:rsidTr="00626F75">
        <w:trPr>
          <w:trHeight w:val="277"/>
        </w:trPr>
        <w:tc>
          <w:tcPr>
            <w:tcW w:w="64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7080D" w:rsidRPr="00926694" w:rsidRDefault="0057080D" w:rsidP="0057080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7080D" w:rsidRPr="00926694" w:rsidRDefault="0057080D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CO (</w:t>
            </w:r>
            <w:proofErr w:type="spellStart"/>
            <w:r w:rsidRPr="00926694">
              <w:rPr>
                <w:rFonts w:ascii="Arial" w:hAnsi="Arial" w:cs="Arial"/>
              </w:rPr>
              <w:t>ppmv</w:t>
            </w:r>
            <w:proofErr w:type="spellEnd"/>
            <w:r w:rsidRPr="00926694">
              <w:rPr>
                <w:rFonts w:ascii="Arial" w:hAnsi="Arial" w:cs="Arial"/>
              </w:rPr>
              <w:t>)</w:t>
            </w:r>
          </w:p>
        </w:tc>
        <w:tc>
          <w:tcPr>
            <w:tcW w:w="156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1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80D" w:rsidRPr="00926694" w:rsidTr="00626F75">
        <w:trPr>
          <w:trHeight w:val="277"/>
        </w:trPr>
        <w:tc>
          <w:tcPr>
            <w:tcW w:w="64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7080D" w:rsidRPr="00926694" w:rsidRDefault="0057080D" w:rsidP="0057080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57080D" w:rsidRPr="00926694" w:rsidRDefault="0057080D">
            <w:pPr>
              <w:rPr>
                <w:rFonts w:ascii="Arial" w:hAnsi="Arial" w:cs="Arial"/>
              </w:rPr>
            </w:pPr>
            <w:r w:rsidRPr="00926694">
              <w:rPr>
                <w:rFonts w:ascii="Arial" w:hAnsi="Arial" w:cs="Arial"/>
              </w:rPr>
              <w:t>O</w:t>
            </w:r>
            <w:r w:rsidRPr="00626F75">
              <w:rPr>
                <w:rFonts w:ascii="Arial" w:hAnsi="Arial" w:cs="Arial"/>
                <w:vertAlign w:val="subscript"/>
              </w:rPr>
              <w:t>2</w:t>
            </w:r>
            <w:r w:rsidRPr="00926694">
              <w:rPr>
                <w:rFonts w:ascii="Arial" w:hAnsi="Arial" w:cs="Arial"/>
              </w:rPr>
              <w:t xml:space="preserve"> (</w:t>
            </w:r>
            <w:r w:rsidR="002B69D4" w:rsidRPr="00926694">
              <w:rPr>
                <w:rFonts w:ascii="Arial" w:hAnsi="Arial" w:cs="Arial"/>
              </w:rPr>
              <w:t>% by volume)</w:t>
            </w:r>
          </w:p>
        </w:tc>
        <w:tc>
          <w:tcPr>
            <w:tcW w:w="156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11" w:type="dxa"/>
          </w:tcPr>
          <w:p w:rsidR="0057080D" w:rsidRPr="00926694" w:rsidRDefault="0057080D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vMerge/>
          </w:tcPr>
          <w:p w:rsidR="0057080D" w:rsidRPr="00926694" w:rsidRDefault="0057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C26" w:rsidRDefault="00026C26" w:rsidP="00026C26">
      <w:pPr>
        <w:rPr>
          <w:rFonts w:ascii="Arial" w:hAnsi="Arial" w:cs="Arial"/>
          <w:b/>
          <w:sz w:val="24"/>
          <w:szCs w:val="24"/>
        </w:rPr>
        <w:sectPr w:rsidR="00026C26" w:rsidSect="00400D08">
          <w:footerReference w:type="default" r:id="rId11"/>
          <w:footnotePr>
            <w:numFmt w:val="lowerLetter"/>
          </w:footnotePr>
          <w:pgSz w:w="12240" w:h="15840"/>
          <w:pgMar w:top="720" w:right="720" w:bottom="1152" w:left="720" w:header="720" w:footer="720" w:gutter="0"/>
          <w:cols w:space="720"/>
          <w:noEndnote/>
          <w:docGrid w:linePitch="299"/>
        </w:sectPr>
      </w:pPr>
    </w:p>
    <w:p w:rsidR="008A7372" w:rsidRDefault="002B69D4">
      <w:pPr>
        <w:rPr>
          <w:rFonts w:ascii="Arial" w:hAnsi="Arial" w:cs="Arial"/>
        </w:rPr>
      </w:pPr>
      <w:r w:rsidRPr="00926694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E85666" w:rsidRPr="00926694">
        <w:rPr>
          <w:rFonts w:ascii="Arial" w:hAnsi="Arial" w:cs="Arial"/>
          <w:b/>
          <w:sz w:val="24"/>
          <w:szCs w:val="24"/>
        </w:rPr>
        <w:t>IV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>RECORD OF MANUFACTURER SPECIFICATIONS</w:t>
      </w:r>
      <w:r w:rsidR="00E85666" w:rsidRPr="00926694">
        <w:rPr>
          <w:rFonts w:ascii="Arial" w:hAnsi="Arial" w:cs="Arial"/>
          <w:b/>
          <w:sz w:val="24"/>
          <w:szCs w:val="24"/>
        </w:rPr>
        <w:t xml:space="preserve"> </w:t>
      </w:r>
      <w:r w:rsidR="00E85666" w:rsidRPr="00BC04BF">
        <w:rPr>
          <w:rFonts w:ascii="Arial" w:hAnsi="Arial" w:cs="Arial"/>
        </w:rPr>
        <w:t>(§63.11225(c</w:t>
      </w:r>
      <w:proofErr w:type="gramStart"/>
      <w:r w:rsidR="00E85666" w:rsidRPr="00BC04BF">
        <w:rPr>
          <w:rFonts w:ascii="Arial" w:hAnsi="Arial" w:cs="Arial"/>
        </w:rPr>
        <w:t>)(</w:t>
      </w:r>
      <w:proofErr w:type="gramEnd"/>
      <w:r w:rsidR="00E85666" w:rsidRPr="00BC04BF">
        <w:rPr>
          <w:rFonts w:ascii="Arial" w:hAnsi="Arial" w:cs="Arial"/>
        </w:rPr>
        <w:t>2))</w:t>
      </w:r>
    </w:p>
    <w:p w:rsidR="00402034" w:rsidRPr="00926694" w:rsidRDefault="00402034" w:rsidP="002B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9D4" w:rsidRPr="00926694" w:rsidRDefault="00413B8C" w:rsidP="002B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If your boiler has manufa</w:t>
      </w:r>
      <w:r w:rsidR="002B69D4" w:rsidRPr="00926694">
        <w:rPr>
          <w:rFonts w:ascii="Arial" w:hAnsi="Arial" w:cs="Arial"/>
          <w:sz w:val="24"/>
          <w:szCs w:val="24"/>
        </w:rPr>
        <w:t>cturer specifications for adjusting the flame patterns or optimizing total emissions of carbon monoxide, maintain a copy of these specifications in your records.</w:t>
      </w:r>
    </w:p>
    <w:p w:rsidR="002B69D4" w:rsidRPr="00926694" w:rsidRDefault="002B69D4">
      <w:pPr>
        <w:rPr>
          <w:rFonts w:ascii="Arial" w:hAnsi="Arial" w:cs="Arial"/>
          <w:sz w:val="24"/>
          <w:szCs w:val="24"/>
        </w:rPr>
      </w:pPr>
    </w:p>
    <w:p w:rsidR="002B69D4" w:rsidRPr="00926694" w:rsidRDefault="002B69D4">
      <w:pPr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 xml:space="preserve">SECTION </w:t>
      </w:r>
      <w:r w:rsidR="00E85666" w:rsidRPr="00926694">
        <w:rPr>
          <w:rFonts w:ascii="Arial" w:hAnsi="Arial" w:cs="Arial"/>
          <w:b/>
          <w:sz w:val="24"/>
          <w:szCs w:val="24"/>
        </w:rPr>
        <w:t>V</w:t>
      </w:r>
      <w:r w:rsidRPr="00926694" w:rsidDel="00D97CCB">
        <w:rPr>
          <w:rFonts w:ascii="Arial" w:hAnsi="Arial" w:cs="Arial"/>
          <w:b/>
          <w:sz w:val="24"/>
          <w:szCs w:val="24"/>
        </w:rPr>
        <w:t xml:space="preserve">: </w:t>
      </w:r>
      <w:r w:rsidRPr="00926694">
        <w:rPr>
          <w:rFonts w:ascii="Arial" w:hAnsi="Arial" w:cs="Arial"/>
          <w:b/>
          <w:sz w:val="24"/>
          <w:szCs w:val="24"/>
        </w:rPr>
        <w:t>RECORD OF FUEL TYPE</w:t>
      </w:r>
      <w:r w:rsidR="00E85666" w:rsidRPr="00926694">
        <w:rPr>
          <w:rFonts w:ascii="Arial" w:hAnsi="Arial" w:cs="Arial"/>
          <w:b/>
          <w:sz w:val="24"/>
          <w:szCs w:val="24"/>
        </w:rPr>
        <w:t xml:space="preserve"> </w:t>
      </w:r>
      <w:r w:rsidR="00BB434E" w:rsidRPr="00BC04BF">
        <w:rPr>
          <w:rFonts w:ascii="Arial" w:hAnsi="Arial" w:cs="Arial"/>
        </w:rPr>
        <w:t>(</w:t>
      </w:r>
      <w:r w:rsidR="00E85666" w:rsidRPr="00BC04BF">
        <w:rPr>
          <w:rFonts w:ascii="Arial" w:hAnsi="Arial" w:cs="Arial"/>
        </w:rPr>
        <w:t>§63.11223(b</w:t>
      </w:r>
      <w:proofErr w:type="gramStart"/>
      <w:r w:rsidR="00E85666" w:rsidRPr="00BC04BF">
        <w:rPr>
          <w:rFonts w:ascii="Arial" w:hAnsi="Arial" w:cs="Arial"/>
        </w:rPr>
        <w:t>)(</w:t>
      </w:r>
      <w:proofErr w:type="gramEnd"/>
      <w:r w:rsidR="00E85666" w:rsidRPr="00BC04BF">
        <w:rPr>
          <w:rFonts w:ascii="Arial" w:hAnsi="Arial" w:cs="Arial"/>
        </w:rPr>
        <w:t>6)(iii))</w:t>
      </w:r>
    </w:p>
    <w:tbl>
      <w:tblPr>
        <w:tblStyle w:val="TableGrid"/>
        <w:tblW w:w="13994" w:type="dxa"/>
        <w:jc w:val="center"/>
        <w:tblLook w:val="04A0"/>
      </w:tblPr>
      <w:tblGrid>
        <w:gridCol w:w="1466"/>
        <w:gridCol w:w="1634"/>
        <w:gridCol w:w="1775"/>
        <w:gridCol w:w="1717"/>
        <w:gridCol w:w="1546"/>
        <w:gridCol w:w="1546"/>
        <w:gridCol w:w="1546"/>
        <w:gridCol w:w="1462"/>
        <w:gridCol w:w="1302"/>
      </w:tblGrid>
      <w:tr w:rsidR="00BB434E" w:rsidRPr="00926694" w:rsidTr="006A22C1">
        <w:trPr>
          <w:trHeight w:val="566"/>
          <w:jc w:val="center"/>
        </w:trPr>
        <w:tc>
          <w:tcPr>
            <w:tcW w:w="1466" w:type="dxa"/>
            <w:vMerge w:val="restart"/>
          </w:tcPr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 xml:space="preserve">Fuel </w:t>
            </w:r>
          </w:p>
          <w:p w:rsidR="00BB434E" w:rsidRPr="00926694" w:rsidRDefault="00BB434E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926694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5"/>
            </w:r>
          </w:p>
        </w:tc>
        <w:tc>
          <w:tcPr>
            <w:tcW w:w="11226" w:type="dxa"/>
            <w:gridSpan w:val="7"/>
          </w:tcPr>
          <w:p w:rsidR="00BB434E" w:rsidRPr="00926694" w:rsidRDefault="00BB434E" w:rsidP="003703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 xml:space="preserve">Amount of fuel used </w:t>
            </w:r>
            <w:r w:rsidR="006A22C1">
              <w:rPr>
                <w:rFonts w:ascii="Arial" w:hAnsi="Arial" w:cs="Arial"/>
                <w:b/>
                <w:sz w:val="24"/>
                <w:szCs w:val="24"/>
              </w:rPr>
              <w:t xml:space="preserve">or delivered </w:t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t>for the 12 months</w:t>
            </w:r>
            <w:r w:rsidRPr="00926694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6"/>
            </w:r>
            <w:r w:rsidRPr="00926694">
              <w:rPr>
                <w:rFonts w:ascii="Arial" w:hAnsi="Arial" w:cs="Arial"/>
                <w:b/>
                <w:sz w:val="24"/>
                <w:szCs w:val="24"/>
              </w:rPr>
              <w:t xml:space="preserve"> preceding the tune-up</w:t>
            </w:r>
            <w:r w:rsidR="006A22C1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7"/>
            </w:r>
          </w:p>
        </w:tc>
        <w:tc>
          <w:tcPr>
            <w:tcW w:w="1302" w:type="dxa"/>
            <w:vMerge w:val="restart"/>
            <w:vAlign w:val="bottom"/>
          </w:tcPr>
          <w:p w:rsidR="00BB434E" w:rsidRPr="00926694" w:rsidRDefault="00BB434E" w:rsidP="00BB43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694">
              <w:rPr>
                <w:rFonts w:ascii="Arial" w:hAnsi="Arial" w:cs="Arial"/>
                <w:b/>
                <w:sz w:val="24"/>
                <w:szCs w:val="24"/>
              </w:rPr>
              <w:t>Units of measure</w:t>
            </w:r>
            <w:r w:rsidRPr="00926694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8"/>
            </w:r>
          </w:p>
        </w:tc>
      </w:tr>
      <w:tr w:rsidR="006A22C1" w:rsidRPr="00926694" w:rsidTr="006A22C1">
        <w:trPr>
          <w:trHeight w:val="153"/>
          <w:jc w:val="center"/>
        </w:trPr>
        <w:tc>
          <w:tcPr>
            <w:tcW w:w="1466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A22C1" w:rsidRPr="00EC6935" w:rsidRDefault="006A22C1" w:rsidP="006A2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5">
              <w:rPr>
                <w:rFonts w:ascii="Arial" w:hAnsi="Arial" w:cs="Arial"/>
                <w:b/>
                <w:sz w:val="20"/>
                <w:szCs w:val="20"/>
              </w:rPr>
              <w:t>Delivery Date</w:t>
            </w:r>
          </w:p>
        </w:tc>
        <w:tc>
          <w:tcPr>
            <w:tcW w:w="1775" w:type="dxa"/>
          </w:tcPr>
          <w:p w:rsidR="006A22C1" w:rsidRPr="006A22C1" w:rsidRDefault="006A22C1" w:rsidP="008E4030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Example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:</w:t>
            </w:r>
          </w:p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5/20/2011</w:t>
            </w:r>
          </w:p>
        </w:tc>
        <w:tc>
          <w:tcPr>
            <w:tcW w:w="1717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6A22C1">
        <w:trPr>
          <w:trHeight w:val="260"/>
          <w:jc w:val="center"/>
        </w:trPr>
        <w:tc>
          <w:tcPr>
            <w:tcW w:w="1466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A22C1" w:rsidRPr="00EC6935" w:rsidRDefault="006A22C1" w:rsidP="006A2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5">
              <w:rPr>
                <w:rFonts w:ascii="Arial" w:hAnsi="Arial" w:cs="Arial"/>
                <w:b/>
                <w:sz w:val="20"/>
                <w:szCs w:val="20"/>
              </w:rPr>
              <w:t>Or Period of Consumption</w:t>
            </w:r>
          </w:p>
        </w:tc>
        <w:tc>
          <w:tcPr>
            <w:tcW w:w="1775" w:type="dxa"/>
          </w:tcPr>
          <w:p w:rsidR="006A22C1" w:rsidRPr="006A22C1" w:rsidRDefault="006A22C1" w:rsidP="008E4030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Example:</w:t>
            </w:r>
          </w:p>
          <w:p w:rsidR="006A22C1" w:rsidRPr="006A22C1" w:rsidRDefault="006A22C1" w:rsidP="008E403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A22C1">
              <w:rPr>
                <w:rFonts w:ascii="Arial" w:hAnsi="Arial" w:cs="Arial"/>
                <w:b/>
                <w:i/>
                <w:sz w:val="14"/>
                <w:szCs w:val="14"/>
              </w:rPr>
              <w:t>5/20/2011 – 8/31/2011</w:t>
            </w:r>
          </w:p>
        </w:tc>
        <w:tc>
          <w:tcPr>
            <w:tcW w:w="1717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EC6935">
        <w:trPr>
          <w:trHeight w:val="800"/>
          <w:jc w:val="center"/>
        </w:trPr>
        <w:tc>
          <w:tcPr>
            <w:tcW w:w="3100" w:type="dxa"/>
            <w:gridSpan w:val="2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6A22C1" w:rsidRPr="00926694" w:rsidRDefault="006A22C1" w:rsidP="008E40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EC6935">
        <w:trPr>
          <w:trHeight w:val="710"/>
          <w:jc w:val="center"/>
        </w:trPr>
        <w:tc>
          <w:tcPr>
            <w:tcW w:w="3100" w:type="dxa"/>
            <w:gridSpan w:val="2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2C1" w:rsidRPr="00926694" w:rsidTr="00EC6935">
        <w:trPr>
          <w:trHeight w:val="710"/>
          <w:jc w:val="center"/>
        </w:trPr>
        <w:tc>
          <w:tcPr>
            <w:tcW w:w="3100" w:type="dxa"/>
            <w:gridSpan w:val="2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6A22C1" w:rsidRPr="00926694" w:rsidRDefault="006A22C1" w:rsidP="00BE4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42808" w:rsidRPr="00926694" w:rsidRDefault="008A0E5B">
      <w:pPr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279400</wp:posOffset>
            </wp:positionV>
            <wp:extent cx="465455" cy="443230"/>
            <wp:effectExtent l="19050" t="0" r="0" b="0"/>
            <wp:wrapTight wrapText="bothSides">
              <wp:wrapPolygon edited="0">
                <wp:start x="2652" y="0"/>
                <wp:lineTo x="-884" y="4642"/>
                <wp:lineTo x="-884" y="14854"/>
                <wp:lineTo x="2652" y="19496"/>
                <wp:lineTo x="16797" y="19496"/>
                <wp:lineTo x="17681" y="19496"/>
                <wp:lineTo x="21217" y="15782"/>
                <wp:lineTo x="21217" y="8355"/>
                <wp:lineTo x="20333" y="4642"/>
                <wp:lineTo x="16797" y="0"/>
                <wp:lineTo x="2652" y="0"/>
              </wp:wrapPolygon>
            </wp:wrapTight>
            <wp:docPr id="2" name="Picture 2" descr="C:\Documents and Settings\ASingleton\Local Settings\Temporary Internet Files\Content.IE5\0JAXMH8Z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Singleton\Local Settings\Temporary Internet Files\Content.IE5\0JAXMH8Z\MC90041124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BA1" w:rsidRPr="00926694">
        <w:rPr>
          <w:rFonts w:ascii="Arial" w:hAnsi="Arial" w:cs="Arial"/>
          <w:b/>
          <w:sz w:val="24"/>
          <w:szCs w:val="24"/>
        </w:rPr>
        <w:t xml:space="preserve">    </w:t>
      </w:r>
      <w:r w:rsidR="00F61C5F" w:rsidRPr="00926694">
        <w:rPr>
          <w:rFonts w:ascii="Arial" w:hAnsi="Arial" w:cs="Arial"/>
          <w:b/>
          <w:sz w:val="24"/>
          <w:szCs w:val="24"/>
        </w:rPr>
        <w:t>[Add rows to the table for additional fuels, as necessary.]</w:t>
      </w:r>
    </w:p>
    <w:p w:rsidR="006D25A1" w:rsidRPr="00926694" w:rsidRDefault="00442808" w:rsidP="00EF3D3C">
      <w:pPr>
        <w:ind w:left="1440"/>
        <w:rPr>
          <w:rFonts w:ascii="Arial" w:hAnsi="Arial" w:cs="Arial"/>
          <w:b/>
          <w:sz w:val="24"/>
          <w:szCs w:val="24"/>
          <w:highlight w:val="yellow"/>
        </w:rPr>
        <w:sectPr w:rsidR="006D25A1" w:rsidRPr="00926694" w:rsidSect="00026C26">
          <w:footnotePr>
            <w:numFmt w:val="lowerLetter"/>
          </w:footnotePr>
          <w:pgSz w:w="15840" w:h="12240" w:orient="landscape"/>
          <w:pgMar w:top="720" w:right="720" w:bottom="720" w:left="1152" w:header="720" w:footer="720" w:gutter="0"/>
          <w:cols w:space="720"/>
          <w:noEndnote/>
          <w:docGrid w:linePitch="299"/>
        </w:sectPr>
      </w:pPr>
      <w:r w:rsidRPr="00926694">
        <w:rPr>
          <w:rFonts w:ascii="Arial" w:hAnsi="Arial" w:cs="Arial"/>
          <w:sz w:val="24"/>
          <w:szCs w:val="24"/>
        </w:rPr>
        <w:t xml:space="preserve">If you have more than one boiler that must conduct a tune-up, please repeat </w:t>
      </w:r>
      <w:r w:rsidR="00165BE1" w:rsidRPr="00926694">
        <w:rPr>
          <w:rFonts w:ascii="Arial" w:hAnsi="Arial" w:cs="Arial"/>
          <w:sz w:val="24"/>
          <w:szCs w:val="24"/>
        </w:rPr>
        <w:t>S</w:t>
      </w:r>
      <w:r w:rsidRPr="00926694">
        <w:rPr>
          <w:rFonts w:ascii="Arial" w:hAnsi="Arial" w:cs="Arial"/>
          <w:sz w:val="24"/>
          <w:szCs w:val="24"/>
        </w:rPr>
        <w:t>ections II, III, IV, and V for each boiler. Otherwise</w:t>
      </w:r>
      <w:r w:rsidR="00616B24">
        <w:rPr>
          <w:rFonts w:ascii="Arial" w:hAnsi="Arial" w:cs="Arial"/>
          <w:sz w:val="24"/>
          <w:szCs w:val="24"/>
        </w:rPr>
        <w:t>,</w:t>
      </w:r>
      <w:r w:rsidRPr="00926694">
        <w:rPr>
          <w:rFonts w:ascii="Arial" w:hAnsi="Arial" w:cs="Arial"/>
          <w:sz w:val="24"/>
          <w:szCs w:val="24"/>
        </w:rPr>
        <w:t xml:space="preserve"> proceed to </w:t>
      </w:r>
      <w:r w:rsidR="00413B8C" w:rsidRPr="00926694">
        <w:rPr>
          <w:rFonts w:ascii="Arial" w:hAnsi="Arial" w:cs="Arial"/>
          <w:sz w:val="24"/>
          <w:szCs w:val="24"/>
        </w:rPr>
        <w:t>S</w:t>
      </w:r>
      <w:r w:rsidRPr="00926694">
        <w:rPr>
          <w:rFonts w:ascii="Arial" w:hAnsi="Arial" w:cs="Arial"/>
          <w:sz w:val="24"/>
          <w:szCs w:val="24"/>
        </w:rPr>
        <w:t>ection V</w:t>
      </w:r>
      <w:r w:rsidR="002171A8" w:rsidRPr="00926694">
        <w:rPr>
          <w:rFonts w:ascii="Arial" w:hAnsi="Arial" w:cs="Arial"/>
          <w:sz w:val="24"/>
          <w:szCs w:val="24"/>
        </w:rPr>
        <w:t>I</w:t>
      </w:r>
      <w:r w:rsidRPr="00926694">
        <w:rPr>
          <w:rFonts w:ascii="Arial" w:hAnsi="Arial" w:cs="Arial"/>
          <w:sz w:val="24"/>
          <w:szCs w:val="24"/>
        </w:rPr>
        <w:t xml:space="preserve"> below</w:t>
      </w:r>
      <w:r w:rsidRPr="006D25A1">
        <w:rPr>
          <w:rFonts w:ascii="Arial" w:hAnsi="Arial" w:cs="Arial"/>
          <w:sz w:val="24"/>
          <w:szCs w:val="24"/>
        </w:rPr>
        <w:t>.</w:t>
      </w:r>
      <w:r w:rsidR="006D25A1" w:rsidRPr="006D25A1">
        <w:rPr>
          <w:rFonts w:ascii="Arial" w:hAnsi="Arial" w:cs="Arial"/>
          <w:sz w:val="24"/>
          <w:szCs w:val="24"/>
        </w:rPr>
        <w:t xml:space="preserve"> Keep Sections II</w:t>
      </w:r>
      <w:r w:rsidR="00EF3D3C">
        <w:rPr>
          <w:rFonts w:ascii="Arial" w:hAnsi="Arial" w:cs="Arial"/>
          <w:sz w:val="24"/>
          <w:szCs w:val="24"/>
        </w:rPr>
        <w:t xml:space="preserve"> through V in your records for 5 y</w:t>
      </w:r>
      <w:r w:rsidR="006D25A1" w:rsidRPr="006D25A1">
        <w:rPr>
          <w:rFonts w:ascii="Arial" w:hAnsi="Arial" w:cs="Arial"/>
          <w:sz w:val="24"/>
          <w:szCs w:val="24"/>
        </w:rPr>
        <w:t>ears.</w:t>
      </w:r>
      <w:r w:rsidR="00EF3D3C">
        <w:rPr>
          <w:rFonts w:ascii="Arial" w:hAnsi="Arial" w:cs="Arial"/>
          <w:sz w:val="24"/>
          <w:szCs w:val="24"/>
        </w:rPr>
        <w:t xml:space="preserve"> You do not submit this information unless requested by your delegated authority.</w:t>
      </w:r>
    </w:p>
    <w:p w:rsidR="00442808" w:rsidRPr="00926694" w:rsidRDefault="00442808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5E73DF" w:rsidRDefault="005E73DF" w:rsidP="005E73DF">
      <w:pPr>
        <w:widowControl w:val="0"/>
        <w:rPr>
          <w:rFonts w:ascii="Arial" w:hAnsi="Arial" w:cs="Arial"/>
          <w:b/>
          <w:sz w:val="24"/>
          <w:szCs w:val="24"/>
        </w:rPr>
      </w:pPr>
      <w:r w:rsidRPr="00926694">
        <w:rPr>
          <w:rFonts w:ascii="Arial" w:hAnsi="Arial" w:cs="Arial"/>
          <w:b/>
          <w:sz w:val="24"/>
          <w:szCs w:val="24"/>
        </w:rPr>
        <w:t>SECTION VI: FACILITY INFORMATION AND CERTIFICATION</w:t>
      </w:r>
      <w:r w:rsidR="002525D5" w:rsidRPr="002525D5">
        <w:rPr>
          <w:rFonts w:ascii="Arial" w:hAnsi="Arial" w:cs="Arial"/>
          <w:sz w:val="24"/>
          <w:szCs w:val="24"/>
        </w:rPr>
        <w:t xml:space="preserve"> (§63.11225(b)(1) and (2))</w:t>
      </w:r>
    </w:p>
    <w:p w:rsidR="008E0966" w:rsidRPr="00837803" w:rsidRDefault="008E0966" w:rsidP="008E0966">
      <w:pPr>
        <w:pStyle w:val="CommentText"/>
        <w:rPr>
          <w:rFonts w:ascii="Arial" w:hAnsi="Arial" w:cs="Arial"/>
          <w:sz w:val="22"/>
          <w:szCs w:val="22"/>
        </w:rPr>
      </w:pPr>
      <w:r w:rsidRPr="00837803">
        <w:rPr>
          <w:rFonts w:ascii="Arial" w:hAnsi="Arial" w:cs="Arial"/>
          <w:sz w:val="22"/>
          <w:szCs w:val="22"/>
        </w:rPr>
        <w:t>While the sections I-V records are required for ALL tune-ups, this section is only required for the biennial compliance report.</w:t>
      </w:r>
    </w:p>
    <w:p w:rsidR="002F57DD" w:rsidRPr="00926694" w:rsidRDefault="002F57DD" w:rsidP="005E73DF">
      <w:pPr>
        <w:widowControl w:val="0"/>
        <w:rPr>
          <w:rFonts w:ascii="Arial" w:hAnsi="Arial" w:cs="Arial"/>
          <w:b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>Facility Name</w:t>
      </w:r>
      <w:proofErr w:type="gramStart"/>
      <w:r w:rsidRPr="00926694">
        <w:rPr>
          <w:rFonts w:ascii="Arial" w:hAnsi="Arial" w:cs="Arial"/>
        </w:rPr>
        <w:t>:</w:t>
      </w:r>
      <w:r w:rsidR="00442808" w:rsidRPr="00926694">
        <w:rPr>
          <w:rFonts w:ascii="Arial" w:hAnsi="Arial" w:cs="Arial"/>
        </w:rPr>
        <w:t>_</w:t>
      </w:r>
      <w:proofErr w:type="gramEnd"/>
      <w:r w:rsidR="00442808" w:rsidRPr="00926694">
        <w:rPr>
          <w:rFonts w:ascii="Arial" w:hAnsi="Arial" w:cs="Arial"/>
        </w:rPr>
        <w:t>___________________________________________</w:t>
      </w:r>
      <w:r w:rsidR="002F57DD">
        <w:rPr>
          <w:rFonts w:ascii="Arial" w:hAnsi="Arial" w:cs="Arial"/>
        </w:rPr>
        <w:t>__________</w:t>
      </w:r>
    </w:p>
    <w:p w:rsidR="00442808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2808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 xml:space="preserve">Facility </w:t>
      </w:r>
      <w:r w:rsidR="00413B8C" w:rsidRPr="00926694">
        <w:rPr>
          <w:rFonts w:ascii="Arial" w:hAnsi="Arial" w:cs="Arial"/>
        </w:rPr>
        <w:t xml:space="preserve">Street </w:t>
      </w:r>
      <w:r w:rsidRPr="00926694">
        <w:rPr>
          <w:rFonts w:ascii="Arial" w:hAnsi="Arial" w:cs="Arial"/>
        </w:rPr>
        <w:t>Address</w:t>
      </w:r>
      <w:proofErr w:type="gramStart"/>
      <w:r w:rsidRPr="00926694">
        <w:rPr>
          <w:rFonts w:ascii="Arial" w:hAnsi="Arial" w:cs="Arial"/>
        </w:rPr>
        <w:t>:</w:t>
      </w:r>
      <w:r w:rsidR="00442808" w:rsidRPr="00926694">
        <w:rPr>
          <w:rFonts w:ascii="Arial" w:hAnsi="Arial" w:cs="Arial"/>
        </w:rPr>
        <w:t>_</w:t>
      </w:r>
      <w:proofErr w:type="gramEnd"/>
      <w:r w:rsidR="00442808" w:rsidRPr="00926694">
        <w:rPr>
          <w:rFonts w:ascii="Arial" w:hAnsi="Arial" w:cs="Arial"/>
        </w:rPr>
        <w:t>_____________________________________________</w:t>
      </w:r>
      <w:r w:rsidR="002F57DD">
        <w:rPr>
          <w:rFonts w:ascii="Arial" w:hAnsi="Arial" w:cs="Arial"/>
        </w:rPr>
        <w:t>_</w:t>
      </w:r>
    </w:p>
    <w:p w:rsidR="00442808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  <w:t xml:space="preserve"> 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>__________________________</w:t>
      </w:r>
      <w:r w:rsidR="002F57DD">
        <w:rPr>
          <w:rFonts w:ascii="Arial" w:hAnsi="Arial" w:cs="Arial"/>
        </w:rPr>
        <w:t>_____________</w:t>
      </w:r>
      <w:r w:rsidRPr="00926694">
        <w:rPr>
          <w:rFonts w:ascii="Arial" w:hAnsi="Arial" w:cs="Arial"/>
        </w:rPr>
        <w:t xml:space="preserve">   ________</w:t>
      </w:r>
      <w:r w:rsidR="002F57DD">
        <w:rPr>
          <w:rFonts w:ascii="Arial" w:hAnsi="Arial" w:cs="Arial"/>
        </w:rPr>
        <w:t>______</w:t>
      </w:r>
      <w:r w:rsidRPr="00926694">
        <w:rPr>
          <w:rFonts w:ascii="Arial" w:hAnsi="Arial" w:cs="Arial"/>
        </w:rPr>
        <w:t xml:space="preserve">   __________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6694">
        <w:rPr>
          <w:rFonts w:ascii="Arial" w:hAnsi="Arial" w:cs="Arial"/>
        </w:rPr>
        <w:t>City</w:t>
      </w: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</w:r>
      <w:r w:rsidRPr="00926694">
        <w:rPr>
          <w:rFonts w:ascii="Arial" w:hAnsi="Arial" w:cs="Arial"/>
        </w:rPr>
        <w:tab/>
        <w:t xml:space="preserve">        </w:t>
      </w:r>
      <w:r w:rsidR="002F57DD">
        <w:rPr>
          <w:rFonts w:ascii="Arial" w:hAnsi="Arial" w:cs="Arial"/>
        </w:rPr>
        <w:tab/>
      </w:r>
      <w:r w:rsidR="002F57DD">
        <w:rPr>
          <w:rFonts w:ascii="Arial" w:hAnsi="Arial" w:cs="Arial"/>
        </w:rPr>
        <w:tab/>
        <w:t xml:space="preserve">          </w:t>
      </w:r>
      <w:r w:rsidRPr="00926694">
        <w:rPr>
          <w:rFonts w:ascii="Arial" w:hAnsi="Arial" w:cs="Arial"/>
        </w:rPr>
        <w:t>State</w:t>
      </w:r>
      <w:r w:rsidRPr="00926694">
        <w:rPr>
          <w:rFonts w:ascii="Arial" w:hAnsi="Arial" w:cs="Arial"/>
        </w:rPr>
        <w:tab/>
        <w:t xml:space="preserve">          </w:t>
      </w:r>
      <w:r w:rsidR="002F57DD">
        <w:rPr>
          <w:rFonts w:ascii="Arial" w:hAnsi="Arial" w:cs="Arial"/>
        </w:rPr>
        <w:tab/>
        <w:t xml:space="preserve">      Zip</w:t>
      </w:r>
    </w:p>
    <w:p w:rsidR="00442808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1C2A53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26694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E73DF" w:rsidRPr="00926694">
        <w:rPr>
          <w:rFonts w:ascii="Arial" w:hAnsi="Arial" w:cs="Arial"/>
        </w:rPr>
        <w:instrText xml:space="preserve"> FORMCHECKBOX </w:instrText>
      </w:r>
      <w:r w:rsidRPr="00926694">
        <w:rPr>
          <w:rFonts w:ascii="Arial" w:hAnsi="Arial" w:cs="Arial"/>
        </w:rPr>
      </w:r>
      <w:r w:rsidRPr="00926694">
        <w:rPr>
          <w:rFonts w:ascii="Arial" w:hAnsi="Arial" w:cs="Arial"/>
        </w:rPr>
        <w:fldChar w:fldCharType="end"/>
      </w:r>
      <w:r w:rsidR="005E73DF" w:rsidRPr="00926694">
        <w:rPr>
          <w:rFonts w:ascii="Arial" w:hAnsi="Arial" w:cs="Arial"/>
        </w:rPr>
        <w:t xml:space="preserve">   I certify that </w:t>
      </w:r>
      <w:r w:rsidR="005E73DF" w:rsidRPr="00926694">
        <w:rPr>
          <w:rFonts w:ascii="Arial" w:hAnsi="Arial" w:cs="Arial"/>
          <w:sz w:val="24"/>
          <w:szCs w:val="24"/>
        </w:rPr>
        <w:t>my facility has complied with</w:t>
      </w:r>
      <w:r w:rsidR="00032EF3">
        <w:rPr>
          <w:rFonts w:ascii="Arial" w:hAnsi="Arial" w:cs="Arial"/>
          <w:sz w:val="24"/>
          <w:szCs w:val="24"/>
        </w:rPr>
        <w:t xml:space="preserve"> the tune up requirement for boiler(s)</w:t>
      </w:r>
      <w:r w:rsidR="005E73DF" w:rsidRPr="00926694">
        <w:rPr>
          <w:rFonts w:ascii="Arial" w:hAnsi="Arial" w:cs="Arial"/>
          <w:sz w:val="24"/>
          <w:szCs w:val="24"/>
        </w:rPr>
        <w:t xml:space="preserve"> </w:t>
      </w:r>
      <w:r w:rsidR="000D2B7E">
        <w:rPr>
          <w:rFonts w:ascii="Arial" w:hAnsi="Arial" w:cs="Arial"/>
          <w:sz w:val="24"/>
          <w:szCs w:val="24"/>
        </w:rPr>
        <w:t xml:space="preserve">per </w:t>
      </w:r>
      <w:r w:rsidR="00EC6935" w:rsidRPr="00BC04BF">
        <w:rPr>
          <w:rFonts w:ascii="Arial" w:hAnsi="Arial" w:cs="Arial"/>
        </w:rPr>
        <w:t>§</w:t>
      </w:r>
      <w:r w:rsidR="00032EF3">
        <w:rPr>
          <w:rFonts w:ascii="Arial" w:hAnsi="Arial" w:cs="Arial"/>
          <w:sz w:val="24"/>
          <w:szCs w:val="24"/>
        </w:rPr>
        <w:t>63.11</w:t>
      </w:r>
      <w:r w:rsidR="00EC6935">
        <w:rPr>
          <w:rFonts w:ascii="Arial" w:hAnsi="Arial" w:cs="Arial"/>
          <w:sz w:val="24"/>
          <w:szCs w:val="24"/>
        </w:rPr>
        <w:t>1</w:t>
      </w:r>
      <w:r w:rsidR="00032EF3">
        <w:rPr>
          <w:rFonts w:ascii="Arial" w:hAnsi="Arial" w:cs="Arial"/>
          <w:sz w:val="24"/>
          <w:szCs w:val="24"/>
        </w:rPr>
        <w:t>2</w:t>
      </w:r>
      <w:r w:rsidR="00EC6935">
        <w:rPr>
          <w:rFonts w:ascii="Arial" w:hAnsi="Arial" w:cs="Arial"/>
          <w:sz w:val="24"/>
          <w:szCs w:val="24"/>
        </w:rPr>
        <w:t>3</w:t>
      </w:r>
      <w:r w:rsidR="005E73DF" w:rsidRPr="00926694">
        <w:rPr>
          <w:rFonts w:ascii="Arial" w:hAnsi="Arial" w:cs="Arial"/>
          <w:sz w:val="24"/>
          <w:szCs w:val="24"/>
        </w:rPr>
        <w:t xml:space="preserve"> </w:t>
      </w:r>
      <w:r w:rsidR="00EC6935">
        <w:rPr>
          <w:rFonts w:ascii="Arial" w:hAnsi="Arial" w:cs="Arial"/>
          <w:sz w:val="24"/>
          <w:szCs w:val="24"/>
        </w:rPr>
        <w:t xml:space="preserve">of </w:t>
      </w:r>
      <w:r w:rsidR="005E73DF" w:rsidRPr="00926694">
        <w:rPr>
          <w:rFonts w:ascii="Arial" w:hAnsi="Arial" w:cs="Arial"/>
          <w:sz w:val="24"/>
          <w:szCs w:val="24"/>
        </w:rPr>
        <w:t>40 CFR part 63, subpart JJJJJJ.</w:t>
      </w: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5241" w:rsidRPr="00926694" w:rsidRDefault="00B85241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 _________________________________________     _________________________________  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  Name (please print)</w:t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</w:r>
      <w:r w:rsidRPr="00926694">
        <w:rPr>
          <w:rFonts w:ascii="Arial" w:hAnsi="Arial" w:cs="Arial"/>
          <w:sz w:val="24"/>
          <w:szCs w:val="24"/>
        </w:rPr>
        <w:tab/>
        <w:t xml:space="preserve">  </w:t>
      </w:r>
      <w:r w:rsidR="005E73DF" w:rsidRPr="00926694">
        <w:rPr>
          <w:rFonts w:ascii="Arial" w:hAnsi="Arial" w:cs="Arial"/>
          <w:sz w:val="24"/>
          <w:szCs w:val="24"/>
        </w:rPr>
        <w:t>Title</w:t>
      </w: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_________________________________________     _________________________________  </w:t>
      </w:r>
    </w:p>
    <w:p w:rsidR="005E73DF" w:rsidRPr="00926694" w:rsidRDefault="00442808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 xml:space="preserve"> </w:t>
      </w:r>
      <w:r w:rsidR="005E73DF" w:rsidRPr="00926694">
        <w:rPr>
          <w:rFonts w:ascii="Arial" w:hAnsi="Arial" w:cs="Arial"/>
          <w:sz w:val="24"/>
          <w:szCs w:val="24"/>
        </w:rPr>
        <w:t>Phone Number</w:t>
      </w:r>
      <w:r w:rsidR="005E73DF" w:rsidRPr="00926694">
        <w:rPr>
          <w:rFonts w:ascii="Arial" w:hAnsi="Arial" w:cs="Arial"/>
          <w:sz w:val="24"/>
          <w:szCs w:val="24"/>
        </w:rPr>
        <w:tab/>
      </w:r>
      <w:r w:rsidR="005E73DF" w:rsidRPr="00926694">
        <w:rPr>
          <w:rFonts w:ascii="Arial" w:hAnsi="Arial" w:cs="Arial"/>
          <w:sz w:val="24"/>
          <w:szCs w:val="24"/>
        </w:rPr>
        <w:tab/>
      </w:r>
      <w:r w:rsidR="005E73DF" w:rsidRPr="00926694">
        <w:rPr>
          <w:rFonts w:ascii="Arial" w:hAnsi="Arial" w:cs="Arial"/>
          <w:sz w:val="24"/>
          <w:szCs w:val="24"/>
        </w:rPr>
        <w:tab/>
        <w:t xml:space="preserve"> </w:t>
      </w:r>
      <w:r w:rsidR="005E73DF" w:rsidRPr="00926694">
        <w:rPr>
          <w:rFonts w:ascii="Arial" w:hAnsi="Arial" w:cs="Arial"/>
          <w:sz w:val="24"/>
          <w:szCs w:val="24"/>
        </w:rPr>
        <w:tab/>
        <w:t xml:space="preserve">                     </w:t>
      </w:r>
      <w:r w:rsidRPr="00926694">
        <w:rPr>
          <w:rFonts w:ascii="Arial" w:hAnsi="Arial" w:cs="Arial"/>
          <w:sz w:val="24"/>
          <w:szCs w:val="24"/>
        </w:rPr>
        <w:t xml:space="preserve">   </w:t>
      </w:r>
      <w:r w:rsidR="005E73DF" w:rsidRPr="00926694">
        <w:rPr>
          <w:rFonts w:ascii="Arial" w:hAnsi="Arial" w:cs="Arial"/>
          <w:sz w:val="24"/>
          <w:szCs w:val="24"/>
        </w:rPr>
        <w:t>Email Address</w:t>
      </w: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3DF" w:rsidRPr="00926694" w:rsidRDefault="005E73DF" w:rsidP="005E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694">
        <w:rPr>
          <w:rFonts w:ascii="Arial" w:hAnsi="Arial" w:cs="Arial"/>
          <w:sz w:val="24"/>
          <w:szCs w:val="24"/>
        </w:rPr>
        <w:t>_________________________________________________D</w:t>
      </w:r>
      <w:r w:rsidR="00243EDB" w:rsidRPr="00926694">
        <w:rPr>
          <w:rFonts w:ascii="Arial" w:hAnsi="Arial" w:cs="Arial"/>
          <w:sz w:val="24"/>
          <w:szCs w:val="24"/>
        </w:rPr>
        <w:t>ate</w:t>
      </w:r>
      <w:r w:rsidRPr="00926694">
        <w:rPr>
          <w:rFonts w:ascii="Arial" w:hAnsi="Arial" w:cs="Arial"/>
          <w:sz w:val="24"/>
          <w:szCs w:val="24"/>
        </w:rPr>
        <w:t>:___________________</w:t>
      </w:r>
    </w:p>
    <w:p w:rsidR="005E73DF" w:rsidRPr="00926694" w:rsidRDefault="005E73DF" w:rsidP="00442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926694">
        <w:rPr>
          <w:rFonts w:ascii="Arial" w:hAnsi="Arial" w:cs="Arial"/>
          <w:bCs/>
          <w:i/>
          <w:iCs/>
          <w:sz w:val="24"/>
          <w:szCs w:val="24"/>
        </w:rPr>
        <w:t>Signature</w:t>
      </w:r>
    </w:p>
    <w:p w:rsidR="0090099B" w:rsidRPr="00926694" w:rsidRDefault="0090099B" w:rsidP="006461F4">
      <w:pPr>
        <w:rPr>
          <w:rFonts w:ascii="Arial" w:hAnsi="Arial" w:cs="Arial"/>
          <w:b/>
          <w:sz w:val="24"/>
          <w:szCs w:val="24"/>
        </w:rPr>
      </w:pPr>
    </w:p>
    <w:p w:rsidR="006461F4" w:rsidRPr="00926694" w:rsidRDefault="006461F4" w:rsidP="006461F4">
      <w:pPr>
        <w:rPr>
          <w:rFonts w:ascii="Arial" w:hAnsi="Arial" w:cs="Arial"/>
          <w:b/>
          <w:sz w:val="24"/>
          <w:szCs w:val="24"/>
        </w:rPr>
      </w:pPr>
    </w:p>
    <w:p w:rsidR="006461F4" w:rsidRPr="00926694" w:rsidRDefault="006461F4" w:rsidP="006461F4">
      <w:pPr>
        <w:rPr>
          <w:rFonts w:ascii="Arial" w:hAnsi="Arial" w:cs="Arial"/>
          <w:b/>
          <w:sz w:val="24"/>
          <w:szCs w:val="24"/>
        </w:rPr>
      </w:pPr>
    </w:p>
    <w:p w:rsidR="006461F4" w:rsidRPr="008D50F7" w:rsidRDefault="006461F4" w:rsidP="006461F4">
      <w:pPr>
        <w:rPr>
          <w:rFonts w:ascii="Arial" w:hAnsi="Arial" w:cs="Arial"/>
          <w:b/>
          <w:sz w:val="24"/>
          <w:szCs w:val="24"/>
        </w:rPr>
      </w:pPr>
    </w:p>
    <w:sectPr w:rsidR="006461F4" w:rsidRPr="008D50F7" w:rsidSect="00CB2083">
      <w:footnotePr>
        <w:numFmt w:val="lowerLetter"/>
      </w:footnotePr>
      <w:pgSz w:w="12240" w:h="15840"/>
      <w:pgMar w:top="720" w:right="720" w:bottom="1152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79" w:rsidRDefault="00914079" w:rsidP="00CB577E">
      <w:pPr>
        <w:spacing w:after="0" w:line="240" w:lineRule="auto"/>
      </w:pPr>
      <w:r>
        <w:separator/>
      </w:r>
    </w:p>
  </w:endnote>
  <w:endnote w:type="continuationSeparator" w:id="0">
    <w:p w:rsidR="00914079" w:rsidRDefault="00914079" w:rsidP="00CB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6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05117" w:rsidRDefault="001C2A5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8C5518">
            <w:rPr>
              <w:noProof/>
            </w:rPr>
            <w:t>1</w:t>
          </w:r>
        </w:fldSimple>
        <w:r w:rsidR="00905117">
          <w:t xml:space="preserve"> | </w:t>
        </w:r>
        <w:r w:rsidR="00905117">
          <w:rPr>
            <w:color w:val="7F7F7F" w:themeColor="background1" w:themeShade="7F"/>
            <w:spacing w:val="60"/>
          </w:rPr>
          <w:t>Page</w:t>
        </w:r>
      </w:p>
    </w:sdtContent>
  </w:sdt>
  <w:p w:rsidR="00905117" w:rsidRDefault="009051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79" w:rsidRDefault="00914079" w:rsidP="00CB577E">
      <w:pPr>
        <w:spacing w:after="0" w:line="240" w:lineRule="auto"/>
      </w:pPr>
      <w:r>
        <w:separator/>
      </w:r>
    </w:p>
  </w:footnote>
  <w:footnote w:type="continuationSeparator" w:id="0">
    <w:p w:rsidR="00914079" w:rsidRDefault="00914079" w:rsidP="00CB577E">
      <w:pPr>
        <w:spacing w:after="0" w:line="240" w:lineRule="auto"/>
      </w:pPr>
      <w:r>
        <w:continuationSeparator/>
      </w:r>
    </w:p>
  </w:footnote>
  <w:footnote w:id="1">
    <w:p w:rsidR="00905117" w:rsidRDefault="00905117" w:rsidP="00BB545C">
      <w:pPr>
        <w:spacing w:before="347" w:after="115" w:line="240" w:lineRule="atLeast"/>
        <w:outlineLvl w:val="3"/>
      </w:pPr>
      <w:r>
        <w:rPr>
          <w:rStyle w:val="FootnoteReference"/>
        </w:rPr>
        <w:footnoteRef/>
      </w:r>
      <w:r>
        <w:t xml:space="preserve"> An example Notification of Compliance form for boilers subject to tune-ups is available at </w:t>
      </w:r>
      <w:hyperlink r:id="rId1" w:history="1">
        <w:r w:rsidRPr="00126C90">
          <w:rPr>
            <w:rStyle w:val="Hyperlink"/>
          </w:rPr>
          <w:t>http://www.epa.gov/ttn/atw/boiler/boilerpg.html</w:t>
        </w:r>
      </w:hyperlink>
      <w:r>
        <w:t xml:space="preserve"> </w:t>
      </w:r>
      <w:r w:rsidRPr="007D2749">
        <w:t xml:space="preserve">under </w:t>
      </w:r>
      <w:r w:rsidRPr="007D2749">
        <w:rPr>
          <w:rFonts w:eastAsia="Times New Roman" w:cs="Times New Roman"/>
          <w:bCs/>
          <w:color w:val="000000"/>
        </w:rPr>
        <w:t>Implementation Tools</w:t>
      </w:r>
      <w:r w:rsidRPr="007D2749">
        <w:t>.</w:t>
      </w:r>
    </w:p>
  </w:footnote>
  <w:footnote w:id="2">
    <w:p w:rsidR="00905117" w:rsidRPr="00413B8C" w:rsidRDefault="009051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B8C">
        <w:t xml:space="preserve">Use the boiler emission unit ID consistent with the ID provided in the Initial Notification Report.  </w:t>
      </w:r>
    </w:p>
  </w:footnote>
  <w:footnote w:id="3">
    <w:p w:rsidR="00905117" w:rsidRPr="00413B8C" w:rsidRDefault="00905117" w:rsidP="00413B8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413B8C">
        <w:rPr>
          <w:rStyle w:val="FootnoteReference"/>
          <w:sz w:val="20"/>
          <w:szCs w:val="20"/>
        </w:rPr>
        <w:footnoteRef/>
      </w:r>
      <w:r w:rsidRPr="00413B8C">
        <w:rPr>
          <w:sz w:val="20"/>
          <w:szCs w:val="20"/>
        </w:rPr>
        <w:t xml:space="preserve"> </w:t>
      </w:r>
      <w:r w:rsidRPr="00413B8C">
        <w:rPr>
          <w:rFonts w:cs="CourierNewPSMT"/>
          <w:sz w:val="20"/>
          <w:szCs w:val="20"/>
        </w:rPr>
        <w:t>You may delay the burner inspection until the next scheduled unit shutdown, but you must inspect each burner at least once every 36 months.</w:t>
      </w:r>
    </w:p>
  </w:footnote>
  <w:footnote w:id="4">
    <w:p w:rsidR="00905117" w:rsidRDefault="00905117">
      <w:pPr>
        <w:pStyle w:val="FootnoteText"/>
      </w:pPr>
      <w:r w:rsidRPr="00413B8C">
        <w:rPr>
          <w:rStyle w:val="FootnoteReference"/>
        </w:rPr>
        <w:footnoteRef/>
      </w:r>
      <w:r w:rsidRPr="00413B8C">
        <w:t xml:space="preserve"> Measurements may be made on either a dry or wet basis</w:t>
      </w:r>
      <w:r>
        <w:t>,</w:t>
      </w:r>
      <w:r w:rsidRPr="00413B8C">
        <w:t xml:space="preserve"> as long as it is the same basis before and after the tune-up adjustments are made. CO concentration measurements </w:t>
      </w:r>
      <w:r>
        <w:t xml:space="preserve">must </w:t>
      </w:r>
      <w:r w:rsidRPr="00413B8C">
        <w:t>be made in units of parts per million by volume (</w:t>
      </w:r>
      <w:proofErr w:type="spellStart"/>
      <w:r w:rsidRPr="00413B8C">
        <w:t>ppmv</w:t>
      </w:r>
      <w:proofErr w:type="spellEnd"/>
      <w:r w:rsidRPr="00413B8C">
        <w:t xml:space="preserve">). </w:t>
      </w:r>
      <w:r w:rsidRPr="00626F75">
        <w:t>Oxygen (</w:t>
      </w:r>
      <w:r w:rsidRPr="00626F75">
        <w:rPr>
          <w:rFonts w:ascii="Arial" w:hAnsi="Arial" w:cs="Arial"/>
        </w:rPr>
        <w:t>O</w:t>
      </w:r>
      <w:r w:rsidRPr="00626F75">
        <w:rPr>
          <w:rFonts w:ascii="Arial" w:hAnsi="Arial" w:cs="Arial"/>
          <w:vertAlign w:val="subscript"/>
        </w:rPr>
        <w:t>2</w:t>
      </w:r>
      <w:r w:rsidRPr="00626F75">
        <w:rPr>
          <w:rFonts w:ascii="Arial" w:hAnsi="Arial" w:cs="Arial"/>
        </w:rPr>
        <w:t xml:space="preserve">) </w:t>
      </w:r>
      <w:r w:rsidRPr="00413B8C">
        <w:t xml:space="preserve">concentration measurements </w:t>
      </w:r>
      <w:r>
        <w:t>must</w:t>
      </w:r>
      <w:r w:rsidRPr="00413B8C">
        <w:t xml:space="preserve"> be made as percent by volume.</w:t>
      </w:r>
    </w:p>
  </w:footnote>
  <w:footnote w:id="5">
    <w:p w:rsidR="00905117" w:rsidRPr="00BD46C6" w:rsidRDefault="00905117">
      <w:pPr>
        <w:pStyle w:val="FootnoteText"/>
        <w:rPr>
          <w:rFonts w:cs="Arial"/>
        </w:rPr>
      </w:pPr>
      <w:r w:rsidRPr="00BD46C6">
        <w:rPr>
          <w:rStyle w:val="FootnoteReference"/>
          <w:rFonts w:cs="Arial"/>
        </w:rPr>
        <w:footnoteRef/>
      </w:r>
      <w:r w:rsidRPr="00BD46C6">
        <w:rPr>
          <w:rFonts w:cs="Arial"/>
        </w:rPr>
        <w:t xml:space="preserve"> Report all fuels used in each of the units subject to the standard (e.g., bituminous coal, #6 fuel oil, #2 fuel oil, natural gas, bark, lumber, etc.). See the definition of fuel type in §63.11237.</w:t>
      </w:r>
    </w:p>
  </w:footnote>
  <w:footnote w:id="6">
    <w:p w:rsidR="00905117" w:rsidRPr="00BD46C6" w:rsidRDefault="00905117" w:rsidP="00BB434E">
      <w:pPr>
        <w:pStyle w:val="FootnoteText"/>
        <w:rPr>
          <w:rFonts w:cs="Arial"/>
        </w:rPr>
      </w:pPr>
      <w:r w:rsidRPr="00BD46C6">
        <w:rPr>
          <w:rStyle w:val="FootnoteReference"/>
          <w:rFonts w:cs="Arial"/>
        </w:rPr>
        <w:footnoteRef/>
      </w:r>
      <w:r w:rsidRPr="00BD46C6">
        <w:rPr>
          <w:rFonts w:cs="Arial"/>
        </w:rPr>
        <w:t xml:space="preserve"> For the first tune-up, this fuel consumption record begins on May 20, 2011, the effective date of the rule.  Thus, the first tune-up record will not reflect an entire 12 months of consumption data. </w:t>
      </w:r>
    </w:p>
  </w:footnote>
  <w:footnote w:id="7">
    <w:p w:rsidR="00905117" w:rsidRPr="00BD46C6" w:rsidRDefault="00905117">
      <w:pPr>
        <w:pStyle w:val="FootnoteText"/>
        <w:rPr>
          <w:rFonts w:cs="Arial"/>
        </w:rPr>
      </w:pPr>
      <w:r w:rsidRPr="00BD46C6">
        <w:rPr>
          <w:rStyle w:val="FootnoteReference"/>
        </w:rPr>
        <w:footnoteRef/>
      </w:r>
      <w:r w:rsidRPr="00BD46C6">
        <w:t xml:space="preserve"> </w:t>
      </w:r>
      <w:r w:rsidRPr="00BD46C6">
        <w:rPr>
          <w:rFonts w:cs="Arial"/>
        </w:rPr>
        <w:t xml:space="preserve">EPA recognizes that not all facilities have fuel metering capabilities. Records of fuel delivery- instead of fuel consumption- will </w:t>
      </w:r>
      <w:r>
        <w:rPr>
          <w:rFonts w:cs="Arial"/>
        </w:rPr>
        <w:t xml:space="preserve">also </w:t>
      </w:r>
      <w:r w:rsidRPr="00BD46C6">
        <w:rPr>
          <w:rFonts w:cs="Arial"/>
        </w:rPr>
        <w:t>meet the rule requirements.  Affected sources have discretion on the periods of fuel records maintained on-site. The records may be annual, monthly, or periodic, depending on fuel delivery frequencies.</w:t>
      </w:r>
    </w:p>
  </w:footnote>
  <w:footnote w:id="8">
    <w:p w:rsidR="00905117" w:rsidRPr="00BB434E" w:rsidRDefault="00905117">
      <w:pPr>
        <w:pStyle w:val="FootnoteText"/>
        <w:rPr>
          <w:rFonts w:ascii="Arial" w:hAnsi="Arial" w:cs="Arial"/>
          <w:sz w:val="22"/>
          <w:szCs w:val="22"/>
        </w:rPr>
      </w:pPr>
      <w:r w:rsidRPr="00BD46C6">
        <w:rPr>
          <w:rStyle w:val="FootnoteReference"/>
          <w:rFonts w:cs="Arial"/>
        </w:rPr>
        <w:footnoteRef/>
      </w:r>
      <w:r w:rsidRPr="00BD46C6">
        <w:rPr>
          <w:rFonts w:cs="Arial"/>
        </w:rPr>
        <w:t xml:space="preserve"> </w:t>
      </w:r>
      <w:proofErr w:type="gramStart"/>
      <w:r w:rsidRPr="00BD46C6">
        <w:rPr>
          <w:rFonts w:cs="Arial"/>
        </w:rPr>
        <w:t>e.g., Gallons, tons, standard cubic feet (</w:t>
      </w:r>
      <w:proofErr w:type="spellStart"/>
      <w:r w:rsidRPr="00BD46C6">
        <w:rPr>
          <w:rFonts w:cs="Arial"/>
        </w:rPr>
        <w:t>scf</w:t>
      </w:r>
      <w:proofErr w:type="spellEnd"/>
      <w:r w:rsidRPr="00BD46C6">
        <w:rPr>
          <w:rFonts w:cs="Arial"/>
        </w:rPr>
        <w:t>), etc.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608"/>
    <w:multiLevelType w:val="hybridMultilevel"/>
    <w:tmpl w:val="3B9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1CE8"/>
    <w:multiLevelType w:val="hybridMultilevel"/>
    <w:tmpl w:val="D832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73B74"/>
    <w:multiLevelType w:val="hybridMultilevel"/>
    <w:tmpl w:val="33C09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D9552D"/>
    <w:multiLevelType w:val="hybridMultilevel"/>
    <w:tmpl w:val="D3F4B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A0BD6"/>
    <w:multiLevelType w:val="hybridMultilevel"/>
    <w:tmpl w:val="8E105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CF6F3F"/>
    <w:multiLevelType w:val="hybridMultilevel"/>
    <w:tmpl w:val="ED28C12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95B0F"/>
    <w:multiLevelType w:val="hybridMultilevel"/>
    <w:tmpl w:val="4C3C2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1955"/>
    <w:multiLevelType w:val="hybridMultilevel"/>
    <w:tmpl w:val="C958DF1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/>
  <w:rsids>
    <w:rsidRoot w:val="00602304"/>
    <w:rsid w:val="000002F1"/>
    <w:rsid w:val="00010A0E"/>
    <w:rsid w:val="00011A9A"/>
    <w:rsid w:val="00026C26"/>
    <w:rsid w:val="00032EF3"/>
    <w:rsid w:val="00034831"/>
    <w:rsid w:val="0004691F"/>
    <w:rsid w:val="00060BA1"/>
    <w:rsid w:val="00063077"/>
    <w:rsid w:val="000864FB"/>
    <w:rsid w:val="000905EF"/>
    <w:rsid w:val="00091F60"/>
    <w:rsid w:val="000A1416"/>
    <w:rsid w:val="000A4D85"/>
    <w:rsid w:val="000B52B4"/>
    <w:rsid w:val="000C1594"/>
    <w:rsid w:val="000C3277"/>
    <w:rsid w:val="000D2B7E"/>
    <w:rsid w:val="000E140B"/>
    <w:rsid w:val="000E3D35"/>
    <w:rsid w:val="000F3A7E"/>
    <w:rsid w:val="000F684B"/>
    <w:rsid w:val="001018D3"/>
    <w:rsid w:val="0010518B"/>
    <w:rsid w:val="00105334"/>
    <w:rsid w:val="001128EC"/>
    <w:rsid w:val="00115985"/>
    <w:rsid w:val="00116BC7"/>
    <w:rsid w:val="00117520"/>
    <w:rsid w:val="00121DE4"/>
    <w:rsid w:val="00124E4B"/>
    <w:rsid w:val="00132455"/>
    <w:rsid w:val="001338F6"/>
    <w:rsid w:val="00150DBF"/>
    <w:rsid w:val="0015329E"/>
    <w:rsid w:val="0015616F"/>
    <w:rsid w:val="0015726E"/>
    <w:rsid w:val="0016274D"/>
    <w:rsid w:val="00165BE1"/>
    <w:rsid w:val="0018185A"/>
    <w:rsid w:val="001966AB"/>
    <w:rsid w:val="001A3B19"/>
    <w:rsid w:val="001A5106"/>
    <w:rsid w:val="001C00C8"/>
    <w:rsid w:val="001C20F8"/>
    <w:rsid w:val="001C2A53"/>
    <w:rsid w:val="001D12FF"/>
    <w:rsid w:val="001D63D3"/>
    <w:rsid w:val="001F004D"/>
    <w:rsid w:val="001F039A"/>
    <w:rsid w:val="001F4BB2"/>
    <w:rsid w:val="00201F05"/>
    <w:rsid w:val="0020300F"/>
    <w:rsid w:val="00206E83"/>
    <w:rsid w:val="00207543"/>
    <w:rsid w:val="002171A8"/>
    <w:rsid w:val="002329AE"/>
    <w:rsid w:val="00233F01"/>
    <w:rsid w:val="00243EDB"/>
    <w:rsid w:val="00246272"/>
    <w:rsid w:val="002475BE"/>
    <w:rsid w:val="00252360"/>
    <w:rsid w:val="002525D5"/>
    <w:rsid w:val="00255B3F"/>
    <w:rsid w:val="002562ED"/>
    <w:rsid w:val="00267C34"/>
    <w:rsid w:val="0027096D"/>
    <w:rsid w:val="00270A83"/>
    <w:rsid w:val="0027193D"/>
    <w:rsid w:val="002753DC"/>
    <w:rsid w:val="0027741E"/>
    <w:rsid w:val="00295CF3"/>
    <w:rsid w:val="002A170C"/>
    <w:rsid w:val="002B1D4E"/>
    <w:rsid w:val="002B69D4"/>
    <w:rsid w:val="002B7AC7"/>
    <w:rsid w:val="002C28A9"/>
    <w:rsid w:val="002C4BCA"/>
    <w:rsid w:val="002D070A"/>
    <w:rsid w:val="002D4AD6"/>
    <w:rsid w:val="002E0C3B"/>
    <w:rsid w:val="002F57DD"/>
    <w:rsid w:val="003172DB"/>
    <w:rsid w:val="00322C7C"/>
    <w:rsid w:val="00330028"/>
    <w:rsid w:val="0034597D"/>
    <w:rsid w:val="0035174D"/>
    <w:rsid w:val="00355D38"/>
    <w:rsid w:val="00357356"/>
    <w:rsid w:val="003630AB"/>
    <w:rsid w:val="00363565"/>
    <w:rsid w:val="00370315"/>
    <w:rsid w:val="0037241E"/>
    <w:rsid w:val="0037428F"/>
    <w:rsid w:val="003C13BC"/>
    <w:rsid w:val="003C3601"/>
    <w:rsid w:val="003C518C"/>
    <w:rsid w:val="003D1B5F"/>
    <w:rsid w:val="003E7E57"/>
    <w:rsid w:val="00400D08"/>
    <w:rsid w:val="00402034"/>
    <w:rsid w:val="0040428B"/>
    <w:rsid w:val="0040522E"/>
    <w:rsid w:val="004135DB"/>
    <w:rsid w:val="00413B8C"/>
    <w:rsid w:val="00423846"/>
    <w:rsid w:val="004251A6"/>
    <w:rsid w:val="004355BE"/>
    <w:rsid w:val="00442808"/>
    <w:rsid w:val="004444DF"/>
    <w:rsid w:val="0044621F"/>
    <w:rsid w:val="004473C7"/>
    <w:rsid w:val="00450DF4"/>
    <w:rsid w:val="00454A58"/>
    <w:rsid w:val="00455569"/>
    <w:rsid w:val="0046233B"/>
    <w:rsid w:val="00467BC3"/>
    <w:rsid w:val="00472463"/>
    <w:rsid w:val="00472588"/>
    <w:rsid w:val="0047314E"/>
    <w:rsid w:val="00477D8D"/>
    <w:rsid w:val="00484370"/>
    <w:rsid w:val="0049549C"/>
    <w:rsid w:val="00495D45"/>
    <w:rsid w:val="004B6F85"/>
    <w:rsid w:val="004C432E"/>
    <w:rsid w:val="004D41A3"/>
    <w:rsid w:val="004D5248"/>
    <w:rsid w:val="004D6556"/>
    <w:rsid w:val="004D6A9B"/>
    <w:rsid w:val="004F5A13"/>
    <w:rsid w:val="005015EE"/>
    <w:rsid w:val="00516B89"/>
    <w:rsid w:val="00534AEC"/>
    <w:rsid w:val="00536281"/>
    <w:rsid w:val="00537478"/>
    <w:rsid w:val="005463D4"/>
    <w:rsid w:val="00553577"/>
    <w:rsid w:val="0055518B"/>
    <w:rsid w:val="0057080D"/>
    <w:rsid w:val="00575B3A"/>
    <w:rsid w:val="0058470E"/>
    <w:rsid w:val="00585D43"/>
    <w:rsid w:val="00587151"/>
    <w:rsid w:val="005946AF"/>
    <w:rsid w:val="005946BB"/>
    <w:rsid w:val="00595CC5"/>
    <w:rsid w:val="005A637A"/>
    <w:rsid w:val="005B12A4"/>
    <w:rsid w:val="005B1496"/>
    <w:rsid w:val="005C20CB"/>
    <w:rsid w:val="005C220D"/>
    <w:rsid w:val="005C384F"/>
    <w:rsid w:val="005C6DBF"/>
    <w:rsid w:val="005D7D54"/>
    <w:rsid w:val="005E50CF"/>
    <w:rsid w:val="005E73DF"/>
    <w:rsid w:val="00602304"/>
    <w:rsid w:val="00616B24"/>
    <w:rsid w:val="0062086E"/>
    <w:rsid w:val="00624D73"/>
    <w:rsid w:val="00626F75"/>
    <w:rsid w:val="00633113"/>
    <w:rsid w:val="00640567"/>
    <w:rsid w:val="00642467"/>
    <w:rsid w:val="006461F4"/>
    <w:rsid w:val="00650A93"/>
    <w:rsid w:val="00652519"/>
    <w:rsid w:val="00653488"/>
    <w:rsid w:val="00667B53"/>
    <w:rsid w:val="00670395"/>
    <w:rsid w:val="00671385"/>
    <w:rsid w:val="00672FDE"/>
    <w:rsid w:val="006772BC"/>
    <w:rsid w:val="00681279"/>
    <w:rsid w:val="006960E8"/>
    <w:rsid w:val="006A22C1"/>
    <w:rsid w:val="006C3AF9"/>
    <w:rsid w:val="006D25A1"/>
    <w:rsid w:val="006D4649"/>
    <w:rsid w:val="006D7F80"/>
    <w:rsid w:val="006E5889"/>
    <w:rsid w:val="006F426F"/>
    <w:rsid w:val="006F7941"/>
    <w:rsid w:val="00701038"/>
    <w:rsid w:val="00703489"/>
    <w:rsid w:val="007124AB"/>
    <w:rsid w:val="007145FD"/>
    <w:rsid w:val="00720FE7"/>
    <w:rsid w:val="007265D3"/>
    <w:rsid w:val="00754600"/>
    <w:rsid w:val="007665A1"/>
    <w:rsid w:val="007715D5"/>
    <w:rsid w:val="007869D4"/>
    <w:rsid w:val="00792B11"/>
    <w:rsid w:val="00794A7E"/>
    <w:rsid w:val="007A356C"/>
    <w:rsid w:val="007A7958"/>
    <w:rsid w:val="007B0241"/>
    <w:rsid w:val="007C2DE8"/>
    <w:rsid w:val="007C5721"/>
    <w:rsid w:val="007D2749"/>
    <w:rsid w:val="007D35F9"/>
    <w:rsid w:val="007D4883"/>
    <w:rsid w:val="007D5F86"/>
    <w:rsid w:val="007F6066"/>
    <w:rsid w:val="00814992"/>
    <w:rsid w:val="00821527"/>
    <w:rsid w:val="008341E6"/>
    <w:rsid w:val="00843FA2"/>
    <w:rsid w:val="00845819"/>
    <w:rsid w:val="00847E52"/>
    <w:rsid w:val="008527A0"/>
    <w:rsid w:val="008650B5"/>
    <w:rsid w:val="0086767B"/>
    <w:rsid w:val="00885E09"/>
    <w:rsid w:val="008955F1"/>
    <w:rsid w:val="008A0E5B"/>
    <w:rsid w:val="008A2478"/>
    <w:rsid w:val="008A7372"/>
    <w:rsid w:val="008B0CC5"/>
    <w:rsid w:val="008C5518"/>
    <w:rsid w:val="008D0F2B"/>
    <w:rsid w:val="008D2811"/>
    <w:rsid w:val="008D34F7"/>
    <w:rsid w:val="008D4393"/>
    <w:rsid w:val="008D50F7"/>
    <w:rsid w:val="008E0966"/>
    <w:rsid w:val="008E4030"/>
    <w:rsid w:val="008E665A"/>
    <w:rsid w:val="008F07EE"/>
    <w:rsid w:val="008F1902"/>
    <w:rsid w:val="0090099B"/>
    <w:rsid w:val="00905117"/>
    <w:rsid w:val="00912CE8"/>
    <w:rsid w:val="00914079"/>
    <w:rsid w:val="00926694"/>
    <w:rsid w:val="00936283"/>
    <w:rsid w:val="00936483"/>
    <w:rsid w:val="00946534"/>
    <w:rsid w:val="00951A29"/>
    <w:rsid w:val="0096015E"/>
    <w:rsid w:val="0096402F"/>
    <w:rsid w:val="00967D9D"/>
    <w:rsid w:val="00974D09"/>
    <w:rsid w:val="00980875"/>
    <w:rsid w:val="00984EDC"/>
    <w:rsid w:val="00987847"/>
    <w:rsid w:val="009C0787"/>
    <w:rsid w:val="009C4BC8"/>
    <w:rsid w:val="009D11EE"/>
    <w:rsid w:val="009D3B7C"/>
    <w:rsid w:val="009F04CC"/>
    <w:rsid w:val="009F3302"/>
    <w:rsid w:val="009F73C1"/>
    <w:rsid w:val="00A14E3D"/>
    <w:rsid w:val="00A225C6"/>
    <w:rsid w:val="00A27DF3"/>
    <w:rsid w:val="00A42349"/>
    <w:rsid w:val="00A42D26"/>
    <w:rsid w:val="00A61BA6"/>
    <w:rsid w:val="00A66030"/>
    <w:rsid w:val="00A66752"/>
    <w:rsid w:val="00A6688D"/>
    <w:rsid w:val="00A9467F"/>
    <w:rsid w:val="00A94B37"/>
    <w:rsid w:val="00A979A9"/>
    <w:rsid w:val="00AA1BD9"/>
    <w:rsid w:val="00AB1843"/>
    <w:rsid w:val="00AB294E"/>
    <w:rsid w:val="00AB4E86"/>
    <w:rsid w:val="00AC1037"/>
    <w:rsid w:val="00AC2056"/>
    <w:rsid w:val="00AD48DC"/>
    <w:rsid w:val="00AD4E80"/>
    <w:rsid w:val="00AD51EE"/>
    <w:rsid w:val="00AE37FC"/>
    <w:rsid w:val="00B01598"/>
    <w:rsid w:val="00B0232D"/>
    <w:rsid w:val="00B11CA8"/>
    <w:rsid w:val="00B12261"/>
    <w:rsid w:val="00B213AF"/>
    <w:rsid w:val="00B42E6E"/>
    <w:rsid w:val="00B43959"/>
    <w:rsid w:val="00B46D63"/>
    <w:rsid w:val="00B52C6C"/>
    <w:rsid w:val="00B56A8D"/>
    <w:rsid w:val="00B62495"/>
    <w:rsid w:val="00B671C6"/>
    <w:rsid w:val="00B75FBE"/>
    <w:rsid w:val="00B81613"/>
    <w:rsid w:val="00B82FA2"/>
    <w:rsid w:val="00B85241"/>
    <w:rsid w:val="00B87926"/>
    <w:rsid w:val="00BB434E"/>
    <w:rsid w:val="00BB545C"/>
    <w:rsid w:val="00BC04BF"/>
    <w:rsid w:val="00BC1399"/>
    <w:rsid w:val="00BD005C"/>
    <w:rsid w:val="00BD46C6"/>
    <w:rsid w:val="00BE08C3"/>
    <w:rsid w:val="00BE2674"/>
    <w:rsid w:val="00BE48BB"/>
    <w:rsid w:val="00BE4F57"/>
    <w:rsid w:val="00BF697E"/>
    <w:rsid w:val="00C108B3"/>
    <w:rsid w:val="00C25FEC"/>
    <w:rsid w:val="00C37021"/>
    <w:rsid w:val="00C50038"/>
    <w:rsid w:val="00C54A02"/>
    <w:rsid w:val="00C76E2C"/>
    <w:rsid w:val="00C82951"/>
    <w:rsid w:val="00C979A0"/>
    <w:rsid w:val="00CA7D90"/>
    <w:rsid w:val="00CB2083"/>
    <w:rsid w:val="00CB577E"/>
    <w:rsid w:val="00CC43AF"/>
    <w:rsid w:val="00CC5B5C"/>
    <w:rsid w:val="00CD0BB9"/>
    <w:rsid w:val="00CD107E"/>
    <w:rsid w:val="00CD61E9"/>
    <w:rsid w:val="00D11C5A"/>
    <w:rsid w:val="00D21D88"/>
    <w:rsid w:val="00D22C1D"/>
    <w:rsid w:val="00D27D7B"/>
    <w:rsid w:val="00D34DE3"/>
    <w:rsid w:val="00D4105A"/>
    <w:rsid w:val="00D42643"/>
    <w:rsid w:val="00D43A29"/>
    <w:rsid w:val="00D471CE"/>
    <w:rsid w:val="00D51318"/>
    <w:rsid w:val="00D84936"/>
    <w:rsid w:val="00D86664"/>
    <w:rsid w:val="00D8767E"/>
    <w:rsid w:val="00D97CCB"/>
    <w:rsid w:val="00DA0B67"/>
    <w:rsid w:val="00DA1ED7"/>
    <w:rsid w:val="00DA3B6A"/>
    <w:rsid w:val="00DB45C9"/>
    <w:rsid w:val="00DC03E8"/>
    <w:rsid w:val="00DC1BA8"/>
    <w:rsid w:val="00DC250A"/>
    <w:rsid w:val="00DC4A05"/>
    <w:rsid w:val="00DE36AA"/>
    <w:rsid w:val="00DF24EC"/>
    <w:rsid w:val="00DF4B01"/>
    <w:rsid w:val="00E06083"/>
    <w:rsid w:val="00E139E1"/>
    <w:rsid w:val="00E230C3"/>
    <w:rsid w:val="00E42210"/>
    <w:rsid w:val="00E441B9"/>
    <w:rsid w:val="00E631D4"/>
    <w:rsid w:val="00E7691C"/>
    <w:rsid w:val="00E85666"/>
    <w:rsid w:val="00E908E7"/>
    <w:rsid w:val="00EA184D"/>
    <w:rsid w:val="00EA3271"/>
    <w:rsid w:val="00EA3ED5"/>
    <w:rsid w:val="00EA621D"/>
    <w:rsid w:val="00EC5166"/>
    <w:rsid w:val="00EC61AB"/>
    <w:rsid w:val="00EC6935"/>
    <w:rsid w:val="00ED04DE"/>
    <w:rsid w:val="00EE04D9"/>
    <w:rsid w:val="00EF3D3C"/>
    <w:rsid w:val="00EF791D"/>
    <w:rsid w:val="00F12035"/>
    <w:rsid w:val="00F1532E"/>
    <w:rsid w:val="00F30698"/>
    <w:rsid w:val="00F3465D"/>
    <w:rsid w:val="00F43CA9"/>
    <w:rsid w:val="00F52EB4"/>
    <w:rsid w:val="00F61C5F"/>
    <w:rsid w:val="00F66254"/>
    <w:rsid w:val="00F77A5C"/>
    <w:rsid w:val="00F77BFF"/>
    <w:rsid w:val="00F82DB7"/>
    <w:rsid w:val="00F904E0"/>
    <w:rsid w:val="00F929FD"/>
    <w:rsid w:val="00F95020"/>
    <w:rsid w:val="00FC28AB"/>
    <w:rsid w:val="00FC5C3A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77E"/>
  </w:style>
  <w:style w:type="paragraph" w:styleId="Footer">
    <w:name w:val="footer"/>
    <w:basedOn w:val="Normal"/>
    <w:link w:val="FooterChar"/>
    <w:uiPriority w:val="99"/>
    <w:unhideWhenUsed/>
    <w:rsid w:val="00CB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7E"/>
  </w:style>
  <w:style w:type="paragraph" w:styleId="BalloonText">
    <w:name w:val="Balloon Text"/>
    <w:basedOn w:val="Normal"/>
    <w:link w:val="BalloonTextChar"/>
    <w:uiPriority w:val="99"/>
    <w:semiHidden/>
    <w:unhideWhenUsed/>
    <w:rsid w:val="00CB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7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93"/>
    <w:rPr>
      <w:b/>
      <w:bCs/>
    </w:rPr>
  </w:style>
  <w:style w:type="table" w:styleId="TableGrid">
    <w:name w:val="Table Grid"/>
    <w:basedOn w:val="TableNormal"/>
    <w:uiPriority w:val="59"/>
    <w:rsid w:val="0084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A0E5B"/>
    <w:pPr>
      <w:spacing w:after="0" w:line="240" w:lineRule="auto"/>
    </w:pPr>
  </w:style>
  <w:style w:type="character" w:styleId="Hyperlink">
    <w:name w:val="Hyperlink"/>
    <w:basedOn w:val="DefaultParagraphFont"/>
    <w:rsid w:val="00553577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553577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NoSpacing">
    <w:name w:val="No Spacing"/>
    <w:uiPriority w:val="1"/>
    <w:qFormat/>
    <w:rsid w:val="006461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47023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0155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cket.access.gpo.gov/2011/pdf/2011-449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pa.gov/ttn/atw/boiler/boilerpg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a.gov/ttn/atw/boiler/boilerp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9491-E312-46A5-9C6C-16E2A3D2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1158</Words>
  <Characters>6601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MPAYNE02</dc:creator>
  <cp:keywords/>
  <dc:description/>
  <cp:lastModifiedBy>Alison Davidson</cp:lastModifiedBy>
  <cp:revision>2</cp:revision>
  <cp:lastPrinted>2011-03-31T16:28:00Z</cp:lastPrinted>
  <dcterms:created xsi:type="dcterms:W3CDTF">2011-10-13T13:42:00Z</dcterms:created>
  <dcterms:modified xsi:type="dcterms:W3CDTF">2011-10-13T13:42:00Z</dcterms:modified>
</cp:coreProperties>
</file>