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ED" w:rsidRDefault="005A21ED" w:rsidP="005A21ED">
      <w:pPr>
        <w:jc w:val="center"/>
        <w:rPr>
          <w:sz w:val="24"/>
          <w:szCs w:val="24"/>
        </w:rPr>
      </w:pPr>
      <w:r>
        <w:rPr>
          <w:rFonts w:ascii="Zurich Ex BT" w:hAnsi="Zurich Ex BT"/>
          <w:noProof/>
        </w:rPr>
        <w:drawing>
          <wp:anchor distT="152400" distB="152400" distL="152400" distR="152400" simplePos="0" relativeHeight="251660288" behindDoc="1" locked="0" layoutInCell="1" allowOverlap="1">
            <wp:simplePos x="0" y="0"/>
            <wp:positionH relativeFrom="page">
              <wp:posOffset>428625</wp:posOffset>
            </wp:positionH>
            <wp:positionV relativeFrom="page">
              <wp:posOffset>523875</wp:posOffset>
            </wp:positionV>
            <wp:extent cx="1143000" cy="1143000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1ED" w:rsidRPr="005A21ED" w:rsidRDefault="002F0793" w:rsidP="005A21E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A21ED">
        <w:rPr>
          <w:rFonts w:cstheme="minorHAnsi"/>
          <w:sz w:val="28"/>
          <w:szCs w:val="28"/>
          <w:lang w:val="en-CA"/>
        </w:rPr>
        <w:fldChar w:fldCharType="begin"/>
      </w:r>
      <w:r w:rsidR="005A21ED" w:rsidRPr="005A21ED">
        <w:rPr>
          <w:rFonts w:cstheme="minorHAnsi"/>
          <w:sz w:val="28"/>
          <w:szCs w:val="28"/>
          <w:lang w:val="en-CA"/>
        </w:rPr>
        <w:instrText xml:space="preserve"> SEQ CHAPTER \h \r 1</w:instrText>
      </w:r>
      <w:r w:rsidRPr="005A21ED">
        <w:rPr>
          <w:rFonts w:cstheme="minorHAnsi"/>
          <w:sz w:val="28"/>
          <w:szCs w:val="28"/>
          <w:lang w:val="en-CA"/>
        </w:rPr>
        <w:fldChar w:fldCharType="end"/>
      </w:r>
      <w:r w:rsidR="005A21ED" w:rsidRPr="005A21ED">
        <w:rPr>
          <w:rFonts w:cstheme="minorHAnsi"/>
          <w:b/>
          <w:bCs/>
          <w:sz w:val="28"/>
          <w:szCs w:val="28"/>
        </w:rPr>
        <w:t>U.S. ENVIRONMENTAL PROTECTION AGENCY REGION I</w:t>
      </w:r>
    </w:p>
    <w:p w:rsidR="005A21ED" w:rsidRPr="005A21ED" w:rsidRDefault="005A21ED" w:rsidP="005A21E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A21ED">
        <w:rPr>
          <w:rFonts w:cstheme="minorHAnsi"/>
          <w:b/>
          <w:bCs/>
          <w:sz w:val="28"/>
          <w:szCs w:val="28"/>
        </w:rPr>
        <w:t>FIVE POST OFFICE SQUARE, SUITE 100</w:t>
      </w:r>
    </w:p>
    <w:p w:rsidR="005A21ED" w:rsidRPr="005A21ED" w:rsidRDefault="001008E4" w:rsidP="005A21E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BOSTON, MA</w:t>
      </w:r>
      <w:r w:rsidR="005A21ED" w:rsidRPr="005A21ED">
        <w:rPr>
          <w:rFonts w:cstheme="minorHAnsi"/>
          <w:b/>
          <w:bCs/>
          <w:sz w:val="28"/>
          <w:szCs w:val="28"/>
        </w:rPr>
        <w:t xml:space="preserve"> 02109-3912</w:t>
      </w:r>
    </w:p>
    <w:p w:rsidR="00B60453" w:rsidRPr="00B60453" w:rsidRDefault="00B60453" w:rsidP="0072145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8"/>
          <w:szCs w:val="28"/>
        </w:rPr>
      </w:pPr>
    </w:p>
    <w:p w:rsidR="009853B5" w:rsidRPr="00B60453" w:rsidRDefault="009853B5" w:rsidP="00B60453">
      <w:pPr>
        <w:rPr>
          <w:rFonts w:eastAsiaTheme="minorEastAsia"/>
          <w:noProof/>
        </w:rPr>
      </w:pPr>
      <w:bookmarkStart w:id="0" w:name="_MailAutoSig"/>
      <w:r w:rsidRPr="00B60453">
        <w:rPr>
          <w:rFonts w:eastAsiaTheme="minorEastAsia"/>
          <w:noProof/>
          <w:color w:val="C00000"/>
        </w:rPr>
        <w:t>*~*~*~*~*~*~*~*~**~*~*~*~*~*~*~*~**~*~*~*~*~*~*~*~**~*~*~*~*~*~*~*~*</w:t>
      </w:r>
      <w:bookmarkEnd w:id="0"/>
      <w:r w:rsidRPr="00B60453">
        <w:rPr>
          <w:rFonts w:eastAsiaTheme="minorEastAsia"/>
          <w:noProof/>
          <w:color w:val="C00000"/>
        </w:rPr>
        <w:t>*~*~*~*~*~*~*~*~**~*~*~</w:t>
      </w:r>
    </w:p>
    <w:p w:rsidR="0072145A" w:rsidRPr="00B60453" w:rsidRDefault="00915E7F" w:rsidP="0072145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8"/>
          <w:szCs w:val="28"/>
        </w:rPr>
      </w:pPr>
      <w:r w:rsidRPr="00B60453">
        <w:rPr>
          <w:rFonts w:cs="Arial"/>
          <w:b/>
          <w:bCs/>
          <w:color w:val="000000"/>
          <w:sz w:val="28"/>
          <w:szCs w:val="28"/>
        </w:rPr>
        <w:t xml:space="preserve">Q:  </w:t>
      </w:r>
      <w:r w:rsidR="0072145A" w:rsidRPr="00B60453">
        <w:rPr>
          <w:rFonts w:cs="Arial"/>
          <w:b/>
          <w:bCs/>
          <w:color w:val="000000"/>
          <w:sz w:val="28"/>
          <w:szCs w:val="28"/>
        </w:rPr>
        <w:t xml:space="preserve">Is Your </w:t>
      </w:r>
      <w:r w:rsidR="0072145A" w:rsidRPr="005A21ED">
        <w:rPr>
          <w:rFonts w:cstheme="minorHAnsi"/>
          <w:b/>
          <w:bCs/>
          <w:color w:val="000000"/>
          <w:sz w:val="28"/>
          <w:szCs w:val="28"/>
        </w:rPr>
        <w:t>Boiler</w:t>
      </w:r>
      <w:r w:rsidR="005A21ED">
        <w:rPr>
          <w:rFonts w:cs="Arial"/>
          <w:b/>
          <w:bCs/>
          <w:color w:val="000000"/>
          <w:sz w:val="28"/>
          <w:szCs w:val="28"/>
        </w:rPr>
        <w:t xml:space="preserve"> Covered by the Federal “</w:t>
      </w:r>
      <w:r w:rsidR="0072145A" w:rsidRPr="00B60453">
        <w:rPr>
          <w:rFonts w:cs="Arial"/>
          <w:b/>
          <w:bCs/>
          <w:color w:val="000000"/>
          <w:sz w:val="28"/>
          <w:szCs w:val="28"/>
        </w:rPr>
        <w:t>Area Source Boiler Rule?</w:t>
      </w:r>
      <w:r w:rsidR="005A21ED">
        <w:rPr>
          <w:rFonts w:cs="Arial"/>
          <w:b/>
          <w:bCs/>
          <w:color w:val="000000"/>
          <w:sz w:val="28"/>
          <w:szCs w:val="28"/>
        </w:rPr>
        <w:t>”</w:t>
      </w:r>
    </w:p>
    <w:p w:rsidR="0072145A" w:rsidRPr="00B60453" w:rsidRDefault="0072145A" w:rsidP="007214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B60453">
        <w:rPr>
          <w:rFonts w:cs="Arial"/>
          <w:color w:val="000000"/>
          <w:sz w:val="24"/>
          <w:szCs w:val="24"/>
        </w:rPr>
        <w:br/>
      </w:r>
      <w:r w:rsidR="00915E7F" w:rsidRPr="00B60453">
        <w:rPr>
          <w:rFonts w:cs="Arial"/>
          <w:b/>
          <w:color w:val="000000"/>
          <w:sz w:val="28"/>
          <w:szCs w:val="28"/>
        </w:rPr>
        <w:t>A:</w:t>
      </w:r>
      <w:r w:rsidR="00915E7F" w:rsidRPr="00B60453">
        <w:rPr>
          <w:rFonts w:cs="Arial"/>
          <w:color w:val="000000"/>
          <w:sz w:val="24"/>
          <w:szCs w:val="24"/>
        </w:rPr>
        <w:t xml:space="preserve">  </w:t>
      </w:r>
      <w:r w:rsidRPr="00B60453">
        <w:rPr>
          <w:rFonts w:cs="Arial"/>
          <w:color w:val="000000"/>
          <w:sz w:val="24"/>
          <w:szCs w:val="24"/>
        </w:rPr>
        <w:t>The area source boiler rule applies to oil, woo</w:t>
      </w:r>
      <w:r w:rsidR="00757B6A" w:rsidRPr="00B60453">
        <w:rPr>
          <w:rFonts w:cs="Arial"/>
          <w:color w:val="000000"/>
          <w:sz w:val="24"/>
          <w:szCs w:val="24"/>
        </w:rPr>
        <w:t xml:space="preserve">d and coal-fired boilers at </w:t>
      </w:r>
      <w:r w:rsidRPr="00B60453">
        <w:rPr>
          <w:rFonts w:cs="Arial"/>
          <w:color w:val="000000"/>
          <w:sz w:val="24"/>
          <w:szCs w:val="24"/>
        </w:rPr>
        <w:t xml:space="preserve">industrial, commercial and institutional facilities, including as examples (but not limited to): stores/malls, restaurants, schools, hospitals, houses of worship, apartments, businesses and other entities. </w:t>
      </w:r>
    </w:p>
    <w:p w:rsidR="0072145A" w:rsidRPr="00B60453" w:rsidRDefault="0072145A" w:rsidP="0072145A">
      <w:pPr>
        <w:autoSpaceDE w:val="0"/>
        <w:autoSpaceDN w:val="0"/>
        <w:adjustRightInd w:val="0"/>
        <w:spacing w:before="240" w:after="0" w:line="240" w:lineRule="auto"/>
        <w:rPr>
          <w:rFonts w:cs="Arial"/>
          <w:color w:val="0000FF"/>
          <w:sz w:val="24"/>
          <w:szCs w:val="24"/>
        </w:rPr>
      </w:pPr>
      <w:r w:rsidRPr="005E6E20">
        <w:rPr>
          <w:rFonts w:cs="Arial"/>
          <w:color w:val="0070C0"/>
          <w:sz w:val="24"/>
          <w:szCs w:val="24"/>
        </w:rPr>
        <w:t xml:space="preserve">Gas-fired boilers are </w:t>
      </w:r>
      <w:r w:rsidR="005E7754" w:rsidRPr="005E6E20">
        <w:rPr>
          <w:rFonts w:cs="Arial"/>
          <w:color w:val="0070C0"/>
          <w:sz w:val="24"/>
          <w:szCs w:val="24"/>
        </w:rPr>
        <w:t xml:space="preserve">not covered by the </w:t>
      </w:r>
      <w:r w:rsidRPr="005E6E20">
        <w:rPr>
          <w:rFonts w:cs="Arial"/>
          <w:color w:val="0070C0"/>
          <w:sz w:val="24"/>
          <w:szCs w:val="24"/>
        </w:rPr>
        <w:t>area source boiler rule</w:t>
      </w:r>
      <w:r w:rsidR="004E2D85" w:rsidRPr="005E6E20">
        <w:rPr>
          <w:rFonts w:cs="Arial"/>
          <w:color w:val="0070C0"/>
          <w:sz w:val="24"/>
          <w:szCs w:val="24"/>
        </w:rPr>
        <w:t xml:space="preserve">, </w:t>
      </w:r>
      <w:r w:rsidR="005E7754" w:rsidRPr="005E6E20">
        <w:rPr>
          <w:rFonts w:cs="Arial"/>
          <w:color w:val="0070C0"/>
          <w:sz w:val="24"/>
          <w:szCs w:val="24"/>
        </w:rPr>
        <w:t>nor</w:t>
      </w:r>
      <w:r w:rsidR="005E6E20">
        <w:rPr>
          <w:rFonts w:cs="Arial"/>
          <w:color w:val="0070C0"/>
          <w:sz w:val="24"/>
          <w:szCs w:val="24"/>
        </w:rPr>
        <w:t xml:space="preserve"> are hot water heaters,</w:t>
      </w:r>
      <w:r w:rsidR="004E2D85" w:rsidRPr="005E6E20">
        <w:rPr>
          <w:rFonts w:cs="Arial"/>
          <w:color w:val="0070C0"/>
          <w:sz w:val="24"/>
          <w:szCs w:val="24"/>
        </w:rPr>
        <w:t xml:space="preserve"> electric </w:t>
      </w:r>
      <w:r w:rsidR="005E7754" w:rsidRPr="005E6E20">
        <w:rPr>
          <w:rFonts w:cs="Arial"/>
          <w:color w:val="0070C0"/>
          <w:sz w:val="24"/>
          <w:szCs w:val="24"/>
        </w:rPr>
        <w:t>or r</w:t>
      </w:r>
      <w:r w:rsidR="004E2D85" w:rsidRPr="005E6E20">
        <w:rPr>
          <w:rFonts w:cs="Arial"/>
          <w:color w:val="0070C0"/>
          <w:sz w:val="24"/>
          <w:szCs w:val="24"/>
        </w:rPr>
        <w:t>esidential units</w:t>
      </w:r>
      <w:r w:rsidR="001020ED" w:rsidRPr="005E6E20">
        <w:rPr>
          <w:rFonts w:cs="Arial"/>
          <w:color w:val="0070C0"/>
          <w:sz w:val="24"/>
          <w:szCs w:val="24"/>
        </w:rPr>
        <w:t>.</w:t>
      </w:r>
      <w:r w:rsidR="005E6E20">
        <w:rPr>
          <w:rFonts w:cs="Arial"/>
          <w:color w:val="0070C0"/>
          <w:sz w:val="24"/>
          <w:szCs w:val="24"/>
        </w:rPr>
        <w:t xml:space="preserve"> (See </w:t>
      </w:r>
      <w:hyperlink r:id="rId8" w:history="1">
        <w:r w:rsidR="005E6E20" w:rsidRPr="00CC443D">
          <w:rPr>
            <w:rStyle w:val="Hyperlink"/>
            <w:rFonts w:cs="Arial"/>
            <w:sz w:val="24"/>
            <w:szCs w:val="24"/>
          </w:rPr>
          <w:t>http://www.epa.gov/boilercompliance</w:t>
        </w:r>
      </w:hyperlink>
      <w:r w:rsidR="005E6E20">
        <w:rPr>
          <w:rFonts w:cs="Arial"/>
          <w:color w:val="0070C0"/>
          <w:sz w:val="24"/>
          <w:szCs w:val="24"/>
        </w:rPr>
        <w:t xml:space="preserve"> for definitions)</w:t>
      </w:r>
    </w:p>
    <w:p w:rsidR="0072145A" w:rsidRPr="00B60453" w:rsidRDefault="00915E7F" w:rsidP="0072145A">
      <w:pPr>
        <w:autoSpaceDE w:val="0"/>
        <w:autoSpaceDN w:val="0"/>
        <w:adjustRightInd w:val="0"/>
        <w:spacing w:before="240" w:after="0" w:line="240" w:lineRule="auto"/>
        <w:rPr>
          <w:rFonts w:cs="Arial"/>
          <w:color w:val="000000"/>
          <w:sz w:val="24"/>
          <w:szCs w:val="24"/>
        </w:rPr>
      </w:pPr>
      <w:r w:rsidRPr="00B60453">
        <w:rPr>
          <w:rFonts w:cs="Arial"/>
          <w:noProof/>
          <w:color w:val="000000"/>
          <w:sz w:val="24"/>
          <w:szCs w:val="24"/>
        </w:rPr>
        <w:drawing>
          <wp:anchor distT="0" distB="0" distL="114300" distR="182880" simplePos="0" relativeHeight="251657216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116840</wp:posOffset>
            </wp:positionV>
            <wp:extent cx="1828800" cy="1771650"/>
            <wp:effectExtent l="19050" t="0" r="0" b="0"/>
            <wp:wrapTight wrapText="right">
              <wp:wrapPolygon edited="0">
                <wp:start x="9675" y="0"/>
                <wp:lineTo x="6525" y="0"/>
                <wp:lineTo x="2475" y="2090"/>
                <wp:lineTo x="2250" y="11148"/>
                <wp:lineTo x="450" y="12077"/>
                <wp:lineTo x="900" y="14865"/>
                <wp:lineTo x="-225" y="14865"/>
                <wp:lineTo x="225" y="17187"/>
                <wp:lineTo x="5400" y="18581"/>
                <wp:lineTo x="5400" y="20903"/>
                <wp:lineTo x="6750" y="21368"/>
                <wp:lineTo x="15975" y="21368"/>
                <wp:lineTo x="17100" y="21368"/>
                <wp:lineTo x="17550" y="18581"/>
                <wp:lineTo x="20025" y="18581"/>
                <wp:lineTo x="21600" y="17187"/>
                <wp:lineTo x="21600" y="14168"/>
                <wp:lineTo x="21375" y="12542"/>
                <wp:lineTo x="20925" y="11148"/>
                <wp:lineTo x="21600" y="9755"/>
                <wp:lineTo x="21600" y="9523"/>
                <wp:lineTo x="19800" y="7432"/>
                <wp:lineTo x="20025" y="5110"/>
                <wp:lineTo x="16875" y="3948"/>
                <wp:lineTo x="9450" y="3716"/>
                <wp:lineTo x="15525" y="3252"/>
                <wp:lineTo x="15750" y="2323"/>
                <wp:lineTo x="11475" y="0"/>
                <wp:lineTo x="9675" y="0"/>
              </wp:wrapPolygon>
            </wp:wrapTight>
            <wp:docPr id="4" name="Picture 4" descr="MC9002790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279048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45A" w:rsidRPr="00B60453">
        <w:rPr>
          <w:rFonts w:cs="Arial"/>
          <w:color w:val="000000"/>
          <w:sz w:val="24"/>
          <w:szCs w:val="24"/>
        </w:rPr>
        <w:t xml:space="preserve">On </w:t>
      </w:r>
      <w:r w:rsidR="00870D08" w:rsidRPr="00B60453">
        <w:rPr>
          <w:rFonts w:cs="Arial"/>
          <w:color w:val="000000"/>
          <w:sz w:val="24"/>
          <w:szCs w:val="24"/>
        </w:rPr>
        <w:t>February 1st</w:t>
      </w:r>
      <w:r w:rsidR="0072145A" w:rsidRPr="00B60453">
        <w:rPr>
          <w:rFonts w:cs="Arial"/>
          <w:color w:val="000000"/>
          <w:sz w:val="24"/>
          <w:szCs w:val="24"/>
        </w:rPr>
        <w:t>, 201</w:t>
      </w:r>
      <w:r w:rsidR="00870D08" w:rsidRPr="00B60453">
        <w:rPr>
          <w:rFonts w:cs="Arial"/>
          <w:color w:val="000000"/>
          <w:sz w:val="24"/>
          <w:szCs w:val="24"/>
        </w:rPr>
        <w:t>3</w:t>
      </w:r>
      <w:r w:rsidR="0072145A" w:rsidRPr="00B60453">
        <w:rPr>
          <w:rFonts w:cs="Arial"/>
          <w:color w:val="000000"/>
          <w:sz w:val="24"/>
          <w:szCs w:val="24"/>
        </w:rPr>
        <w:t xml:space="preserve">, the U.S. Environmental Protection Agency (EPA) </w:t>
      </w:r>
      <w:r w:rsidR="005A21ED">
        <w:rPr>
          <w:rFonts w:cs="Arial"/>
          <w:color w:val="000000"/>
          <w:sz w:val="24"/>
          <w:szCs w:val="24"/>
        </w:rPr>
        <w:t xml:space="preserve">published final rule amendments to </w:t>
      </w:r>
      <w:r w:rsidR="00870D08" w:rsidRPr="00B60453">
        <w:rPr>
          <w:rFonts w:cs="Arial"/>
          <w:color w:val="000000"/>
          <w:sz w:val="24"/>
          <w:szCs w:val="24"/>
        </w:rPr>
        <w:t>the National Emission Standard for Hazardous Air P</w:t>
      </w:r>
      <w:r w:rsidR="0072145A" w:rsidRPr="00B60453">
        <w:rPr>
          <w:rFonts w:cs="Arial"/>
          <w:color w:val="000000"/>
          <w:sz w:val="24"/>
          <w:szCs w:val="24"/>
        </w:rPr>
        <w:t>ollutants (NESHAP) for industrial, institutional and commercial boilers</w:t>
      </w:r>
      <w:r w:rsidR="005E7754" w:rsidRPr="00B60453">
        <w:rPr>
          <w:rFonts w:cs="Arial"/>
          <w:color w:val="000000"/>
          <w:sz w:val="24"/>
          <w:szCs w:val="24"/>
        </w:rPr>
        <w:t xml:space="preserve"> found at 40 CFR Part 63 Subpart JJJJJJ (6J).</w:t>
      </w:r>
      <w:r w:rsidR="00870D08" w:rsidRPr="00B60453">
        <w:rPr>
          <w:rFonts w:cs="Arial"/>
          <w:color w:val="000000"/>
          <w:sz w:val="24"/>
          <w:szCs w:val="24"/>
        </w:rPr>
        <w:t xml:space="preserve">  This rule affects</w:t>
      </w:r>
      <w:r w:rsidR="0072145A" w:rsidRPr="00B60453">
        <w:rPr>
          <w:rFonts w:cs="Arial"/>
          <w:color w:val="000000"/>
          <w:sz w:val="24"/>
          <w:szCs w:val="24"/>
        </w:rPr>
        <w:t xml:space="preserve"> </w:t>
      </w:r>
      <w:r w:rsidR="00870D08" w:rsidRPr="00B60453">
        <w:rPr>
          <w:rFonts w:cs="Arial"/>
          <w:color w:val="000000"/>
          <w:sz w:val="24"/>
          <w:szCs w:val="24"/>
        </w:rPr>
        <w:t>“</w:t>
      </w:r>
      <w:r w:rsidR="0072145A" w:rsidRPr="00B60453">
        <w:rPr>
          <w:rFonts w:cs="Arial"/>
          <w:color w:val="000000"/>
          <w:sz w:val="24"/>
          <w:szCs w:val="24"/>
        </w:rPr>
        <w:t>area sources,</w:t>
      </w:r>
      <w:r w:rsidR="00870D08" w:rsidRPr="00B60453">
        <w:rPr>
          <w:rFonts w:cs="Arial"/>
          <w:color w:val="000000"/>
          <w:sz w:val="24"/>
          <w:szCs w:val="24"/>
        </w:rPr>
        <w:t xml:space="preserve">” which are smaller sources of air toxics (not major sources of air toxics). </w:t>
      </w:r>
      <w:r w:rsidR="0072145A" w:rsidRPr="00B60453">
        <w:rPr>
          <w:rFonts w:cs="Arial"/>
          <w:color w:val="000000"/>
          <w:sz w:val="24"/>
          <w:szCs w:val="24"/>
        </w:rPr>
        <w:t xml:space="preserve"> </w:t>
      </w:r>
    </w:p>
    <w:p w:rsidR="005E6E20" w:rsidRDefault="005E6E20" w:rsidP="0072145A">
      <w:pPr>
        <w:autoSpaceDE w:val="0"/>
        <w:autoSpaceDN w:val="0"/>
        <w:adjustRightInd w:val="0"/>
        <w:spacing w:before="240" w:after="0" w:line="240" w:lineRule="auto"/>
        <w:rPr>
          <w:rFonts w:cs="Arial"/>
          <w:color w:val="000000"/>
          <w:sz w:val="24"/>
          <w:szCs w:val="24"/>
        </w:rPr>
      </w:pPr>
    </w:p>
    <w:p w:rsidR="00B60453" w:rsidRPr="00B60453" w:rsidRDefault="005A21ED" w:rsidP="0072145A">
      <w:pPr>
        <w:autoSpaceDE w:val="0"/>
        <w:autoSpaceDN w:val="0"/>
        <w:adjustRightInd w:val="0"/>
        <w:spacing w:before="240" w:after="0" w:line="240" w:lineRule="auto"/>
        <w:rPr>
          <w:rFonts w:cs="Arial"/>
          <w:color w:val="000000"/>
          <w:sz w:val="24"/>
          <w:szCs w:val="24"/>
        </w:rPr>
      </w:pPr>
      <w:r w:rsidRPr="005A21ED">
        <w:rPr>
          <w:rFonts w:cs="Arial"/>
          <w:b/>
          <w:color w:val="0070C0"/>
          <w:sz w:val="28"/>
          <w:szCs w:val="28"/>
        </w:rPr>
        <w:t xml:space="preserve">U.S. </w:t>
      </w:r>
      <w:r w:rsidR="00B60453" w:rsidRPr="005A21ED">
        <w:rPr>
          <w:rFonts w:cs="Arial"/>
          <w:b/>
          <w:color w:val="0070C0"/>
          <w:sz w:val="28"/>
          <w:szCs w:val="28"/>
        </w:rPr>
        <w:t xml:space="preserve">EPA </w:t>
      </w:r>
      <w:r>
        <w:rPr>
          <w:rFonts w:cs="Arial"/>
          <w:b/>
          <w:color w:val="0070C0"/>
          <w:sz w:val="28"/>
          <w:szCs w:val="28"/>
        </w:rPr>
        <w:t xml:space="preserve">Region I </w:t>
      </w:r>
      <w:r w:rsidR="00B60453" w:rsidRPr="005A21ED">
        <w:rPr>
          <w:rFonts w:cs="Arial"/>
          <w:b/>
          <w:color w:val="0070C0"/>
          <w:sz w:val="28"/>
          <w:szCs w:val="28"/>
        </w:rPr>
        <w:t>will host two free webinars</w:t>
      </w:r>
      <w:r w:rsidR="00B60453" w:rsidRPr="00B60453">
        <w:rPr>
          <w:rFonts w:cs="Arial"/>
          <w:color w:val="000000"/>
          <w:sz w:val="24"/>
          <w:szCs w:val="24"/>
        </w:rPr>
        <w:t xml:space="preserve"> to explain the regulatory requirements of this rule, the associated timetable, and answer questions about the rule.  To register for one of these webinars, you can click on the link below.</w:t>
      </w:r>
    </w:p>
    <w:p w:rsidR="005E6E20" w:rsidRDefault="00B60453" w:rsidP="002A0B42">
      <w:pPr>
        <w:rPr>
          <w:rFonts w:cs="Arial"/>
          <w:color w:val="000000"/>
          <w:sz w:val="24"/>
          <w:szCs w:val="24"/>
        </w:rPr>
      </w:pPr>
      <w:r w:rsidRPr="00B60453">
        <w:rPr>
          <w:rFonts w:cs="Arial"/>
          <w:color w:val="000000"/>
          <w:sz w:val="24"/>
          <w:szCs w:val="24"/>
        </w:rPr>
        <w:t xml:space="preserve"> </w:t>
      </w:r>
    </w:p>
    <w:p w:rsidR="002A0B42" w:rsidRDefault="002A0B42" w:rsidP="002A0B42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EPA Region 1 - </w:t>
      </w:r>
      <w:r>
        <w:rPr>
          <w:rFonts w:cs="Arial"/>
          <w:b/>
          <w:bCs/>
          <w:sz w:val="24"/>
          <w:szCs w:val="24"/>
        </w:rPr>
        <w:t>Webinar for the Regulated Community: Understanding EPA’s Area Source Boiler Rule – Requirements and Timelines</w:t>
      </w:r>
    </w:p>
    <w:p w:rsidR="002A0B42" w:rsidRDefault="002A0B42" w:rsidP="002A0B42">
      <w:r>
        <w:t xml:space="preserve">Click on the link to register for your preferred date:  </w:t>
      </w:r>
    </w:p>
    <w:p w:rsidR="002A0B42" w:rsidRPr="00E90371" w:rsidRDefault="002F0793" w:rsidP="002A0B42">
      <w:pPr>
        <w:rPr>
          <w:rFonts w:cstheme="minorHAnsi"/>
        </w:rPr>
      </w:pPr>
      <w:hyperlink r:id="rId10" w:history="1">
        <w:r w:rsidR="00AB04D1" w:rsidRPr="00AB04D1">
          <w:rPr>
            <w:rStyle w:val="Hyperlink"/>
            <w:rFonts w:cstheme="minorHAnsi"/>
          </w:rPr>
          <w:t>Tue, Jun 25, 2013 1:00 PM - 2:30 PM EDT</w:t>
        </w:r>
      </w:hyperlink>
    </w:p>
    <w:p w:rsidR="002A0B42" w:rsidRDefault="002F0793" w:rsidP="002A0B42">
      <w:hyperlink r:id="rId11" w:history="1">
        <w:r w:rsidR="002A0B42">
          <w:rPr>
            <w:rStyle w:val="Hyperlink"/>
            <w:rFonts w:eastAsiaTheme="minorEastAsia"/>
          </w:rPr>
          <w:t xml:space="preserve">Thu, Jun 27, 2013 11:00 </w:t>
        </w:r>
        <w:proofErr w:type="gramStart"/>
        <w:r w:rsidR="002A0B42">
          <w:rPr>
            <w:rStyle w:val="Hyperlink"/>
            <w:rFonts w:eastAsiaTheme="minorEastAsia"/>
          </w:rPr>
          <w:t>AM</w:t>
        </w:r>
        <w:proofErr w:type="gramEnd"/>
        <w:r w:rsidR="002A0B42">
          <w:rPr>
            <w:rStyle w:val="Hyperlink"/>
            <w:rFonts w:eastAsiaTheme="minorEastAsia"/>
          </w:rPr>
          <w:t xml:space="preserve"> - 12:30 PM EDT</w:t>
        </w:r>
      </w:hyperlink>
    </w:p>
    <w:p w:rsidR="002A0B42" w:rsidRDefault="002A0B42" w:rsidP="002A0B42">
      <w:r>
        <w:t>And for more information:</w:t>
      </w:r>
    </w:p>
    <w:p w:rsidR="00E167DE" w:rsidRPr="00E167DE" w:rsidRDefault="005E6E20" w:rsidP="00E167DE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E167DE">
        <w:rPr>
          <w:rFonts w:cs="Arial"/>
          <w:b/>
          <w:color w:val="000000"/>
          <w:sz w:val="24"/>
          <w:szCs w:val="24"/>
        </w:rPr>
        <w:t xml:space="preserve">EPA’s area source boiler website: </w:t>
      </w:r>
    </w:p>
    <w:p w:rsidR="00D96BE4" w:rsidRPr="00E167DE" w:rsidRDefault="002F0793" w:rsidP="00E167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/>
          <w:sz w:val="24"/>
          <w:szCs w:val="24"/>
        </w:rPr>
      </w:pPr>
      <w:hyperlink r:id="rId12" w:history="1">
        <w:r w:rsidR="005E6E20" w:rsidRPr="00E167DE">
          <w:rPr>
            <w:rStyle w:val="Hyperlink"/>
            <w:rFonts w:cs="Arial"/>
            <w:sz w:val="24"/>
            <w:szCs w:val="24"/>
          </w:rPr>
          <w:t>http://www.epa.gov/boilercompliance/</w:t>
        </w:r>
      </w:hyperlink>
      <w:r w:rsidR="005E6E20" w:rsidRPr="00E167DE">
        <w:rPr>
          <w:rFonts w:cs="Arial"/>
          <w:color w:val="000000"/>
          <w:sz w:val="24"/>
          <w:szCs w:val="24"/>
          <w:u w:val="single"/>
        </w:rPr>
        <w:t xml:space="preserve"> </w:t>
      </w:r>
    </w:p>
    <w:p w:rsidR="00D96BE4" w:rsidRPr="00E167DE" w:rsidRDefault="005E6E20" w:rsidP="00E167DE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E167DE">
        <w:rPr>
          <w:rFonts w:cs="Arial"/>
          <w:b/>
          <w:color w:val="000000"/>
          <w:sz w:val="24"/>
          <w:szCs w:val="24"/>
        </w:rPr>
        <w:t xml:space="preserve">Boiler compliance brochure: </w:t>
      </w:r>
      <w:hyperlink r:id="rId13" w:history="1">
        <w:r w:rsidRPr="00E167DE">
          <w:rPr>
            <w:rStyle w:val="Hyperlink"/>
            <w:rFonts w:cs="Arial"/>
            <w:sz w:val="24"/>
            <w:szCs w:val="24"/>
          </w:rPr>
          <w:t>http://www.epa.gov/ttn/atw/boiler/imptools/areaboilerbrochure.pdf</w:t>
        </w:r>
      </w:hyperlink>
      <w:r w:rsidRPr="00E167DE">
        <w:rPr>
          <w:rFonts w:cs="Arial"/>
          <w:color w:val="000000"/>
          <w:sz w:val="24"/>
          <w:szCs w:val="24"/>
        </w:rPr>
        <w:t xml:space="preserve"> </w:t>
      </w:r>
    </w:p>
    <w:p w:rsidR="00D96BE4" w:rsidRPr="00E167DE" w:rsidRDefault="005E6E20" w:rsidP="00E167DE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E167DE">
        <w:rPr>
          <w:rFonts w:cs="Arial"/>
          <w:b/>
          <w:color w:val="000000"/>
          <w:sz w:val="24"/>
          <w:szCs w:val="24"/>
        </w:rPr>
        <w:t xml:space="preserve">Small Entity Compliance Guide </w:t>
      </w:r>
      <w:hyperlink r:id="rId14" w:history="1">
        <w:r w:rsidRPr="00E167DE">
          <w:rPr>
            <w:rStyle w:val="Hyperlink"/>
            <w:rFonts w:cs="Arial"/>
            <w:sz w:val="24"/>
            <w:szCs w:val="24"/>
          </w:rPr>
          <w:t>http://www.epa.gov/ttn/atw/boiler/imptools/areaboilerbrochure.pdf</w:t>
        </w:r>
      </w:hyperlink>
      <w:r w:rsidRPr="00E167DE">
        <w:rPr>
          <w:rFonts w:cs="Arial"/>
          <w:color w:val="000000"/>
          <w:sz w:val="24"/>
          <w:szCs w:val="24"/>
        </w:rPr>
        <w:t xml:space="preserve"> </w:t>
      </w:r>
    </w:p>
    <w:p w:rsidR="00E167DE" w:rsidRPr="00E167DE" w:rsidRDefault="005E6E20" w:rsidP="00E167DE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E167DE">
        <w:rPr>
          <w:rFonts w:cs="Arial"/>
          <w:b/>
          <w:color w:val="000000"/>
          <w:sz w:val="24"/>
          <w:szCs w:val="24"/>
        </w:rPr>
        <w:t xml:space="preserve">Technology Transfer Network </w:t>
      </w:r>
    </w:p>
    <w:p w:rsidR="00915E7F" w:rsidRPr="005A21ED" w:rsidRDefault="005E6E20" w:rsidP="005A2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/>
          <w:sz w:val="24"/>
          <w:szCs w:val="24"/>
        </w:rPr>
      </w:pPr>
      <w:r w:rsidRPr="00E167DE">
        <w:rPr>
          <w:rFonts w:cs="Arial"/>
          <w:color w:val="000000"/>
          <w:sz w:val="24"/>
          <w:szCs w:val="24"/>
        </w:rPr>
        <w:t xml:space="preserve"> </w:t>
      </w:r>
      <w:hyperlink r:id="rId15" w:history="1">
        <w:r w:rsidRPr="00E167DE">
          <w:rPr>
            <w:rStyle w:val="Hyperlink"/>
            <w:rFonts w:cs="Arial"/>
            <w:sz w:val="24"/>
            <w:szCs w:val="24"/>
          </w:rPr>
          <w:t>http://www.epa.gov/ttn/atw/eparules.html</w:t>
        </w:r>
      </w:hyperlink>
      <w:r w:rsidRPr="00E167DE">
        <w:rPr>
          <w:rFonts w:cs="Arial"/>
          <w:color w:val="000000"/>
          <w:sz w:val="24"/>
          <w:szCs w:val="24"/>
        </w:rPr>
        <w:t xml:space="preserve"> </w:t>
      </w:r>
    </w:p>
    <w:sectPr w:rsidR="00915E7F" w:rsidRPr="005A21ED" w:rsidSect="009853B5">
      <w:pgSz w:w="12240" w:h="15840"/>
      <w:pgMar w:top="576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21C" w:rsidRDefault="0057021C" w:rsidP="00915E7F">
      <w:pPr>
        <w:spacing w:after="0" w:line="240" w:lineRule="auto"/>
      </w:pPr>
      <w:r>
        <w:separator/>
      </w:r>
    </w:p>
  </w:endnote>
  <w:endnote w:type="continuationSeparator" w:id="0">
    <w:p w:rsidR="0057021C" w:rsidRDefault="0057021C" w:rsidP="0091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21C" w:rsidRDefault="0057021C" w:rsidP="00915E7F">
      <w:pPr>
        <w:spacing w:after="0" w:line="240" w:lineRule="auto"/>
      </w:pPr>
      <w:r>
        <w:separator/>
      </w:r>
    </w:p>
  </w:footnote>
  <w:footnote w:type="continuationSeparator" w:id="0">
    <w:p w:rsidR="0057021C" w:rsidRDefault="0057021C" w:rsidP="0091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2E0570"/>
    <w:lvl w:ilvl="0">
      <w:numFmt w:val="bullet"/>
      <w:lvlText w:val="*"/>
      <w:lvlJc w:val="left"/>
    </w:lvl>
  </w:abstractNum>
  <w:abstractNum w:abstractNumId="1">
    <w:nsid w:val="691B0860"/>
    <w:multiLevelType w:val="hybridMultilevel"/>
    <w:tmpl w:val="D266439A"/>
    <w:lvl w:ilvl="0" w:tplc="BBD6A8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C6E8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7046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C34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9274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D684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2851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9E1A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D637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45A"/>
    <w:rsid w:val="00026BA4"/>
    <w:rsid w:val="001008E4"/>
    <w:rsid w:val="001020ED"/>
    <w:rsid w:val="001413A0"/>
    <w:rsid w:val="00225236"/>
    <w:rsid w:val="00286DAE"/>
    <w:rsid w:val="002A0B42"/>
    <w:rsid w:val="002B2914"/>
    <w:rsid w:val="002F0793"/>
    <w:rsid w:val="00303413"/>
    <w:rsid w:val="00327C5D"/>
    <w:rsid w:val="003F3860"/>
    <w:rsid w:val="00401630"/>
    <w:rsid w:val="004A05FA"/>
    <w:rsid w:val="004E2D85"/>
    <w:rsid w:val="005212DF"/>
    <w:rsid w:val="00532577"/>
    <w:rsid w:val="00564248"/>
    <w:rsid w:val="0057021C"/>
    <w:rsid w:val="005A21ED"/>
    <w:rsid w:val="005E6E20"/>
    <w:rsid w:val="005E7754"/>
    <w:rsid w:val="005F57AA"/>
    <w:rsid w:val="00684CF0"/>
    <w:rsid w:val="00713A99"/>
    <w:rsid w:val="0072145A"/>
    <w:rsid w:val="00757B6A"/>
    <w:rsid w:val="007D1798"/>
    <w:rsid w:val="00870D08"/>
    <w:rsid w:val="008D4DAF"/>
    <w:rsid w:val="00915A65"/>
    <w:rsid w:val="00915E7F"/>
    <w:rsid w:val="00970C8E"/>
    <w:rsid w:val="009853B5"/>
    <w:rsid w:val="009B0E5E"/>
    <w:rsid w:val="009E3C73"/>
    <w:rsid w:val="00A92ED9"/>
    <w:rsid w:val="00AA05CD"/>
    <w:rsid w:val="00AA6DDB"/>
    <w:rsid w:val="00AB04D1"/>
    <w:rsid w:val="00AC0577"/>
    <w:rsid w:val="00B60453"/>
    <w:rsid w:val="00C81129"/>
    <w:rsid w:val="00CE7E40"/>
    <w:rsid w:val="00D30169"/>
    <w:rsid w:val="00D96BE4"/>
    <w:rsid w:val="00DA1D75"/>
    <w:rsid w:val="00E167DE"/>
    <w:rsid w:val="00E24E71"/>
    <w:rsid w:val="00E60123"/>
    <w:rsid w:val="00E7458C"/>
    <w:rsid w:val="00E90371"/>
    <w:rsid w:val="00F454BC"/>
    <w:rsid w:val="00F6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4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6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E7F"/>
  </w:style>
  <w:style w:type="paragraph" w:styleId="Footer">
    <w:name w:val="footer"/>
    <w:basedOn w:val="Normal"/>
    <w:link w:val="FooterChar"/>
    <w:uiPriority w:val="99"/>
    <w:semiHidden/>
    <w:unhideWhenUsed/>
    <w:rsid w:val="0091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5E7F"/>
  </w:style>
  <w:style w:type="character" w:styleId="Strong">
    <w:name w:val="Strong"/>
    <w:basedOn w:val="DefaultParagraphFont"/>
    <w:uiPriority w:val="22"/>
    <w:qFormat/>
    <w:rsid w:val="00026BA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67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473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6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8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boilercompliance/" TargetMode="External"/><Relationship Id="rId13" Type="http://schemas.openxmlformats.org/officeDocument/2006/relationships/hyperlink" Target="http://www.epa.gov/ttn/atw/boiler/imptools/areaboilerbrochur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epa.gov/boilercomplianc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gotomeeting.com/register/3416130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pa.gov/ttn/atw/eparules.html" TargetMode="External"/><Relationship Id="rId10" Type="http://schemas.openxmlformats.org/officeDocument/2006/relationships/hyperlink" Target="https://www2.gotomeeting.com/register/6771286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epa.gov/ttn/atw/boiler/imptools/areaboilerbroch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gfrantz</dc:creator>
  <cp:lastModifiedBy>slancey</cp:lastModifiedBy>
  <cp:revision>2</cp:revision>
  <cp:lastPrinted>2013-05-09T18:28:00Z</cp:lastPrinted>
  <dcterms:created xsi:type="dcterms:W3CDTF">2013-05-14T12:51:00Z</dcterms:created>
  <dcterms:modified xsi:type="dcterms:W3CDTF">2013-05-14T12:51:00Z</dcterms:modified>
</cp:coreProperties>
</file>