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FC00D" w14:textId="6632181D" w:rsidR="00DF40B4" w:rsidRPr="00097851" w:rsidRDefault="00D66225">
      <w:pPr>
        <w:rPr>
          <w:rFonts w:ascii="Arial" w:hAnsi="Arial" w:cs="Arial"/>
          <w:sz w:val="24"/>
          <w:szCs w:val="24"/>
        </w:rPr>
      </w:pPr>
      <w:r w:rsidRPr="00097851">
        <w:rPr>
          <w:rFonts w:ascii="Arial" w:hAnsi="Arial" w:cs="Arial"/>
          <w:b/>
          <w:sz w:val="24"/>
          <w:szCs w:val="24"/>
        </w:rPr>
        <w:t>Factory-set Calibration Curve Verification</w:t>
      </w:r>
      <w:r w:rsidRPr="00097851">
        <w:rPr>
          <w:rFonts w:ascii="Arial" w:hAnsi="Arial" w:cs="Arial"/>
          <w:sz w:val="24"/>
          <w:szCs w:val="24"/>
        </w:rPr>
        <w:t xml:space="preserve"> (NC WW/GW LC Policy </w:t>
      </w:r>
      <w:r w:rsidR="00B14F0B">
        <w:rPr>
          <w:rFonts w:ascii="Arial" w:hAnsi="Arial" w:cs="Arial"/>
          <w:sz w:val="24"/>
          <w:szCs w:val="24"/>
        </w:rPr>
        <w:t>10/05</w:t>
      </w:r>
      <w:r w:rsidRPr="00097851">
        <w:rPr>
          <w:rFonts w:ascii="Arial" w:hAnsi="Arial" w:cs="Arial"/>
          <w:sz w:val="24"/>
          <w:szCs w:val="24"/>
        </w:rPr>
        <w:t>/2018</w:t>
      </w:r>
      <w:bookmarkStart w:id="0" w:name="_GoBack"/>
      <w:bookmarkEnd w:id="0"/>
      <w:r w:rsidRPr="00097851">
        <w:rPr>
          <w:rFonts w:ascii="Arial" w:hAnsi="Arial" w:cs="Arial"/>
          <w:sz w:val="24"/>
          <w:szCs w:val="24"/>
        </w:rPr>
        <w:t>)</w:t>
      </w:r>
    </w:p>
    <w:p w14:paraId="13C79AE0" w14:textId="5460A239" w:rsidR="00C25174" w:rsidRPr="00097851" w:rsidRDefault="00C25174" w:rsidP="001E0132">
      <w:pPr>
        <w:jc w:val="both"/>
        <w:rPr>
          <w:rFonts w:ascii="Arial" w:hAnsi="Arial" w:cs="Arial"/>
        </w:rPr>
      </w:pPr>
      <w:r w:rsidRPr="00097851">
        <w:rPr>
          <w:rFonts w:ascii="Arial" w:hAnsi="Arial" w:cs="Arial"/>
        </w:rPr>
        <w:t xml:space="preserve">Most field photometric instruments have factory-set calibration programs, which when selected in combination with the optimum wavelength for a particular analysis, give a direct readout in concentration. These factory-set calibration programs are acceptable for quantitation, but due to possible analyst error, variation in sample or standard preparation, variation in reagents or malfunction of the instrument, the </w:t>
      </w:r>
      <w:r w:rsidR="00D85990">
        <w:rPr>
          <w:rFonts w:ascii="Arial" w:hAnsi="Arial" w:cs="Arial"/>
        </w:rPr>
        <w:t>f</w:t>
      </w:r>
      <w:r w:rsidRPr="00097851">
        <w:rPr>
          <w:rFonts w:ascii="Arial" w:hAnsi="Arial" w:cs="Arial"/>
        </w:rPr>
        <w:t xml:space="preserve">actory-set </w:t>
      </w:r>
      <w:r w:rsidR="00D85990">
        <w:rPr>
          <w:rFonts w:ascii="Arial" w:hAnsi="Arial" w:cs="Arial"/>
        </w:rPr>
        <w:t>c</w:t>
      </w:r>
      <w:r w:rsidRPr="00097851">
        <w:rPr>
          <w:rFonts w:ascii="Arial" w:hAnsi="Arial" w:cs="Arial"/>
        </w:rPr>
        <w:t xml:space="preserve">alibration </w:t>
      </w:r>
      <w:r w:rsidR="00D85990">
        <w:rPr>
          <w:rFonts w:ascii="Arial" w:hAnsi="Arial" w:cs="Arial"/>
        </w:rPr>
        <w:t>c</w:t>
      </w:r>
      <w:r w:rsidRPr="00097851">
        <w:rPr>
          <w:rFonts w:ascii="Arial" w:hAnsi="Arial" w:cs="Arial"/>
        </w:rPr>
        <w:t>urve must be verified as described below.</w:t>
      </w:r>
      <w:r w:rsidR="00B14F0B">
        <w:rPr>
          <w:rFonts w:ascii="Arial" w:hAnsi="Arial" w:cs="Arial"/>
        </w:rPr>
        <w:t xml:space="preserve"> </w:t>
      </w:r>
    </w:p>
    <w:p w14:paraId="6B8D4948" w14:textId="1EE7F810" w:rsidR="00C25174" w:rsidRPr="00097851" w:rsidRDefault="00C25174" w:rsidP="001E0132">
      <w:pPr>
        <w:jc w:val="both"/>
        <w:rPr>
          <w:rFonts w:ascii="Arial" w:hAnsi="Arial" w:cs="Arial"/>
        </w:rPr>
      </w:pPr>
      <w:r w:rsidRPr="00097851">
        <w:rPr>
          <w:rFonts w:ascii="Arial" w:hAnsi="Arial" w:cs="Arial"/>
        </w:rPr>
        <w:t xml:space="preserve">Calibration curve verification checks must be performed with the calibration curve and/or program used for sample analysis. All compliance monitoring and </w:t>
      </w:r>
      <w:r w:rsidR="00742D8F">
        <w:rPr>
          <w:rFonts w:ascii="Arial" w:hAnsi="Arial" w:cs="Arial"/>
        </w:rPr>
        <w:t>Proficiency Testing (</w:t>
      </w:r>
      <w:r w:rsidRPr="00097851">
        <w:rPr>
          <w:rFonts w:ascii="Arial" w:hAnsi="Arial" w:cs="Arial"/>
        </w:rPr>
        <w:t>PT</w:t>
      </w:r>
      <w:r w:rsidR="00742D8F">
        <w:rPr>
          <w:rFonts w:ascii="Arial" w:hAnsi="Arial" w:cs="Arial"/>
        </w:rPr>
        <w:t>)</w:t>
      </w:r>
      <w:r w:rsidRPr="00097851">
        <w:rPr>
          <w:rFonts w:ascii="Arial" w:hAnsi="Arial" w:cs="Arial"/>
        </w:rPr>
        <w:t xml:space="preserve"> </w:t>
      </w:r>
      <w:r w:rsidR="00742D8F">
        <w:rPr>
          <w:rFonts w:ascii="Arial" w:hAnsi="Arial" w:cs="Arial"/>
        </w:rPr>
        <w:t>S</w:t>
      </w:r>
      <w:r w:rsidRPr="00097851">
        <w:rPr>
          <w:rFonts w:ascii="Arial" w:hAnsi="Arial" w:cs="Arial"/>
        </w:rPr>
        <w:t xml:space="preserve">amples must be analyzed on the </w:t>
      </w:r>
      <w:r w:rsidR="00EE4842">
        <w:rPr>
          <w:rFonts w:ascii="Arial" w:hAnsi="Arial" w:cs="Arial"/>
        </w:rPr>
        <w:t>applicable</w:t>
      </w:r>
      <w:r w:rsidR="009E0C7B">
        <w:rPr>
          <w:rFonts w:ascii="Arial" w:hAnsi="Arial" w:cs="Arial"/>
        </w:rPr>
        <w:t xml:space="preserve"> </w:t>
      </w:r>
      <w:r w:rsidRPr="00097851">
        <w:rPr>
          <w:rFonts w:ascii="Arial" w:hAnsi="Arial" w:cs="Arial"/>
        </w:rPr>
        <w:t>verified calibration curve.</w:t>
      </w:r>
      <w:r w:rsidR="00F6643A" w:rsidRPr="00097851">
        <w:rPr>
          <w:rFonts w:ascii="Arial" w:hAnsi="Arial" w:cs="Arial"/>
        </w:rPr>
        <w:t xml:space="preserve"> </w:t>
      </w:r>
      <w:r w:rsidR="00942CCB">
        <w:rPr>
          <w:rFonts w:ascii="Arial" w:hAnsi="Arial" w:cs="Arial"/>
        </w:rPr>
        <w:t>E</w:t>
      </w:r>
      <w:r w:rsidR="00942CCB" w:rsidRPr="00942CCB">
        <w:rPr>
          <w:rFonts w:ascii="Arial" w:hAnsi="Arial" w:cs="Arial"/>
        </w:rPr>
        <w:t>ach curve or program used by the lab</w:t>
      </w:r>
      <w:r w:rsidR="007D687B">
        <w:rPr>
          <w:rFonts w:ascii="Arial" w:hAnsi="Arial" w:cs="Arial"/>
        </w:rPr>
        <w:t>oratory</w:t>
      </w:r>
      <w:r w:rsidR="00942CCB" w:rsidRPr="00942CCB">
        <w:rPr>
          <w:rFonts w:ascii="Arial" w:hAnsi="Arial" w:cs="Arial"/>
        </w:rPr>
        <w:t xml:space="preserve"> must be verified.</w:t>
      </w:r>
      <w:r w:rsidR="00942CCB">
        <w:rPr>
          <w:rFonts w:ascii="Arial" w:hAnsi="Arial" w:cs="Arial"/>
        </w:rPr>
        <w:t xml:space="preserve"> </w:t>
      </w:r>
      <w:r w:rsidR="00F6643A" w:rsidRPr="00097851">
        <w:rPr>
          <w:rFonts w:ascii="Arial" w:hAnsi="Arial" w:cs="Arial"/>
        </w:rPr>
        <w:t>The range of standard concentrations must bracke</w:t>
      </w:r>
      <w:r w:rsidR="00742D8F">
        <w:rPr>
          <w:rFonts w:ascii="Arial" w:hAnsi="Arial" w:cs="Arial"/>
        </w:rPr>
        <w:t>t</w:t>
      </w:r>
      <w:r w:rsidR="00F6643A" w:rsidRPr="00097851">
        <w:rPr>
          <w:rFonts w:ascii="Arial" w:hAnsi="Arial" w:cs="Arial"/>
        </w:rPr>
        <w:t xml:space="preserve"> the permitted discharge limit concentration, the range of sample concentrations to be analyzed and anticipated PT Sample concentrations. One of the standards must have a concentration equal to or less than the permitted discharge limit. </w:t>
      </w:r>
    </w:p>
    <w:p w14:paraId="26413B0E" w14:textId="77777777" w:rsidR="00160FFF" w:rsidRPr="00097851" w:rsidRDefault="005A43BF" w:rsidP="001E0132">
      <w:pPr>
        <w:jc w:val="both"/>
        <w:rPr>
          <w:rFonts w:ascii="Arial" w:hAnsi="Arial" w:cs="Arial"/>
          <w:b/>
        </w:rPr>
      </w:pPr>
      <w:r w:rsidRPr="00097851">
        <w:rPr>
          <w:rFonts w:ascii="Arial" w:hAnsi="Arial" w:cs="Arial"/>
          <w:b/>
        </w:rPr>
        <w:t>Annual Calibration Curve Verification</w:t>
      </w:r>
    </w:p>
    <w:p w14:paraId="2F835124" w14:textId="23ED2FCB" w:rsidR="00160FFF" w:rsidRPr="00097851" w:rsidRDefault="00FB1AB5" w:rsidP="00160FFF">
      <w:pPr>
        <w:jc w:val="both"/>
        <w:rPr>
          <w:rFonts w:ascii="Arial" w:hAnsi="Arial" w:cs="Arial"/>
        </w:rPr>
      </w:pPr>
      <w:r w:rsidRPr="00097851">
        <w:rPr>
          <w:rFonts w:ascii="Arial" w:hAnsi="Arial" w:cs="Arial"/>
        </w:rPr>
        <w:t xml:space="preserve">When an annual factory-set calibration curve verification is performed, it must be performed initially, at least every 12 months and </w:t>
      </w:r>
      <w:r w:rsidR="008B4FA7">
        <w:rPr>
          <w:rFonts w:ascii="Arial" w:hAnsi="Arial" w:cs="Arial"/>
        </w:rPr>
        <w:t>prior to sample analysis after</w:t>
      </w:r>
      <w:r w:rsidRPr="00097851">
        <w:rPr>
          <w:rFonts w:ascii="Arial" w:hAnsi="Arial" w:cs="Arial"/>
        </w:rPr>
        <w:t xml:space="preserve"> the instrument optics are serviced. Zero the instrument with a Calibration Blank and then analyze a Reagent Blank and a series of </w:t>
      </w:r>
      <w:r w:rsidR="00B14F0B">
        <w:rPr>
          <w:rFonts w:ascii="Arial" w:hAnsi="Arial" w:cs="Arial"/>
        </w:rPr>
        <w:t xml:space="preserve">at least </w:t>
      </w:r>
      <w:r w:rsidRPr="00097851">
        <w:rPr>
          <w:rFonts w:ascii="Arial" w:hAnsi="Arial" w:cs="Arial"/>
        </w:rPr>
        <w:t xml:space="preserve">five standards. </w:t>
      </w:r>
      <w:r w:rsidR="004941D2">
        <w:rPr>
          <w:rFonts w:ascii="Arial" w:hAnsi="Arial" w:cs="Arial"/>
        </w:rPr>
        <w:t xml:space="preserve">The concentration of the Reagent Blank must not exceed 50% of the reporting limit or as otherwise specified by the reference method. </w:t>
      </w:r>
      <w:r w:rsidR="00160FFF" w:rsidRPr="00097851">
        <w:rPr>
          <w:rFonts w:ascii="Arial" w:hAnsi="Arial" w:cs="Arial"/>
        </w:rPr>
        <w:t xml:space="preserve">Compare the measured concentration of each standard to the expected value. Each calibration verification standard must be within ±10% of its expected value unless different criteria are specified in an individual method. At the lower limit of the operational range, acceptance criteria </w:t>
      </w:r>
      <w:r w:rsidR="004941D2">
        <w:rPr>
          <w:rFonts w:ascii="Arial" w:hAnsi="Arial" w:cs="Arial"/>
        </w:rPr>
        <w:t>may be</w:t>
      </w:r>
      <w:r w:rsidR="00160FFF" w:rsidRPr="00097851">
        <w:rPr>
          <w:rFonts w:ascii="Arial" w:hAnsi="Arial" w:cs="Arial"/>
        </w:rPr>
        <w:t xml:space="preserve"> wider. Such criteria must be defined in the laboratory’s </w:t>
      </w:r>
      <w:r w:rsidR="00942CCB">
        <w:rPr>
          <w:rFonts w:ascii="Arial" w:hAnsi="Arial" w:cs="Arial"/>
        </w:rPr>
        <w:t>S</w:t>
      </w:r>
      <w:r w:rsidR="00160FFF" w:rsidRPr="00097851">
        <w:rPr>
          <w:rFonts w:ascii="Arial" w:hAnsi="Arial" w:cs="Arial"/>
        </w:rPr>
        <w:t xml:space="preserve">tandard </w:t>
      </w:r>
      <w:r w:rsidR="00942CCB">
        <w:rPr>
          <w:rFonts w:ascii="Arial" w:hAnsi="Arial" w:cs="Arial"/>
        </w:rPr>
        <w:t>O</w:t>
      </w:r>
      <w:r w:rsidR="00160FFF" w:rsidRPr="00097851">
        <w:rPr>
          <w:rFonts w:ascii="Arial" w:hAnsi="Arial" w:cs="Arial"/>
        </w:rPr>
        <w:t xml:space="preserve">perating </w:t>
      </w:r>
      <w:r w:rsidR="00942CCB">
        <w:rPr>
          <w:rFonts w:ascii="Arial" w:hAnsi="Arial" w:cs="Arial"/>
        </w:rPr>
        <w:t>P</w:t>
      </w:r>
      <w:r w:rsidR="00160FFF" w:rsidRPr="00097851">
        <w:rPr>
          <w:rFonts w:ascii="Arial" w:hAnsi="Arial" w:cs="Arial"/>
        </w:rPr>
        <w:t>rocedure</w:t>
      </w:r>
      <w:r w:rsidR="00942CCB">
        <w:rPr>
          <w:rFonts w:ascii="Arial" w:hAnsi="Arial" w:cs="Arial"/>
        </w:rPr>
        <w:t xml:space="preserve"> (SOP)</w:t>
      </w:r>
      <w:r w:rsidR="00160FFF" w:rsidRPr="00097851">
        <w:rPr>
          <w:rFonts w:ascii="Arial" w:hAnsi="Arial" w:cs="Arial"/>
        </w:rPr>
        <w:t xml:space="preserve"> or </w:t>
      </w:r>
      <w:r w:rsidR="00942CCB">
        <w:rPr>
          <w:rFonts w:ascii="Arial" w:hAnsi="Arial" w:cs="Arial"/>
        </w:rPr>
        <w:t>Q</w:t>
      </w:r>
      <w:r w:rsidR="00160FFF" w:rsidRPr="00097851">
        <w:rPr>
          <w:rFonts w:ascii="Arial" w:hAnsi="Arial" w:cs="Arial"/>
        </w:rPr>
        <w:t xml:space="preserve">uality </w:t>
      </w:r>
      <w:r w:rsidR="00942CCB">
        <w:rPr>
          <w:rFonts w:ascii="Arial" w:hAnsi="Arial" w:cs="Arial"/>
        </w:rPr>
        <w:t>A</w:t>
      </w:r>
      <w:r w:rsidR="00160FFF" w:rsidRPr="00097851">
        <w:rPr>
          <w:rFonts w:ascii="Arial" w:hAnsi="Arial" w:cs="Arial"/>
        </w:rPr>
        <w:t xml:space="preserve">ssurance </w:t>
      </w:r>
      <w:r w:rsidR="00942CCB">
        <w:rPr>
          <w:rFonts w:ascii="Arial" w:hAnsi="Arial" w:cs="Arial"/>
        </w:rPr>
        <w:t>M</w:t>
      </w:r>
      <w:r w:rsidR="00160FFF" w:rsidRPr="00097851">
        <w:rPr>
          <w:rFonts w:ascii="Arial" w:hAnsi="Arial" w:cs="Arial"/>
        </w:rPr>
        <w:t>anual</w:t>
      </w:r>
      <w:r w:rsidR="00942CCB">
        <w:rPr>
          <w:rFonts w:ascii="Arial" w:hAnsi="Arial" w:cs="Arial"/>
        </w:rPr>
        <w:t xml:space="preserve"> (QAM)</w:t>
      </w:r>
      <w:r w:rsidR="00160FFF" w:rsidRPr="00097851">
        <w:rPr>
          <w:rFonts w:ascii="Arial" w:hAnsi="Arial" w:cs="Arial"/>
        </w:rPr>
        <w:t xml:space="preserve">. If the </w:t>
      </w:r>
      <w:r w:rsidR="00612E70">
        <w:rPr>
          <w:rFonts w:ascii="Arial" w:hAnsi="Arial" w:cs="Arial"/>
        </w:rPr>
        <w:t>measured concentration</w:t>
      </w:r>
      <w:r w:rsidR="00612E70">
        <w:rPr>
          <w:rFonts w:ascii="Arial" w:hAnsi="Arial" w:cs="Arial"/>
        </w:rPr>
        <w:t>s</w:t>
      </w:r>
      <w:r w:rsidR="00612E70" w:rsidRPr="00097851">
        <w:rPr>
          <w:rFonts w:ascii="Arial" w:hAnsi="Arial" w:cs="Arial"/>
        </w:rPr>
        <w:t xml:space="preserve"> </w:t>
      </w:r>
      <w:r w:rsidR="00160FFF" w:rsidRPr="00097851">
        <w:rPr>
          <w:rFonts w:ascii="Arial" w:hAnsi="Arial" w:cs="Arial"/>
        </w:rPr>
        <w:t xml:space="preserve">vary by more than the stated acceptance criteria, the </w:t>
      </w:r>
      <w:bookmarkStart w:id="1" w:name="_Hlk526250365"/>
      <w:r w:rsidR="00E068D6">
        <w:rPr>
          <w:rFonts w:ascii="Arial" w:hAnsi="Arial" w:cs="Arial"/>
        </w:rPr>
        <w:t>factory-set calibration curve</w:t>
      </w:r>
      <w:bookmarkEnd w:id="1"/>
      <w:r w:rsidR="00160FFF" w:rsidRPr="00097851">
        <w:rPr>
          <w:rFonts w:ascii="Arial" w:hAnsi="Arial" w:cs="Arial"/>
        </w:rPr>
        <w:t xml:space="preserve"> must not be used for compliance monitoring until troubleshooting is carried out to determine and correct the source of error.</w:t>
      </w:r>
    </w:p>
    <w:p w14:paraId="6F05F2E7" w14:textId="28E288CA" w:rsidR="005A43BF" w:rsidRPr="00097851" w:rsidRDefault="005A43BF">
      <w:pPr>
        <w:rPr>
          <w:rFonts w:ascii="Arial" w:hAnsi="Arial" w:cs="Arial"/>
          <w:b/>
        </w:rPr>
      </w:pPr>
      <w:r w:rsidRPr="00097851">
        <w:rPr>
          <w:rFonts w:ascii="Arial" w:hAnsi="Arial" w:cs="Arial"/>
          <w:b/>
        </w:rPr>
        <w:t>Daily Calibration Curve Verification</w:t>
      </w:r>
    </w:p>
    <w:p w14:paraId="2A889A9D" w14:textId="395B507E" w:rsidR="00FB1AB5" w:rsidRPr="00097851" w:rsidRDefault="00FB1AB5" w:rsidP="00C33BDA">
      <w:pPr>
        <w:pStyle w:val="ListParagraph"/>
        <w:ind w:left="0"/>
        <w:contextualSpacing w:val="0"/>
        <w:jc w:val="both"/>
        <w:rPr>
          <w:rFonts w:ascii="Arial" w:eastAsia="Times New Roman" w:hAnsi="Arial" w:cs="Arial"/>
          <w:spacing w:val="-2"/>
        </w:rPr>
      </w:pPr>
      <w:r w:rsidRPr="00097851">
        <w:rPr>
          <w:rFonts w:ascii="Arial" w:hAnsi="Arial" w:cs="Arial"/>
        </w:rPr>
        <w:t xml:space="preserve">When a daily factory-set calibration curve verification is performed, it must be performed each day compliance samples are analyzed. Zero the instrument with a Calibration Blank and then analyze a Reagent Blank and a series of </w:t>
      </w:r>
      <w:r w:rsidR="00B14F0B">
        <w:rPr>
          <w:rFonts w:ascii="Arial" w:hAnsi="Arial" w:cs="Arial"/>
        </w:rPr>
        <w:t xml:space="preserve">at least </w:t>
      </w:r>
      <w:r w:rsidR="005E4038" w:rsidRPr="00097851">
        <w:rPr>
          <w:rFonts w:ascii="Arial" w:hAnsi="Arial" w:cs="Arial"/>
        </w:rPr>
        <w:t xml:space="preserve">three </w:t>
      </w:r>
      <w:r w:rsidRPr="00097851">
        <w:rPr>
          <w:rFonts w:ascii="Arial" w:hAnsi="Arial" w:cs="Arial"/>
        </w:rPr>
        <w:t xml:space="preserve">standards. </w:t>
      </w:r>
      <w:r w:rsidR="004941D2" w:rsidRPr="004941D2">
        <w:rPr>
          <w:rFonts w:ascii="Arial" w:hAnsi="Arial" w:cs="Arial"/>
        </w:rPr>
        <w:t xml:space="preserve">The concentration of the Reagent Blank must not exceed 50% of the reporting limit or as otherwise specified by the reference method. </w:t>
      </w:r>
      <w:r w:rsidR="00160FFF" w:rsidRPr="00097851">
        <w:rPr>
          <w:rFonts w:ascii="Arial" w:hAnsi="Arial" w:cs="Arial"/>
        </w:rPr>
        <w:t xml:space="preserve">Compare the measured concentration of each standard to the expected value. Each calibration verification standard must be within ±10% of its expected value unless different criteria are specified in an individual method. At the lower limit of the operational range, acceptance criteria </w:t>
      </w:r>
      <w:r w:rsidR="000D79C1">
        <w:rPr>
          <w:rFonts w:ascii="Arial" w:hAnsi="Arial" w:cs="Arial"/>
        </w:rPr>
        <w:t>may be</w:t>
      </w:r>
      <w:r w:rsidR="00160FFF" w:rsidRPr="00097851">
        <w:rPr>
          <w:rFonts w:ascii="Arial" w:hAnsi="Arial" w:cs="Arial"/>
        </w:rPr>
        <w:t xml:space="preserve"> wider. Such criteria must be defined in the laboratory’s standard operating procedure or quality assurance manual. If the </w:t>
      </w:r>
      <w:r w:rsidR="00612E70">
        <w:rPr>
          <w:rFonts w:ascii="Arial" w:hAnsi="Arial" w:cs="Arial"/>
        </w:rPr>
        <w:t>measured concentration</w:t>
      </w:r>
      <w:r w:rsidR="00916E27">
        <w:rPr>
          <w:rFonts w:ascii="Arial" w:hAnsi="Arial" w:cs="Arial"/>
        </w:rPr>
        <w:t>s</w:t>
      </w:r>
      <w:r w:rsidR="00160FFF" w:rsidRPr="00097851">
        <w:rPr>
          <w:rFonts w:ascii="Arial" w:hAnsi="Arial" w:cs="Arial"/>
        </w:rPr>
        <w:t xml:space="preserve"> vary by more than the stated acceptance criteria, the </w:t>
      </w:r>
      <w:r w:rsidR="00351A6A" w:rsidRPr="00351A6A">
        <w:rPr>
          <w:rFonts w:ascii="Arial" w:hAnsi="Arial" w:cs="Arial"/>
        </w:rPr>
        <w:t>factory-set calibration curve</w:t>
      </w:r>
      <w:r w:rsidR="00160FFF" w:rsidRPr="00097851">
        <w:rPr>
          <w:rFonts w:ascii="Arial" w:hAnsi="Arial" w:cs="Arial"/>
        </w:rPr>
        <w:t xml:space="preserve"> must not be used for compliance monitoring until troubleshooting is carried out to determine and correct the source of error</w:t>
      </w:r>
      <w:r w:rsidR="00C33BDA">
        <w:rPr>
          <w:rFonts w:ascii="Arial" w:hAnsi="Arial" w:cs="Arial"/>
        </w:rPr>
        <w:t>.</w:t>
      </w:r>
      <w:r w:rsidR="00C33BDA" w:rsidRPr="00097851" w:rsidDel="00C33BDA">
        <w:rPr>
          <w:rFonts w:ascii="Arial" w:hAnsi="Arial" w:cs="Arial"/>
        </w:rPr>
        <w:t xml:space="preserve"> </w:t>
      </w:r>
    </w:p>
    <w:sectPr w:rsidR="00FB1AB5" w:rsidRPr="0009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31B9E4" w16cid:durableId="1F537DF2"/>
  <w16cid:commentId w16cid:paraId="75266503" w16cid:durableId="1F5DECDF"/>
  <w16cid:commentId w16cid:paraId="34CAAC1B" w16cid:durableId="1F5F3FB7"/>
  <w16cid:commentId w16cid:paraId="605F593A" w16cid:durableId="1F4CBE61"/>
  <w16cid:commentId w16cid:paraId="67FC5B28" w16cid:durableId="1F537DD5"/>
  <w16cid:commentId w16cid:paraId="326D13DC" w16cid:durableId="1F5DED3F"/>
  <w16cid:commentId w16cid:paraId="3BEAE20E" w16cid:durableId="1F4E2345"/>
  <w16cid:commentId w16cid:paraId="46A54457" w16cid:durableId="1F537DD7"/>
  <w16cid:commentId w16cid:paraId="597BBC20" w16cid:durableId="1F5DEDB1"/>
  <w16cid:commentId w16cid:paraId="3259B38E" w16cid:durableId="1F537DD8"/>
  <w16cid:commentId w16cid:paraId="7B2B962B" w16cid:durableId="1F537DD9"/>
  <w16cid:commentId w16cid:paraId="248BC548" w16cid:durableId="1F5DEE05"/>
  <w16cid:commentId w16cid:paraId="53EB285F" w16cid:durableId="1F4CC0A2"/>
  <w16cid:commentId w16cid:paraId="71052351" w16cid:durableId="1F4CBFC1"/>
  <w16cid:commentId w16cid:paraId="09E47A9B" w16cid:durableId="1F537DDC"/>
  <w16cid:commentId w16cid:paraId="2F544C5F" w16cid:durableId="1F4E251E"/>
  <w16cid:commentId w16cid:paraId="34EB2C02" w16cid:durableId="1F5DEEDE"/>
  <w16cid:commentId w16cid:paraId="23C97239" w16cid:durableId="1F4E2554"/>
  <w16cid:commentId w16cid:paraId="29D22493" w16cid:durableId="1F5DEF0F"/>
  <w16cid:commentId w16cid:paraId="098009F1" w16cid:durableId="1F4F85E1"/>
  <w16cid:commentId w16cid:paraId="0FF8AA6C" w16cid:durableId="1F4CC0D2"/>
  <w16cid:commentId w16cid:paraId="3B642C2A" w16cid:durableId="1F4E262A"/>
  <w16cid:commentId w16cid:paraId="38091FAD" w16cid:durableId="1F4F86EE"/>
  <w16cid:commentId w16cid:paraId="16A101F1" w16cid:durableId="1F5DEFD8"/>
  <w16cid:commentId w16cid:paraId="239119E3" w16cid:durableId="1F4E25B1"/>
  <w16cid:commentId w16cid:paraId="7814EF36" w16cid:durableId="1F4F8783"/>
  <w16cid:commentId w16cid:paraId="1D22E89C" w16cid:durableId="1F571393"/>
  <w16cid:commentId w16cid:paraId="6EEE79BD" w16cid:durableId="1F5DF0FE"/>
  <w16cid:commentId w16cid:paraId="51597939" w16cid:durableId="1F5F6F6E"/>
  <w16cid:commentId w16cid:paraId="6915F6D4" w16cid:durableId="1F4CC12E"/>
  <w16cid:commentId w16cid:paraId="1646E8FA" w16cid:durableId="1F4E26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C4C0A"/>
    <w:multiLevelType w:val="hybridMultilevel"/>
    <w:tmpl w:val="D228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93A19"/>
    <w:multiLevelType w:val="hybridMultilevel"/>
    <w:tmpl w:val="9CB443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25"/>
    <w:rsid w:val="000425A7"/>
    <w:rsid w:val="000503A1"/>
    <w:rsid w:val="000632DA"/>
    <w:rsid w:val="00072976"/>
    <w:rsid w:val="00097851"/>
    <w:rsid w:val="000D79C1"/>
    <w:rsid w:val="001016FD"/>
    <w:rsid w:val="00160FFF"/>
    <w:rsid w:val="001A6708"/>
    <w:rsid w:val="001B290F"/>
    <w:rsid w:val="001E0132"/>
    <w:rsid w:val="001F7ABA"/>
    <w:rsid w:val="002244A7"/>
    <w:rsid w:val="002309C8"/>
    <w:rsid w:val="00254016"/>
    <w:rsid w:val="00337B4F"/>
    <w:rsid w:val="00351A6A"/>
    <w:rsid w:val="00380070"/>
    <w:rsid w:val="004503E4"/>
    <w:rsid w:val="004941D2"/>
    <w:rsid w:val="004B2E2F"/>
    <w:rsid w:val="00563913"/>
    <w:rsid w:val="0057730C"/>
    <w:rsid w:val="005A43BF"/>
    <w:rsid w:val="005E4038"/>
    <w:rsid w:val="00612E70"/>
    <w:rsid w:val="00677610"/>
    <w:rsid w:val="00742D8F"/>
    <w:rsid w:val="00743D7C"/>
    <w:rsid w:val="00764B39"/>
    <w:rsid w:val="00785881"/>
    <w:rsid w:val="007D687B"/>
    <w:rsid w:val="00856132"/>
    <w:rsid w:val="00885F1D"/>
    <w:rsid w:val="008B4FA7"/>
    <w:rsid w:val="008E1D5A"/>
    <w:rsid w:val="00916E27"/>
    <w:rsid w:val="00942CCB"/>
    <w:rsid w:val="009E0C7B"/>
    <w:rsid w:val="009E5B63"/>
    <w:rsid w:val="009F7FD1"/>
    <w:rsid w:val="00A906EC"/>
    <w:rsid w:val="00AC611B"/>
    <w:rsid w:val="00AD2956"/>
    <w:rsid w:val="00B14F0B"/>
    <w:rsid w:val="00B21ED2"/>
    <w:rsid w:val="00B40317"/>
    <w:rsid w:val="00B47100"/>
    <w:rsid w:val="00BA6B94"/>
    <w:rsid w:val="00C25174"/>
    <w:rsid w:val="00C33BDA"/>
    <w:rsid w:val="00CF034B"/>
    <w:rsid w:val="00D213B6"/>
    <w:rsid w:val="00D66225"/>
    <w:rsid w:val="00D81AC0"/>
    <w:rsid w:val="00D85990"/>
    <w:rsid w:val="00DF40B4"/>
    <w:rsid w:val="00E05485"/>
    <w:rsid w:val="00E068D6"/>
    <w:rsid w:val="00E420A2"/>
    <w:rsid w:val="00E451AA"/>
    <w:rsid w:val="00E71A7B"/>
    <w:rsid w:val="00EE4842"/>
    <w:rsid w:val="00F651A8"/>
    <w:rsid w:val="00F6643A"/>
    <w:rsid w:val="00F9077F"/>
    <w:rsid w:val="00FA4B92"/>
    <w:rsid w:val="00FA7A6A"/>
    <w:rsid w:val="00FB1AB5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AA4D"/>
  <w15:chartTrackingRefBased/>
  <w15:docId w15:val="{C8D21E1B-D92F-464C-BF97-EDBEB37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7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F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8AD97-EC67-4EB2-86B1-2BF0EC23AEB8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97c26e27-a340-4306-98a7-c36055956ab5"/>
    <ds:schemaRef ds:uri="http://purl.org/dc/terms/"/>
    <ds:schemaRef ds:uri="http://schemas.microsoft.com/office/infopath/2007/PartnerControls"/>
    <ds:schemaRef ds:uri="616aef02-9798-44e7-9ab4-6529c8fdfa36"/>
  </ds:schemaRefs>
</ds:datastoreItem>
</file>

<file path=customXml/itemProps2.xml><?xml version="1.0" encoding="utf-8"?>
<ds:datastoreItem xmlns:ds="http://schemas.openxmlformats.org/officeDocument/2006/customXml" ds:itemID="{5FCE1CCB-FA13-42EA-A20B-BCFF649A2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0AD66-7785-4C33-AEA1-889A72BE8C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Satterwhite, Dana</dc:creator>
  <cp:keywords/>
  <dc:description/>
  <cp:lastModifiedBy>Satterwhite, Dana</cp:lastModifiedBy>
  <cp:revision>45</cp:revision>
  <cp:lastPrinted>2018-09-19T15:56:00Z</cp:lastPrinted>
  <dcterms:created xsi:type="dcterms:W3CDTF">2018-09-19T15:58:00Z</dcterms:created>
  <dcterms:modified xsi:type="dcterms:W3CDTF">2018-10-05T15:03:00Z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_ExtendedDescription">
    <vt:lpwstr/>
  </property>
</Properties>
</file>