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728D" w14:textId="77777777" w:rsidR="00D25D92" w:rsidRDefault="00915321" w:rsidP="00915321">
      <w:pPr>
        <w:pStyle w:val="ListParagraph"/>
        <w:ind w:left="0"/>
        <w:jc w:val="center"/>
        <w:rPr>
          <w:rFonts w:ascii="Arial" w:eastAsia="Times New Roman" w:hAnsi="Arial" w:cs="Arial"/>
          <w:b/>
        </w:rPr>
      </w:pPr>
      <w:r w:rsidRPr="00C640AD">
        <w:rPr>
          <w:rFonts w:ascii="Arial" w:eastAsia="Times New Roman" w:hAnsi="Arial" w:cs="Arial"/>
          <w:b/>
        </w:rPr>
        <w:t xml:space="preserve">Fecal Sludge </w:t>
      </w:r>
      <w:r w:rsidR="00D25D92">
        <w:rPr>
          <w:rFonts w:ascii="Arial" w:eastAsia="Times New Roman" w:hAnsi="Arial" w:cs="Arial"/>
          <w:b/>
        </w:rPr>
        <w:t xml:space="preserve">(Biosolids) </w:t>
      </w:r>
      <w:r w:rsidR="000F145D" w:rsidRPr="000F145D">
        <w:rPr>
          <w:rFonts w:ascii="Arial" w:eastAsia="Times New Roman" w:hAnsi="Arial" w:cs="Arial"/>
          <w:b/>
        </w:rPr>
        <w:t xml:space="preserve">Dilution Setup and </w:t>
      </w:r>
      <w:r w:rsidRPr="00C640AD">
        <w:rPr>
          <w:rFonts w:ascii="Arial" w:eastAsia="Times New Roman" w:hAnsi="Arial" w:cs="Arial"/>
          <w:b/>
        </w:rPr>
        <w:t xml:space="preserve">MPN Calculation </w:t>
      </w:r>
      <w:r w:rsidR="009A1B31">
        <w:rPr>
          <w:rFonts w:ascii="Arial" w:eastAsia="Times New Roman" w:hAnsi="Arial" w:cs="Arial"/>
          <w:b/>
        </w:rPr>
        <w:t>Protocol</w:t>
      </w:r>
    </w:p>
    <w:p w14:paraId="11D15361" w14:textId="77777777" w:rsidR="00915321" w:rsidRPr="00C640AD" w:rsidRDefault="00FE3A7E" w:rsidP="00915321">
      <w:pPr>
        <w:pStyle w:val="ListParagraph"/>
        <w:ind w:left="0"/>
        <w:jc w:val="center"/>
        <w:rPr>
          <w:rFonts w:ascii="Arial" w:eastAsia="Times New Roman" w:hAnsi="Arial" w:cs="Arial"/>
        </w:rPr>
      </w:pPr>
      <w:r w:rsidRPr="00C640AD">
        <w:rPr>
          <w:rFonts w:ascii="Arial" w:eastAsia="Times New Roman" w:hAnsi="Arial" w:cs="Arial"/>
        </w:rPr>
        <w:t xml:space="preserve">(NC WW/GW LC Policy </w:t>
      </w:r>
      <w:r w:rsidR="00D712E9">
        <w:rPr>
          <w:rFonts w:ascii="Arial" w:eastAsia="Times New Roman" w:hAnsi="Arial" w:cs="Arial"/>
        </w:rPr>
        <w:t>2/14</w:t>
      </w:r>
      <w:r w:rsidR="000F145D">
        <w:rPr>
          <w:rFonts w:ascii="Arial" w:eastAsia="Times New Roman" w:hAnsi="Arial" w:cs="Arial"/>
        </w:rPr>
        <w:t>/2020</w:t>
      </w:r>
      <w:r w:rsidR="003C7087" w:rsidRPr="00C640AD">
        <w:rPr>
          <w:rFonts w:ascii="Arial" w:eastAsia="Times New Roman" w:hAnsi="Arial" w:cs="Arial"/>
        </w:rPr>
        <w:t>)</w:t>
      </w:r>
    </w:p>
    <w:p w14:paraId="26785900" w14:textId="77777777" w:rsidR="00915321" w:rsidRPr="00F47DEA" w:rsidRDefault="00915321" w:rsidP="0019134C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</w:p>
    <w:p w14:paraId="71FB27A5" w14:textId="77777777" w:rsidR="00915321" w:rsidRPr="00FE3A7E" w:rsidRDefault="00A8400D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  <w:r w:rsidRPr="00FE3A7E">
        <w:rPr>
          <w:rFonts w:ascii="Arial" w:eastAsia="Times New Roman" w:hAnsi="Arial" w:cs="Arial"/>
        </w:rPr>
        <w:t xml:space="preserve">The following </w:t>
      </w:r>
      <w:r w:rsidR="001207BE">
        <w:rPr>
          <w:rFonts w:ascii="Arial" w:eastAsia="Times New Roman" w:hAnsi="Arial" w:cs="Arial"/>
        </w:rPr>
        <w:t>protocol</w:t>
      </w:r>
      <w:r w:rsidR="000F145D">
        <w:rPr>
          <w:rFonts w:ascii="Arial" w:eastAsia="Times New Roman" w:hAnsi="Arial" w:cs="Arial"/>
        </w:rPr>
        <w:t xml:space="preserve">, based on correspondence with </w:t>
      </w:r>
      <w:r w:rsidR="00AA58D2">
        <w:rPr>
          <w:rFonts w:ascii="Arial" w:eastAsia="Times New Roman" w:hAnsi="Arial" w:cs="Arial"/>
        </w:rPr>
        <w:t xml:space="preserve">US </w:t>
      </w:r>
      <w:r w:rsidR="000F145D">
        <w:rPr>
          <w:rFonts w:ascii="Arial" w:eastAsia="Times New Roman" w:hAnsi="Arial" w:cs="Arial"/>
        </w:rPr>
        <w:t xml:space="preserve">EPA </w:t>
      </w:r>
      <w:r w:rsidR="005F5D0D">
        <w:rPr>
          <w:rFonts w:ascii="Arial" w:eastAsia="Times New Roman" w:hAnsi="Arial" w:cs="Arial"/>
        </w:rPr>
        <w:t xml:space="preserve">Region IV and </w:t>
      </w:r>
      <w:r w:rsidR="00D629D2">
        <w:rPr>
          <w:rFonts w:ascii="Arial" w:eastAsia="Times New Roman" w:hAnsi="Arial" w:cs="Arial"/>
        </w:rPr>
        <w:t xml:space="preserve">the </w:t>
      </w:r>
      <w:r w:rsidR="00454758" w:rsidRPr="00454758">
        <w:rPr>
          <w:rFonts w:ascii="Arial" w:eastAsia="Times New Roman" w:hAnsi="Arial" w:cs="Arial"/>
        </w:rPr>
        <w:t>Office of Research and Development</w:t>
      </w:r>
      <w:r w:rsidR="00AE4597">
        <w:rPr>
          <w:rFonts w:ascii="Arial" w:eastAsia="Times New Roman" w:hAnsi="Arial" w:cs="Arial"/>
        </w:rPr>
        <w:t xml:space="preserve"> in Ohio</w:t>
      </w:r>
      <w:r w:rsidR="00AA58D2">
        <w:rPr>
          <w:rFonts w:ascii="Arial" w:eastAsia="Times New Roman" w:hAnsi="Arial" w:cs="Arial"/>
        </w:rPr>
        <w:t>,</w:t>
      </w:r>
      <w:r w:rsidRPr="00FE3A7E">
        <w:rPr>
          <w:rFonts w:ascii="Arial" w:eastAsia="Times New Roman" w:hAnsi="Arial" w:cs="Arial"/>
        </w:rPr>
        <w:t xml:space="preserve"> </w:t>
      </w:r>
      <w:r w:rsidR="001C7FEC">
        <w:rPr>
          <w:rFonts w:ascii="Arial" w:eastAsia="Times New Roman" w:hAnsi="Arial" w:cs="Arial"/>
        </w:rPr>
        <w:t>must</w:t>
      </w:r>
      <w:r w:rsidRPr="00FE3A7E">
        <w:rPr>
          <w:rFonts w:ascii="Arial" w:eastAsia="Times New Roman" w:hAnsi="Arial" w:cs="Arial"/>
        </w:rPr>
        <w:t xml:space="preserve"> be </w:t>
      </w:r>
      <w:r w:rsidR="00AA58D2">
        <w:rPr>
          <w:rFonts w:ascii="Arial" w:eastAsia="Times New Roman" w:hAnsi="Arial" w:cs="Arial"/>
        </w:rPr>
        <w:t>followed</w:t>
      </w:r>
      <w:r w:rsidR="00AA58D2" w:rsidRPr="00FE3A7E">
        <w:rPr>
          <w:rFonts w:ascii="Arial" w:eastAsia="Times New Roman" w:hAnsi="Arial" w:cs="Arial"/>
        </w:rPr>
        <w:t xml:space="preserve"> </w:t>
      </w:r>
      <w:r w:rsidRPr="00FE3A7E">
        <w:rPr>
          <w:rFonts w:ascii="Arial" w:eastAsia="Times New Roman" w:hAnsi="Arial" w:cs="Arial"/>
        </w:rPr>
        <w:t xml:space="preserve">when </w:t>
      </w:r>
      <w:r w:rsidR="000F145D">
        <w:rPr>
          <w:rFonts w:ascii="Arial" w:eastAsia="Times New Roman" w:hAnsi="Arial" w:cs="Arial"/>
        </w:rPr>
        <w:t xml:space="preserve">citing Standard Methods 9221 C E-2006 for the </w:t>
      </w:r>
      <w:r w:rsidRPr="00FE3A7E">
        <w:rPr>
          <w:rFonts w:ascii="Arial" w:eastAsia="Times New Roman" w:hAnsi="Arial" w:cs="Arial"/>
        </w:rPr>
        <w:t>determin</w:t>
      </w:r>
      <w:r w:rsidR="000F145D">
        <w:rPr>
          <w:rFonts w:ascii="Arial" w:eastAsia="Times New Roman" w:hAnsi="Arial" w:cs="Arial"/>
        </w:rPr>
        <w:t>ation of</w:t>
      </w:r>
      <w:r w:rsidRPr="00FE3A7E">
        <w:rPr>
          <w:rFonts w:ascii="Arial" w:eastAsia="Times New Roman" w:hAnsi="Arial" w:cs="Arial"/>
        </w:rPr>
        <w:t xml:space="preserve"> the </w:t>
      </w:r>
      <w:r w:rsidR="00F47DEA" w:rsidRPr="00FE3A7E">
        <w:rPr>
          <w:rFonts w:ascii="Arial" w:eastAsia="Times New Roman" w:hAnsi="Arial" w:cs="Arial"/>
        </w:rPr>
        <w:t>MPN Index/</w:t>
      </w:r>
      <w:r w:rsidR="00AB1885">
        <w:rPr>
          <w:rFonts w:ascii="Arial" w:eastAsia="Times New Roman" w:hAnsi="Arial" w:cs="Arial"/>
        </w:rPr>
        <w:t xml:space="preserve">100 </w:t>
      </w:r>
      <w:r w:rsidR="00F47DEA" w:rsidRPr="00FE3A7E">
        <w:rPr>
          <w:rFonts w:ascii="Arial" w:eastAsia="Times New Roman" w:hAnsi="Arial" w:cs="Arial"/>
        </w:rPr>
        <w:t>mL values that are geometrically averaged for use in the final MPN Fecal Coliform/gram calculation.</w:t>
      </w:r>
      <w:r w:rsidR="000A2BCE">
        <w:rPr>
          <w:rFonts w:ascii="Arial" w:eastAsia="Times New Roman" w:hAnsi="Arial" w:cs="Arial"/>
        </w:rPr>
        <w:t xml:space="preserve"> This policy does not apply </w:t>
      </w:r>
      <w:r w:rsidR="0070743C">
        <w:rPr>
          <w:rFonts w:ascii="Arial" w:eastAsia="Times New Roman" w:hAnsi="Arial" w:cs="Arial"/>
        </w:rPr>
        <w:t>when citing EPA Methods 1680 or 1681.</w:t>
      </w:r>
      <w:r w:rsidR="00D37C92">
        <w:rPr>
          <w:rFonts w:ascii="Arial" w:eastAsia="Times New Roman" w:hAnsi="Arial" w:cs="Arial"/>
        </w:rPr>
        <w:t xml:space="preserve">  Those methods are to be followed as written.</w:t>
      </w:r>
    </w:p>
    <w:p w14:paraId="4B2CCC31" w14:textId="77777777" w:rsidR="00F47DEA" w:rsidRPr="00FE3A7E" w:rsidRDefault="00F47DEA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10A25955" w14:textId="77777777" w:rsidR="00D25D92" w:rsidRDefault="00AA58D2" w:rsidP="00D25D92">
      <w:pPr>
        <w:pStyle w:val="ListParagraph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guidance provided in </w:t>
      </w:r>
      <w:r w:rsidRPr="00AA58D2">
        <w:rPr>
          <w:rFonts w:ascii="Arial" w:eastAsia="Times New Roman" w:hAnsi="Arial" w:cs="Arial"/>
        </w:rPr>
        <w:t xml:space="preserve">“Control of Pathogens and Vector </w:t>
      </w:r>
      <w:r w:rsidR="00982170">
        <w:rPr>
          <w:rFonts w:ascii="Arial" w:eastAsia="Times New Roman" w:hAnsi="Arial" w:cs="Arial"/>
        </w:rPr>
        <w:t>A</w:t>
      </w:r>
      <w:r w:rsidRPr="00AA58D2">
        <w:rPr>
          <w:rFonts w:ascii="Arial" w:eastAsia="Times New Roman" w:hAnsi="Arial" w:cs="Arial"/>
        </w:rPr>
        <w:t xml:space="preserve">ttraction in </w:t>
      </w:r>
      <w:r w:rsidR="00982170">
        <w:rPr>
          <w:rFonts w:ascii="Arial" w:eastAsia="Times New Roman" w:hAnsi="Arial" w:cs="Arial"/>
        </w:rPr>
        <w:t>S</w:t>
      </w:r>
      <w:r w:rsidRPr="00AA58D2">
        <w:rPr>
          <w:rFonts w:ascii="Arial" w:eastAsia="Times New Roman" w:hAnsi="Arial" w:cs="Arial"/>
        </w:rPr>
        <w:t xml:space="preserve">ewage </w:t>
      </w:r>
      <w:r w:rsidR="00982170">
        <w:rPr>
          <w:rFonts w:ascii="Arial" w:eastAsia="Times New Roman" w:hAnsi="Arial" w:cs="Arial"/>
        </w:rPr>
        <w:t>S</w:t>
      </w:r>
      <w:r w:rsidRPr="00AA58D2">
        <w:rPr>
          <w:rFonts w:ascii="Arial" w:eastAsia="Times New Roman" w:hAnsi="Arial" w:cs="Arial"/>
        </w:rPr>
        <w:t xml:space="preserve">ludge” </w:t>
      </w:r>
      <w:r>
        <w:rPr>
          <w:rFonts w:ascii="Arial" w:eastAsia="Times New Roman" w:hAnsi="Arial" w:cs="Arial"/>
        </w:rPr>
        <w:t>(</w:t>
      </w:r>
      <w:r w:rsidRPr="00AA58D2">
        <w:rPr>
          <w:rFonts w:ascii="Arial" w:eastAsia="Times New Roman" w:hAnsi="Arial" w:cs="Arial"/>
        </w:rPr>
        <w:t>EPA/625/R-92/013</w:t>
      </w:r>
      <w:r>
        <w:rPr>
          <w:rFonts w:ascii="Arial" w:eastAsia="Times New Roman" w:hAnsi="Arial" w:cs="Arial"/>
        </w:rPr>
        <w:t>),</w:t>
      </w:r>
      <w:r w:rsidRPr="00AA58D2">
        <w:rPr>
          <w:rFonts w:ascii="Arial" w:eastAsia="Times New Roman" w:hAnsi="Arial" w:cs="Arial"/>
        </w:rPr>
        <w:t xml:space="preserve"> more commonly </w:t>
      </w:r>
      <w:r w:rsidR="005E68EF" w:rsidRPr="005E68EF">
        <w:rPr>
          <w:rFonts w:ascii="Arial" w:eastAsia="Times New Roman" w:hAnsi="Arial" w:cs="Arial"/>
        </w:rPr>
        <w:t xml:space="preserve">known </w:t>
      </w:r>
      <w:r w:rsidRPr="00AA58D2">
        <w:rPr>
          <w:rFonts w:ascii="Arial" w:eastAsia="Times New Roman" w:hAnsi="Arial" w:cs="Arial"/>
        </w:rPr>
        <w:t xml:space="preserve">as the </w:t>
      </w:r>
      <w:r>
        <w:rPr>
          <w:rFonts w:ascii="Arial" w:eastAsia="Times New Roman" w:hAnsi="Arial" w:cs="Arial"/>
        </w:rPr>
        <w:t>W</w:t>
      </w:r>
      <w:r w:rsidRPr="00AA58D2">
        <w:rPr>
          <w:rFonts w:ascii="Arial" w:eastAsia="Times New Roman" w:hAnsi="Arial" w:cs="Arial"/>
        </w:rPr>
        <w:t xml:space="preserve">hite </w:t>
      </w:r>
      <w:r>
        <w:rPr>
          <w:rFonts w:ascii="Arial" w:eastAsia="Times New Roman" w:hAnsi="Arial" w:cs="Arial"/>
        </w:rPr>
        <w:t>H</w:t>
      </w:r>
      <w:r w:rsidRPr="00AA58D2">
        <w:rPr>
          <w:rFonts w:ascii="Arial" w:eastAsia="Times New Roman" w:hAnsi="Arial" w:cs="Arial"/>
        </w:rPr>
        <w:t>ouse document</w:t>
      </w:r>
      <w:r>
        <w:rPr>
          <w:rFonts w:ascii="Arial" w:eastAsia="Times New Roman" w:hAnsi="Arial" w:cs="Arial"/>
        </w:rPr>
        <w:t xml:space="preserve">, is to be followed for setting up the series of sample dilutions. If the laboratory is unfamiliar with the samples, it is recommended that a series of </w:t>
      </w:r>
      <w:r w:rsidR="00D25D92">
        <w:rPr>
          <w:rFonts w:ascii="Arial" w:eastAsia="Times New Roman" w:hAnsi="Arial" w:cs="Arial"/>
        </w:rPr>
        <w:t>five</w:t>
      </w:r>
      <w:r>
        <w:rPr>
          <w:rFonts w:ascii="Arial" w:eastAsia="Times New Roman" w:hAnsi="Arial" w:cs="Arial"/>
        </w:rPr>
        <w:t xml:space="preserve"> dilutions, instead of </w:t>
      </w:r>
      <w:r w:rsidR="00D25D92">
        <w:rPr>
          <w:rFonts w:ascii="Arial" w:eastAsia="Times New Roman" w:hAnsi="Arial" w:cs="Arial"/>
        </w:rPr>
        <w:t>four</w:t>
      </w:r>
      <w:r>
        <w:rPr>
          <w:rFonts w:ascii="Arial" w:eastAsia="Times New Roman" w:hAnsi="Arial" w:cs="Arial"/>
        </w:rPr>
        <w:t xml:space="preserve">, be set.  Once the dilutions have been </w:t>
      </w:r>
      <w:proofErr w:type="gramStart"/>
      <w:r>
        <w:rPr>
          <w:rFonts w:ascii="Arial" w:eastAsia="Times New Roman" w:hAnsi="Arial" w:cs="Arial"/>
        </w:rPr>
        <w:t>set</w:t>
      </w:r>
      <w:proofErr w:type="gramEnd"/>
      <w:r>
        <w:rPr>
          <w:rFonts w:ascii="Arial" w:eastAsia="Times New Roman" w:hAnsi="Arial" w:cs="Arial"/>
        </w:rPr>
        <w:t xml:space="preserve">, follow </w:t>
      </w:r>
      <w:r w:rsidR="00D25D92">
        <w:rPr>
          <w:rFonts w:ascii="Arial" w:eastAsia="Times New Roman" w:hAnsi="Arial" w:cs="Arial"/>
        </w:rPr>
        <w:t xml:space="preserve">the procedure in </w:t>
      </w:r>
      <w:r>
        <w:rPr>
          <w:rFonts w:ascii="Arial" w:eastAsia="Times New Roman" w:hAnsi="Arial" w:cs="Arial"/>
        </w:rPr>
        <w:t>Standard Methods 9221E-2006 for incubation and interpretation</w:t>
      </w:r>
      <w:r w:rsidR="00D25D92">
        <w:rPr>
          <w:rFonts w:ascii="Arial" w:eastAsia="Times New Roman" w:hAnsi="Arial" w:cs="Arial"/>
        </w:rPr>
        <w:t xml:space="preserve"> of gas production.  Follow the procedure in </w:t>
      </w:r>
      <w:r w:rsidR="00D25D92" w:rsidRPr="00D25D92">
        <w:rPr>
          <w:rFonts w:ascii="Arial" w:eastAsia="Times New Roman" w:hAnsi="Arial" w:cs="Arial"/>
        </w:rPr>
        <w:t>Standard Methods 9221</w:t>
      </w:r>
      <w:r w:rsidR="00D25D92">
        <w:rPr>
          <w:rFonts w:ascii="Arial" w:eastAsia="Times New Roman" w:hAnsi="Arial" w:cs="Arial"/>
        </w:rPr>
        <w:t>C</w:t>
      </w:r>
      <w:r w:rsidR="00D25D92" w:rsidRPr="00D25D92">
        <w:rPr>
          <w:rFonts w:ascii="Arial" w:eastAsia="Times New Roman" w:hAnsi="Arial" w:cs="Arial"/>
        </w:rPr>
        <w:t xml:space="preserve">-2006 </w:t>
      </w:r>
      <w:proofErr w:type="gramStart"/>
      <w:r w:rsidR="00D25D92" w:rsidRPr="00D25D92">
        <w:rPr>
          <w:rFonts w:ascii="Arial" w:eastAsia="Times New Roman" w:hAnsi="Arial" w:cs="Arial"/>
        </w:rPr>
        <w:t xml:space="preserve">for </w:t>
      </w:r>
      <w:r w:rsidR="00D25D92">
        <w:rPr>
          <w:rFonts w:ascii="Arial" w:eastAsia="Times New Roman" w:hAnsi="Arial" w:cs="Arial"/>
        </w:rPr>
        <w:t>narrowing</w:t>
      </w:r>
      <w:proofErr w:type="gramEnd"/>
      <w:r w:rsidR="00D25D92">
        <w:rPr>
          <w:rFonts w:ascii="Arial" w:eastAsia="Times New Roman" w:hAnsi="Arial" w:cs="Arial"/>
        </w:rPr>
        <w:t xml:space="preserve"> the series of dilutions down to three.  </w:t>
      </w:r>
    </w:p>
    <w:p w14:paraId="3F49CA13" w14:textId="77777777" w:rsidR="00D25D92" w:rsidRDefault="00D25D92" w:rsidP="00D25D92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0CDA1D96" w14:textId="77777777" w:rsidR="0019134C" w:rsidRPr="00FE3A7E" w:rsidRDefault="00D25D92" w:rsidP="00153A0C">
      <w:pPr>
        <w:pStyle w:val="ListParagraph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Use Table </w:t>
      </w:r>
      <w:proofErr w:type="gramStart"/>
      <w:r>
        <w:rPr>
          <w:rFonts w:ascii="Arial" w:eastAsia="Times New Roman" w:hAnsi="Arial" w:cs="Arial"/>
        </w:rPr>
        <w:t>9221:IV</w:t>
      </w:r>
      <w:proofErr w:type="gramEnd"/>
      <w:r>
        <w:rPr>
          <w:rFonts w:ascii="Arial" w:eastAsia="Times New Roman" w:hAnsi="Arial" w:cs="Arial"/>
        </w:rPr>
        <w:t xml:space="preserve"> to determine the MPN Index/100 mL.</w:t>
      </w:r>
    </w:p>
    <w:p w14:paraId="26ADBF70" w14:textId="77777777" w:rsidR="00D25D92" w:rsidRDefault="00D25D92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7295EB26" w14:textId="77777777" w:rsidR="00F47DEA" w:rsidRDefault="00F47DEA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  <w:r w:rsidRPr="00FE3A7E">
        <w:rPr>
          <w:rFonts w:ascii="Arial" w:eastAsia="Times New Roman" w:hAnsi="Arial" w:cs="Arial"/>
        </w:rPr>
        <w:t xml:space="preserve">The geometric average of the individual results determined from the procedure above is then used in the following formula to calculate </w:t>
      </w:r>
      <w:proofErr w:type="gramStart"/>
      <w:r w:rsidRPr="00FE3A7E">
        <w:rPr>
          <w:rFonts w:ascii="Arial" w:eastAsia="Times New Roman" w:hAnsi="Arial" w:cs="Arial"/>
        </w:rPr>
        <w:t>the final result</w:t>
      </w:r>
      <w:proofErr w:type="gramEnd"/>
      <w:r w:rsidRPr="00FE3A7E">
        <w:rPr>
          <w:rFonts w:ascii="Arial" w:eastAsia="Times New Roman" w:hAnsi="Arial" w:cs="Arial"/>
        </w:rPr>
        <w:t xml:space="preserve"> for reporting.</w:t>
      </w:r>
    </w:p>
    <w:p w14:paraId="7C6B0B3C" w14:textId="77777777" w:rsidR="00D25D92" w:rsidRPr="00FE3A7E" w:rsidRDefault="00D25D92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319AF582" w14:textId="77777777" w:rsidR="00F47DEA" w:rsidRPr="00FE3A7E" w:rsidRDefault="00F47DEA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20C947AE" w14:textId="4451B87C" w:rsidR="00F47DEA" w:rsidRPr="00FE3A7E" w:rsidRDefault="009845C4" w:rsidP="004E250C">
      <w:pPr>
        <w:pStyle w:val="ListParagraph"/>
        <w:ind w:left="1260"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2284E3EF" wp14:editId="0DDEC8C7">
            <wp:extent cx="3000375" cy="419100"/>
            <wp:effectExtent l="0" t="0" r="0" b="0"/>
            <wp:docPr id="1" name="Picture 1" descr="formula for MPN fecal coliform per g calculation. 10 times MPN index per 100 mL divided by the largest volume times percent dry sol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ormula for MPN fecal coliform per g calculation. 10 times MPN index per 100 mL divided by the largest volume times percent dry soli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FB4AD" w14:textId="77777777" w:rsidR="00F47DEA" w:rsidRPr="00FE3A7E" w:rsidRDefault="00F47DEA" w:rsidP="003C7087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0F534238" w14:textId="77777777" w:rsidR="00D25D92" w:rsidRDefault="00D25D92" w:rsidP="004E250C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08200B01" w14:textId="77777777" w:rsidR="00F47DEA" w:rsidRPr="00FE3A7E" w:rsidRDefault="00F47DEA" w:rsidP="004E250C">
      <w:pPr>
        <w:pStyle w:val="ListParagraph"/>
        <w:ind w:left="0"/>
        <w:jc w:val="both"/>
        <w:rPr>
          <w:rFonts w:ascii="Arial" w:eastAsia="Times New Roman" w:hAnsi="Arial" w:cs="Arial"/>
        </w:rPr>
      </w:pPr>
      <w:r w:rsidRPr="00FE3A7E">
        <w:rPr>
          <w:rFonts w:ascii="Arial" w:eastAsia="Times New Roman" w:hAnsi="Arial" w:cs="Arial"/>
        </w:rPr>
        <w:t xml:space="preserve">NOTE: </w:t>
      </w:r>
      <w:r w:rsidR="004E250C">
        <w:rPr>
          <w:rFonts w:ascii="Arial" w:eastAsia="Times New Roman" w:hAnsi="Arial" w:cs="Arial"/>
        </w:rPr>
        <w:t>“</w:t>
      </w:r>
      <w:r w:rsidRPr="00FE3A7E">
        <w:rPr>
          <w:rFonts w:ascii="Arial" w:eastAsia="Times New Roman" w:hAnsi="Arial" w:cs="Arial"/>
        </w:rPr>
        <w:t>% dry solids</w:t>
      </w:r>
      <w:r w:rsidR="004E250C">
        <w:rPr>
          <w:rFonts w:ascii="Arial" w:eastAsia="Times New Roman" w:hAnsi="Arial" w:cs="Arial"/>
        </w:rPr>
        <w:t>”</w:t>
      </w:r>
      <w:r w:rsidRPr="00FE3A7E">
        <w:rPr>
          <w:rFonts w:ascii="Arial" w:eastAsia="Times New Roman" w:hAnsi="Arial" w:cs="Arial"/>
        </w:rPr>
        <w:t xml:space="preserve"> is </w:t>
      </w:r>
      <w:r w:rsidRPr="00FE3A7E">
        <w:rPr>
          <w:rFonts w:ascii="Arial" w:eastAsia="Times New Roman" w:hAnsi="Arial" w:cs="Arial"/>
          <w:b/>
          <w:u w:val="single"/>
        </w:rPr>
        <w:t>not</w:t>
      </w:r>
      <w:r w:rsidRPr="00FE3A7E">
        <w:rPr>
          <w:rFonts w:ascii="Arial" w:eastAsia="Times New Roman" w:hAnsi="Arial" w:cs="Arial"/>
        </w:rPr>
        <w:t xml:space="preserve"> in decimal form.</w:t>
      </w:r>
    </w:p>
    <w:p w14:paraId="5052E2BB" w14:textId="77777777" w:rsidR="00D25D92" w:rsidRPr="00FE3A7E" w:rsidRDefault="00D25D92" w:rsidP="004E250C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16D0F0B6" w14:textId="77777777" w:rsidR="00583E26" w:rsidRDefault="00F47DEA" w:rsidP="004E250C">
      <w:pPr>
        <w:pStyle w:val="ListParagraph"/>
        <w:ind w:left="0"/>
        <w:jc w:val="both"/>
        <w:rPr>
          <w:rFonts w:ascii="Arial" w:eastAsia="Times New Roman" w:hAnsi="Arial" w:cs="Arial"/>
        </w:rPr>
      </w:pPr>
      <w:r w:rsidRPr="00FE3A7E">
        <w:rPr>
          <w:rFonts w:ascii="Arial" w:eastAsia="Times New Roman" w:hAnsi="Arial" w:cs="Arial"/>
        </w:rPr>
        <w:t>NOTE: “largest volume” refers to the volume of the original mixture (</w:t>
      </w:r>
      <w:r w:rsidR="003C7087">
        <w:rPr>
          <w:rFonts w:ascii="Arial" w:eastAsia="Times New Roman" w:hAnsi="Arial" w:cs="Arial"/>
        </w:rPr>
        <w:t xml:space="preserve">e.g., </w:t>
      </w:r>
      <w:r w:rsidRPr="00FE3A7E">
        <w:rPr>
          <w:rFonts w:ascii="Arial" w:eastAsia="Times New Roman" w:hAnsi="Arial" w:cs="Arial"/>
        </w:rPr>
        <w:t xml:space="preserve">30g in 270 mL) that is in 1 mL of the solution that is </w:t>
      </w:r>
      <w:proofErr w:type="gramStart"/>
      <w:r w:rsidRPr="00FE3A7E">
        <w:rPr>
          <w:rFonts w:ascii="Arial" w:eastAsia="Times New Roman" w:hAnsi="Arial" w:cs="Arial"/>
        </w:rPr>
        <w:t>actually incubated</w:t>
      </w:r>
      <w:proofErr w:type="gramEnd"/>
      <w:r w:rsidRPr="00FE3A7E">
        <w:rPr>
          <w:rFonts w:ascii="Arial" w:eastAsia="Times New Roman" w:hAnsi="Arial" w:cs="Arial"/>
        </w:rPr>
        <w:t>.</w:t>
      </w:r>
    </w:p>
    <w:p w14:paraId="68AF223F" w14:textId="77777777" w:rsidR="00286A4D" w:rsidRDefault="00286A4D" w:rsidP="004E250C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14:paraId="21C1CA91" w14:textId="77777777" w:rsidR="00AF7DDF" w:rsidRPr="00FE3A7E" w:rsidRDefault="00AF7DDF" w:rsidP="00286A4D">
      <w:pPr>
        <w:rPr>
          <w:rFonts w:ascii="Arial" w:hAnsi="Arial" w:cs="Arial"/>
        </w:rPr>
      </w:pPr>
    </w:p>
    <w:sectPr w:rsidR="00AF7DDF" w:rsidRPr="00FE3A7E" w:rsidSect="00286A4D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8F94" w14:textId="77777777" w:rsidR="00DA1A05" w:rsidRDefault="00DA1A05" w:rsidP="00583E26">
      <w:pPr>
        <w:spacing w:after="0" w:line="240" w:lineRule="auto"/>
      </w:pPr>
      <w:r>
        <w:separator/>
      </w:r>
    </w:p>
  </w:endnote>
  <w:endnote w:type="continuationSeparator" w:id="0">
    <w:p w14:paraId="7BCD7973" w14:textId="77777777" w:rsidR="00DA1A05" w:rsidRDefault="00DA1A05" w:rsidP="00583E26">
      <w:pPr>
        <w:spacing w:after="0" w:line="240" w:lineRule="auto"/>
      </w:pPr>
      <w:r>
        <w:continuationSeparator/>
      </w:r>
    </w:p>
  </w:endnote>
  <w:endnote w:type="continuationNotice" w:id="1">
    <w:p w14:paraId="20E92FBA" w14:textId="77777777" w:rsidR="00DA1A05" w:rsidRDefault="00DA1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F9A1" w14:textId="77777777" w:rsidR="00DA1A05" w:rsidRDefault="00DA1A05" w:rsidP="00583E26">
      <w:pPr>
        <w:spacing w:after="0" w:line="240" w:lineRule="auto"/>
      </w:pPr>
      <w:r>
        <w:separator/>
      </w:r>
    </w:p>
  </w:footnote>
  <w:footnote w:type="continuationSeparator" w:id="0">
    <w:p w14:paraId="54C008F4" w14:textId="77777777" w:rsidR="00DA1A05" w:rsidRDefault="00DA1A05" w:rsidP="00583E26">
      <w:pPr>
        <w:spacing w:after="0" w:line="240" w:lineRule="auto"/>
      </w:pPr>
      <w:r>
        <w:continuationSeparator/>
      </w:r>
    </w:p>
  </w:footnote>
  <w:footnote w:type="continuationNotice" w:id="1">
    <w:p w14:paraId="199434D5" w14:textId="77777777" w:rsidR="00DA1A05" w:rsidRDefault="00DA1A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4C"/>
    <w:rsid w:val="000A2BCE"/>
    <w:rsid w:val="000D5A54"/>
    <w:rsid w:val="000E4624"/>
    <w:rsid w:val="000E59BC"/>
    <w:rsid w:val="000F145D"/>
    <w:rsid w:val="000F2C27"/>
    <w:rsid w:val="001207BE"/>
    <w:rsid w:val="001249C1"/>
    <w:rsid w:val="00126737"/>
    <w:rsid w:val="00153A0C"/>
    <w:rsid w:val="001619BF"/>
    <w:rsid w:val="0018765E"/>
    <w:rsid w:val="0019134C"/>
    <w:rsid w:val="001C7FEC"/>
    <w:rsid w:val="001F1869"/>
    <w:rsid w:val="001F7A14"/>
    <w:rsid w:val="00222C8E"/>
    <w:rsid w:val="00236952"/>
    <w:rsid w:val="00242CB7"/>
    <w:rsid w:val="0026521B"/>
    <w:rsid w:val="00281A4A"/>
    <w:rsid w:val="00286A4D"/>
    <w:rsid w:val="00296DD9"/>
    <w:rsid w:val="00326432"/>
    <w:rsid w:val="003727B9"/>
    <w:rsid w:val="003B09DA"/>
    <w:rsid w:val="003C7087"/>
    <w:rsid w:val="00454758"/>
    <w:rsid w:val="004E250C"/>
    <w:rsid w:val="005751C1"/>
    <w:rsid w:val="00583E26"/>
    <w:rsid w:val="005861ED"/>
    <w:rsid w:val="005E68EF"/>
    <w:rsid w:val="005F5D0D"/>
    <w:rsid w:val="006407D5"/>
    <w:rsid w:val="00653B22"/>
    <w:rsid w:val="00662410"/>
    <w:rsid w:val="00676BDB"/>
    <w:rsid w:val="006958C8"/>
    <w:rsid w:val="006E00D6"/>
    <w:rsid w:val="00703DDC"/>
    <w:rsid w:val="0070743C"/>
    <w:rsid w:val="007314FF"/>
    <w:rsid w:val="007322CF"/>
    <w:rsid w:val="0077050A"/>
    <w:rsid w:val="00786B77"/>
    <w:rsid w:val="007B33D6"/>
    <w:rsid w:val="007F0E9A"/>
    <w:rsid w:val="00815F04"/>
    <w:rsid w:val="00821FE1"/>
    <w:rsid w:val="00841063"/>
    <w:rsid w:val="00864144"/>
    <w:rsid w:val="0089534A"/>
    <w:rsid w:val="008E0360"/>
    <w:rsid w:val="00902BD3"/>
    <w:rsid w:val="00915321"/>
    <w:rsid w:val="00936EC6"/>
    <w:rsid w:val="00946262"/>
    <w:rsid w:val="00947D37"/>
    <w:rsid w:val="00955D2F"/>
    <w:rsid w:val="00965DBF"/>
    <w:rsid w:val="00982170"/>
    <w:rsid w:val="009845C4"/>
    <w:rsid w:val="00986EF2"/>
    <w:rsid w:val="009A1B31"/>
    <w:rsid w:val="009B0255"/>
    <w:rsid w:val="00A06B55"/>
    <w:rsid w:val="00A31D50"/>
    <w:rsid w:val="00A3691E"/>
    <w:rsid w:val="00A75C28"/>
    <w:rsid w:val="00A8400D"/>
    <w:rsid w:val="00AA58D2"/>
    <w:rsid w:val="00AB1885"/>
    <w:rsid w:val="00AB4EA3"/>
    <w:rsid w:val="00AE2166"/>
    <w:rsid w:val="00AE4597"/>
    <w:rsid w:val="00AF7DDF"/>
    <w:rsid w:val="00B41FCD"/>
    <w:rsid w:val="00B708B5"/>
    <w:rsid w:val="00BA3A50"/>
    <w:rsid w:val="00BC35C7"/>
    <w:rsid w:val="00BD5D9C"/>
    <w:rsid w:val="00BF2D91"/>
    <w:rsid w:val="00C05861"/>
    <w:rsid w:val="00C22AD8"/>
    <w:rsid w:val="00C61594"/>
    <w:rsid w:val="00C61FC6"/>
    <w:rsid w:val="00C640AD"/>
    <w:rsid w:val="00C65554"/>
    <w:rsid w:val="00C97F98"/>
    <w:rsid w:val="00CE374D"/>
    <w:rsid w:val="00D00FE6"/>
    <w:rsid w:val="00D11150"/>
    <w:rsid w:val="00D25D92"/>
    <w:rsid w:val="00D37C92"/>
    <w:rsid w:val="00D444F0"/>
    <w:rsid w:val="00D629D2"/>
    <w:rsid w:val="00D712E9"/>
    <w:rsid w:val="00DA1A05"/>
    <w:rsid w:val="00DD1C04"/>
    <w:rsid w:val="00DD2CC4"/>
    <w:rsid w:val="00DD666D"/>
    <w:rsid w:val="00DE3AB1"/>
    <w:rsid w:val="00E11869"/>
    <w:rsid w:val="00E469A4"/>
    <w:rsid w:val="00E93134"/>
    <w:rsid w:val="00E978F9"/>
    <w:rsid w:val="00EC057D"/>
    <w:rsid w:val="00ED0463"/>
    <w:rsid w:val="00ED4028"/>
    <w:rsid w:val="00F404A3"/>
    <w:rsid w:val="00F47DEA"/>
    <w:rsid w:val="00F53066"/>
    <w:rsid w:val="00F65F89"/>
    <w:rsid w:val="00F753C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91D356E"/>
  <w15:chartTrackingRefBased/>
  <w15:docId w15:val="{264E8263-1F1F-4FDA-86B0-D8B3714A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E26"/>
  </w:style>
  <w:style w:type="paragraph" w:styleId="Footer">
    <w:name w:val="footer"/>
    <w:basedOn w:val="Normal"/>
    <w:link w:val="FooterChar"/>
    <w:uiPriority w:val="99"/>
    <w:unhideWhenUsed/>
    <w:rsid w:val="00583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E26"/>
  </w:style>
  <w:style w:type="paragraph" w:styleId="BalloonText">
    <w:name w:val="Balloon Text"/>
    <w:basedOn w:val="Normal"/>
    <w:link w:val="BalloonTextChar"/>
    <w:uiPriority w:val="99"/>
    <w:semiHidden/>
    <w:unhideWhenUsed/>
    <w:rsid w:val="0028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6A4D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61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5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5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FD2557-6F6B-4C11-9827-38B9E0953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46090-C19D-4DD7-92DC-E89E318375FB}"/>
</file>

<file path=customXml/itemProps3.xml><?xml version="1.0" encoding="utf-8"?>
<ds:datastoreItem xmlns:ds="http://schemas.openxmlformats.org/officeDocument/2006/customXml" ds:itemID="{45BCEAFB-683D-4849-BDEB-D82CF5DE36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906CD9-BCE9-4FF6-B051-7F43F7B1E5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Todd</dc:creator>
  <cp:keywords/>
  <dc:description/>
  <cp:lastModifiedBy>Swanson, Beth</cp:lastModifiedBy>
  <cp:revision>2</cp:revision>
  <dcterms:created xsi:type="dcterms:W3CDTF">2025-12-09T18:22:00Z</dcterms:created>
  <dcterms:modified xsi:type="dcterms:W3CDTF">2025-12-09T18:22:00Z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Crawford, Todd</vt:lpwstr>
  </property>
  <property fmtid="{D5CDD505-2E9C-101B-9397-08002B2CF9AE}" pid="5" name="display_urn:schemas-microsoft-com:office:office#Author">
    <vt:lpwstr>Crawford, Todd</vt:lpwstr>
  </property>
  <property fmtid="{D5CDD505-2E9C-101B-9397-08002B2CF9AE}" pid="6" name="_ExtendedDescription">
    <vt:lpwstr/>
  </property>
  <property fmtid="{D5CDD505-2E9C-101B-9397-08002B2CF9AE}" pid="7" name="ContentTypeId">
    <vt:lpwstr>0x0101003A8160F1F83AD343AA5ADD21600CAC3F</vt:lpwstr>
  </property>
</Properties>
</file>