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position w:val="2"/>
        </w:rPr>
        <w:t>BOD</w:t>
      </w:r>
      <w:r>
        <w:rPr>
          <w:sz w:val="14"/>
        </w:rPr>
        <w:t>5</w:t>
      </w:r>
      <w:r>
        <w:rPr>
          <w:position w:val="2"/>
        </w:rPr>
        <w:t>/CBOD</w:t>
      </w:r>
      <w:r>
        <w:rPr>
          <w:sz w:val="14"/>
        </w:rPr>
        <w:t>5</w:t>
      </w:r>
      <w:r>
        <w:rPr>
          <w:spacing w:val="15"/>
          <w:sz w:val="14"/>
        </w:rPr>
        <w:t> </w:t>
      </w:r>
      <w:r>
        <w:rPr>
          <w:position w:val="2"/>
        </w:rPr>
        <w:t>Quality</w:t>
      </w:r>
      <w:r>
        <w:rPr>
          <w:spacing w:val="-6"/>
          <w:position w:val="2"/>
        </w:rPr>
        <w:t> </w:t>
      </w:r>
      <w:r>
        <w:rPr>
          <w:position w:val="2"/>
        </w:rPr>
        <w:t>Control</w:t>
      </w:r>
      <w:r>
        <w:rPr>
          <w:spacing w:val="-8"/>
          <w:position w:val="2"/>
        </w:rPr>
        <w:t> </w:t>
      </w:r>
      <w:r>
        <w:rPr>
          <w:position w:val="2"/>
        </w:rPr>
        <w:t>Failure</w:t>
      </w:r>
      <w:r>
        <w:rPr>
          <w:spacing w:val="-6"/>
          <w:position w:val="2"/>
        </w:rPr>
        <w:t> </w:t>
      </w:r>
      <w:r>
        <w:rPr>
          <w:position w:val="2"/>
        </w:rPr>
        <w:t>Flagging</w:t>
      </w:r>
      <w:r>
        <w:rPr>
          <w:spacing w:val="-9"/>
          <w:position w:val="2"/>
        </w:rPr>
        <w:t> </w:t>
      </w:r>
      <w:r>
        <w:rPr>
          <w:spacing w:val="-2"/>
          <w:position w:val="2"/>
        </w:rPr>
        <w:t>Policy</w:t>
      </w:r>
    </w:p>
    <w:p>
      <w:pPr>
        <w:pStyle w:val="BodyText"/>
        <w:spacing w:line="251" w:lineRule="exact"/>
        <w:ind w:left="2769" w:right="2785"/>
        <w:jc w:val="center"/>
      </w:pPr>
      <w:r>
        <w:rPr/>
        <w:t>(NC</w:t>
      </w:r>
      <w:r>
        <w:rPr>
          <w:spacing w:val="-3"/>
        </w:rPr>
        <w:t> </w:t>
      </w:r>
      <w:r>
        <w:rPr/>
        <w:t>WW/GW</w:t>
      </w:r>
      <w:r>
        <w:rPr>
          <w:spacing w:val="-3"/>
        </w:rPr>
        <w:t> </w:t>
      </w:r>
      <w:r>
        <w:rPr/>
        <w:t>LCB</w:t>
      </w:r>
      <w:r>
        <w:rPr>
          <w:spacing w:val="-2"/>
        </w:rPr>
        <w:t> 08/06/2021)</w:t>
      </w:r>
    </w:p>
    <w:p>
      <w:pPr>
        <w:pStyle w:val="BodyText"/>
        <w:spacing w:before="3"/>
      </w:pPr>
    </w:p>
    <w:p>
      <w:pPr>
        <w:pStyle w:val="BodyText"/>
        <w:ind w:left="100"/>
      </w:pPr>
      <w:r>
        <w:rPr/>
        <w:t>Anytime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quality</w:t>
      </w:r>
      <w:r>
        <w:rPr>
          <w:spacing w:val="-4"/>
        </w:rPr>
        <w:t> </w:t>
      </w:r>
      <w:r>
        <w:rPr/>
        <w:t>control</w:t>
      </w:r>
      <w:r>
        <w:rPr>
          <w:spacing w:val="-6"/>
        </w:rPr>
        <w:t> </w:t>
      </w:r>
      <w:r>
        <w:rPr/>
        <w:t>failures</w:t>
      </w:r>
      <w:r>
        <w:rPr>
          <w:spacing w:val="-4"/>
        </w:rPr>
        <w:t> </w:t>
      </w:r>
      <w:r>
        <w:rPr/>
        <w:t>occur,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2"/>
        </w:rPr>
        <w:t>flagged.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174" w:after="0"/>
        <w:ind w:left="1540" w:right="118" w:hanging="720"/>
        <w:jc w:val="both"/>
        <w:rPr>
          <w:sz w:val="22"/>
        </w:rPr>
      </w:pPr>
      <w:r>
        <w:rPr>
          <w:sz w:val="22"/>
        </w:rPr>
        <w:t>No sample dilutions deplete at least 2.0 mg/L DO and have a residual of at least 1.0 mg/L DO (unless 100% sample is analyzed).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0" w:after="0"/>
        <w:ind w:left="1540" w:right="0" w:hanging="720"/>
        <w:jc w:val="left"/>
        <w:rPr>
          <w:sz w:val="22"/>
        </w:rPr>
      </w:pP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dilutions</w:t>
      </w:r>
      <w:r>
        <w:rPr>
          <w:spacing w:val="-4"/>
          <w:sz w:val="22"/>
        </w:rPr>
        <w:t> </w:t>
      </w:r>
      <w:r>
        <w:rPr>
          <w:sz w:val="22"/>
        </w:rPr>
        <w:t>result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residual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&lt;1.0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mg/L.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0" w:after="0"/>
        <w:ind w:left="1540" w:right="0" w:hanging="720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average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depletion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dilution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5"/>
          <w:sz w:val="22"/>
        </w:rPr>
        <w:t> </w:t>
      </w:r>
      <w:r>
        <w:rPr>
          <w:sz w:val="22"/>
        </w:rPr>
        <w:t>blanks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greater</w:t>
      </w:r>
      <w:r>
        <w:rPr>
          <w:spacing w:val="-5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0.2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mg/L.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1" w:after="0"/>
        <w:ind w:left="1540" w:right="112" w:hanging="720"/>
        <w:jc w:val="both"/>
        <w:rPr>
          <w:sz w:val="22"/>
        </w:rPr>
      </w:pPr>
      <w:r>
        <w:rPr>
          <w:sz w:val="22"/>
        </w:rPr>
        <w:t>The average of the three Glucose - Glutamic Acid (GGA) check standards falls outside the acceptance limits [i.e., 198 mg/L ±</w:t>
      </w:r>
      <w:r>
        <w:rPr>
          <w:spacing w:val="-1"/>
          <w:sz w:val="22"/>
        </w:rPr>
        <w:t> </w:t>
      </w:r>
      <w:r>
        <w:rPr>
          <w:sz w:val="22"/>
        </w:rPr>
        <w:t>30.5 mg/L (167.5 – 228.5 mg/L) or as determined by control chart prescribed in Footnote 85 of Table IB in 40 CFR Part 136.3, July 19, 2021]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0" w:after="0"/>
        <w:ind w:left="1540" w:right="110" w:hanging="720"/>
        <w:jc w:val="both"/>
        <w:rPr>
          <w:sz w:val="22"/>
        </w:rPr>
      </w:pPr>
      <w:r>
        <w:rPr>
          <w:sz w:val="22"/>
        </w:rPr>
        <w:t>Duplicate dilutions of the same sample vary more than the laboratory established acceptance </w:t>
      </w:r>
      <w:r>
        <w:rPr>
          <w:spacing w:val="-2"/>
          <w:sz w:val="22"/>
        </w:rPr>
        <w:t>limit.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0" w:after="0"/>
        <w:ind w:left="1540" w:right="113" w:hanging="720"/>
        <w:jc w:val="both"/>
        <w:rPr>
          <w:sz w:val="22"/>
        </w:rPr>
      </w:pPr>
      <w:r>
        <w:rPr>
          <w:sz w:val="22"/>
        </w:rPr>
        <w:t>Valid high and low (i.e., from different dilutions) calculated values of the same sample vary by more than 30%.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0" w:lineRule="auto" w:before="0" w:after="0"/>
        <w:ind w:left="1540" w:right="119" w:hanging="720"/>
        <w:jc w:val="both"/>
        <w:rPr>
          <w:sz w:val="22"/>
        </w:rPr>
      </w:pPr>
      <w:r>
        <w:rPr>
          <w:sz w:val="22"/>
        </w:rPr>
        <w:t>No seed control dilutions deplete at least 2.0 mg/L DO and have a residual of at least 1.0 mg/L </w:t>
      </w:r>
      <w:r>
        <w:rPr>
          <w:spacing w:val="-4"/>
          <w:sz w:val="22"/>
        </w:rPr>
        <w:t>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/>
        <w:t>The</w:t>
      </w:r>
      <w:r>
        <w:rPr>
          <w:spacing w:val="-5"/>
        </w:rPr>
        <w:t> </w:t>
      </w:r>
      <w:r>
        <w:rPr/>
        <w:t>qualifying</w:t>
      </w:r>
      <w:r>
        <w:rPr>
          <w:spacing w:val="-4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laboratory</w:t>
      </w:r>
      <w:r>
        <w:rPr>
          <w:spacing w:val="-5"/>
        </w:rPr>
        <w:t> </w:t>
      </w:r>
      <w:r>
        <w:rPr/>
        <w:t>report</w:t>
      </w:r>
      <w:r>
        <w:rPr>
          <w:spacing w:val="-5"/>
        </w:rPr>
        <w:t> </w:t>
      </w:r>
      <w:r>
        <w:rPr/>
        <w:t>form</w:t>
      </w:r>
      <w:r>
        <w:rPr>
          <w:spacing w:val="-4"/>
        </w:rPr>
        <w:t> </w:t>
      </w:r>
      <w:r>
        <w:rPr/>
        <w:t>and/or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DMR</w:t>
      </w:r>
      <w:r>
        <w:rPr>
          <w:spacing w:val="-7"/>
        </w:rPr>
        <w:t> </w:t>
      </w:r>
      <w:r>
        <w:rPr/>
        <w:t>must</w:t>
      </w:r>
      <w:r>
        <w:rPr>
          <w:spacing w:val="-1"/>
        </w:rPr>
        <w:t> </w:t>
      </w:r>
      <w:r>
        <w:rPr>
          <w:spacing w:val="-2"/>
        </w:rPr>
        <w:t>state: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40" w:lineRule="auto" w:before="1" w:after="0"/>
        <w:ind w:left="1540" w:right="0" w:hanging="720"/>
        <w:jc w:val="left"/>
        <w:rPr>
          <w:sz w:val="22"/>
        </w:rPr>
      </w:pP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QC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3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met,</w:t>
      </w:r>
      <w:r>
        <w:rPr>
          <w:spacing w:val="-4"/>
          <w:sz w:val="22"/>
        </w:rPr>
        <w:t> and;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40" w:lineRule="auto" w:before="0" w:after="0"/>
        <w:ind w:left="1540" w:right="113" w:hanging="720"/>
        <w:jc w:val="both"/>
        <w:rPr>
          <w:sz w:val="22"/>
        </w:rPr>
      </w:pPr>
      <w:r>
        <w:rPr>
          <w:sz w:val="22"/>
        </w:rPr>
        <w:t>What QC failures were involved. For example, “blank average value was &gt;0.2 mg/L”, “GGA was less than 167.5 mg/L”, “duplicates exceeded the acceptance criterion due to low BOD concentration”, etc.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It is recommended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 laboratory supervisor</w:t>
      </w:r>
      <w:r>
        <w:rPr>
          <w:spacing w:val="-1"/>
        </w:rPr>
        <w:t> </w:t>
      </w:r>
      <w:r>
        <w:rPr/>
        <w:t>include a statement indicating whether the</w:t>
      </w:r>
      <w:r>
        <w:rPr>
          <w:spacing w:val="-1"/>
        </w:rPr>
        <w:t> </w:t>
      </w:r>
      <w:r>
        <w:rPr/>
        <w:t>data is considered “valid”, “questionable”, or “invalid”. This is a subjective decision based upon the severity of the QC failure and its impact on the value reported.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100" w:right="118"/>
        <w:jc w:val="both"/>
      </w:pPr>
      <w:r>
        <w:rPr/>
        <w:t>Data must always be reported. Accompanying documentation may be attached to justify any data believed to be questionable or invalid.</w:t>
      </w:r>
    </w:p>
    <w:sectPr>
      <w:type w:val="continuous"/>
      <w:pgSz w:w="12240" w:h="15840"/>
      <w:pgMar w:top="64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54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4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4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4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 w:line="254" w:lineRule="exact"/>
      <w:ind w:left="2770" w:right="2785"/>
      <w:jc w:val="center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40" w:hanging="720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088c13a3bcd13446bdec31b312f48e1a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6c38d145d7b35516c8d44bb1013affd5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D113E7-9586-4938-8F54-1FDF160B9969}"/>
</file>

<file path=customXml/itemProps2.xml><?xml version="1.0" encoding="utf-8"?>
<ds:datastoreItem xmlns:ds="http://schemas.openxmlformats.org/officeDocument/2006/customXml" ds:itemID="{021E9352-C45C-450E-BDC8-8BD84D70E2FB}"/>
</file>

<file path=customXml/itemProps3.xml><?xml version="1.0" encoding="utf-8"?>
<ds:datastoreItem xmlns:ds="http://schemas.openxmlformats.org/officeDocument/2006/customXml" ds:itemID="{1FCC5586-C859-4582-A021-29F5F89A2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W. Francies</dc:creator>
  <dcterms:created xsi:type="dcterms:W3CDTF">2023-08-09T18:22:10Z</dcterms:created>
  <dcterms:modified xsi:type="dcterms:W3CDTF">2023-08-09T18:22:10Z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0x0101003A8160F1F83AD343AA5ADD21600CAC3F</vt:lpwstr>
  </property>
  <property fmtid="{D5CDD505-2E9C-101B-9397-08002B2CF9AE}" pid="7" name="Order">
    <vt:r8>11741300</vt:r8>
  </property>
  <property fmtid="{D5CDD505-2E9C-101B-9397-08002B2CF9AE}" pid="8" name="_ExtendedDescription">
    <vt:lpwstr/>
  </property>
</Properties>
</file>