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56C5B" w14:textId="77777777" w:rsidR="00326D9E" w:rsidRDefault="00326D9E">
      <w:pPr>
        <w:pStyle w:val="BodyText2"/>
      </w:pPr>
      <w:r>
        <w:t>Internal Guidance: Organics Headworks Analysis for POTWs with Pharmaceutical Industries</w:t>
      </w:r>
    </w:p>
    <w:p w14:paraId="2F9A8892" w14:textId="77777777" w:rsidR="00326D9E" w:rsidRDefault="00326D9E">
      <w:pPr>
        <w:pBdr>
          <w:bottom w:val="single" w:sz="12" w:space="1" w:color="auto"/>
        </w:pBdr>
        <w:jc w:val="both"/>
      </w:pPr>
    </w:p>
    <w:p w14:paraId="567614A4" w14:textId="77777777" w:rsidR="00326D9E" w:rsidRDefault="00326D9E">
      <w:pPr>
        <w:jc w:val="both"/>
      </w:pPr>
    </w:p>
    <w:p w14:paraId="0B02BBFC" w14:textId="77777777" w:rsidR="00326D9E" w:rsidRDefault="00326D9E">
      <w:pPr>
        <w:pStyle w:val="BodyText"/>
        <w:rPr>
          <w:sz w:val="22"/>
        </w:rPr>
      </w:pPr>
      <w:r>
        <w:rPr>
          <w:sz w:val="22"/>
        </w:rPr>
        <w:t xml:space="preserve">The Pharmaceutical Organics Headworks Analysis (POHWA) is required for certain Pollutants of Concern (POCs) in the Pharmaceutical Manufacturing Point Source Categorical Regulations, 40 CFR - Chapter I - PART 439.  Only six compounds from the </w:t>
      </w:r>
    </w:p>
    <w:p w14:paraId="02F27550" w14:textId="77777777" w:rsidR="00326D9E" w:rsidRDefault="00326D9E">
      <w:pPr>
        <w:pStyle w:val="BodyText"/>
        <w:rPr>
          <w:sz w:val="22"/>
        </w:rPr>
      </w:pPr>
      <w:r>
        <w:rPr>
          <w:sz w:val="22"/>
        </w:rPr>
        <w:t xml:space="preserve">POHWA </w:t>
      </w:r>
      <w:proofErr w:type="gramStart"/>
      <w:r>
        <w:rPr>
          <w:sz w:val="22"/>
        </w:rPr>
        <w:t>spreadsheet</w:t>
      </w:r>
      <w:proofErr w:type="gramEnd"/>
      <w:r>
        <w:rPr>
          <w:sz w:val="22"/>
        </w:rPr>
        <w:t xml:space="preserve"> are also listed in the pharmaceutical categorical regulations.  POTWs with one or more categorical pharmaceutical SIUs are required to complete the POHWA for onl</w:t>
      </w:r>
      <w:r w:rsidR="001833A1">
        <w:rPr>
          <w:sz w:val="22"/>
        </w:rPr>
        <w:t>y those listed POCs.</w:t>
      </w:r>
    </w:p>
    <w:p w14:paraId="2A8B2B78" w14:textId="77777777" w:rsidR="00326D9E" w:rsidRDefault="00326D9E">
      <w:pPr>
        <w:jc w:val="both"/>
        <w:rPr>
          <w:sz w:val="22"/>
        </w:rPr>
      </w:pPr>
    </w:p>
    <w:p w14:paraId="380F7748" w14:textId="77777777" w:rsidR="00326D9E" w:rsidRDefault="00326D9E">
      <w:pPr>
        <w:jc w:val="both"/>
        <w:rPr>
          <w:sz w:val="22"/>
        </w:rPr>
      </w:pPr>
      <w:r>
        <w:rPr>
          <w:sz w:val="22"/>
        </w:rPr>
        <w:t>Steps to follow:</w:t>
      </w:r>
    </w:p>
    <w:p w14:paraId="445FEA16" w14:textId="77777777" w:rsidR="00326D9E" w:rsidRDefault="00326D9E">
      <w:pPr>
        <w:jc w:val="both"/>
        <w:rPr>
          <w:sz w:val="22"/>
        </w:rPr>
      </w:pPr>
    </w:p>
    <w:p w14:paraId="2EA41B2B" w14:textId="77777777" w:rsidR="00326D9E" w:rsidRDefault="00326D9E">
      <w:pPr>
        <w:numPr>
          <w:ilvl w:val="0"/>
          <w:numId w:val="1"/>
        </w:numPr>
        <w:jc w:val="both"/>
        <w:rPr>
          <w:sz w:val="22"/>
        </w:rPr>
      </w:pPr>
      <w:r>
        <w:rPr>
          <w:sz w:val="22"/>
        </w:rPr>
        <w:t xml:space="preserve">Download the </w:t>
      </w:r>
      <w:hyperlink r:id="rId7" w:history="1">
        <w:r w:rsidRPr="001833A1">
          <w:rPr>
            <w:rStyle w:val="Hyperlink"/>
            <w:sz w:val="22"/>
          </w:rPr>
          <w:t>Pharmaceutical Organics Headworks Analysis</w:t>
        </w:r>
      </w:hyperlink>
      <w:r>
        <w:rPr>
          <w:sz w:val="22"/>
        </w:rPr>
        <w:t xml:space="preserve"> from the Division of Water </w:t>
      </w:r>
      <w:r w:rsidR="001833A1">
        <w:rPr>
          <w:sz w:val="22"/>
        </w:rPr>
        <w:t>Resources</w:t>
      </w:r>
      <w:r>
        <w:rPr>
          <w:sz w:val="22"/>
        </w:rPr>
        <w:t xml:space="preserve"> Website</w:t>
      </w:r>
      <w:r w:rsidR="001833A1">
        <w:rPr>
          <w:sz w:val="22"/>
        </w:rPr>
        <w:t>.</w:t>
      </w:r>
    </w:p>
    <w:p w14:paraId="68B31DE8" w14:textId="77777777" w:rsidR="00326D9E" w:rsidRDefault="00326D9E">
      <w:pPr>
        <w:jc w:val="both"/>
        <w:rPr>
          <w:sz w:val="22"/>
        </w:rPr>
      </w:pPr>
    </w:p>
    <w:p w14:paraId="3A8F2C97" w14:textId="77777777" w:rsidR="00326D9E" w:rsidRDefault="00326D9E">
      <w:pPr>
        <w:numPr>
          <w:ilvl w:val="0"/>
          <w:numId w:val="1"/>
        </w:numPr>
        <w:jc w:val="both"/>
        <w:rPr>
          <w:sz w:val="22"/>
        </w:rPr>
      </w:pPr>
      <w:r>
        <w:rPr>
          <w:sz w:val="22"/>
        </w:rPr>
        <w:t>Enter the necessary information into the POHWA in the blue bordered cells.</w:t>
      </w:r>
    </w:p>
    <w:p w14:paraId="21AE787F" w14:textId="77777777" w:rsidR="00326D9E" w:rsidRDefault="00326D9E">
      <w:pPr>
        <w:numPr>
          <w:ilvl w:val="0"/>
          <w:numId w:val="2"/>
        </w:numPr>
        <w:jc w:val="both"/>
        <w:rPr>
          <w:sz w:val="22"/>
        </w:rPr>
      </w:pPr>
      <w:r>
        <w:rPr>
          <w:sz w:val="22"/>
        </w:rPr>
        <w:t>POTW name</w:t>
      </w:r>
    </w:p>
    <w:p w14:paraId="3D51593C" w14:textId="77777777" w:rsidR="00326D9E" w:rsidRDefault="00326D9E">
      <w:pPr>
        <w:numPr>
          <w:ilvl w:val="0"/>
          <w:numId w:val="2"/>
        </w:numPr>
        <w:jc w:val="both"/>
        <w:rPr>
          <w:sz w:val="22"/>
        </w:rPr>
      </w:pPr>
      <w:r>
        <w:rPr>
          <w:sz w:val="22"/>
        </w:rPr>
        <w:t>POTW Flow, MGD</w:t>
      </w:r>
    </w:p>
    <w:p w14:paraId="74D91601" w14:textId="77777777" w:rsidR="00326D9E" w:rsidRDefault="00326D9E">
      <w:pPr>
        <w:numPr>
          <w:ilvl w:val="0"/>
          <w:numId w:val="2"/>
        </w:numPr>
        <w:jc w:val="both"/>
        <w:rPr>
          <w:sz w:val="22"/>
        </w:rPr>
      </w:pPr>
      <w:r>
        <w:rPr>
          <w:sz w:val="22"/>
        </w:rPr>
        <w:t>7Q10 Stream Flow, MGD</w:t>
      </w:r>
    </w:p>
    <w:p w14:paraId="472E21F1" w14:textId="77777777" w:rsidR="00326D9E" w:rsidRDefault="00326D9E">
      <w:pPr>
        <w:numPr>
          <w:ilvl w:val="0"/>
          <w:numId w:val="2"/>
        </w:numPr>
        <w:jc w:val="both"/>
        <w:rPr>
          <w:sz w:val="22"/>
        </w:rPr>
      </w:pPr>
      <w:r>
        <w:rPr>
          <w:sz w:val="22"/>
        </w:rPr>
        <w:t>Average Stream Flow, MGD</w:t>
      </w:r>
    </w:p>
    <w:p w14:paraId="4FD904E0" w14:textId="77777777" w:rsidR="00326D9E" w:rsidRDefault="00326D9E">
      <w:pPr>
        <w:numPr>
          <w:ilvl w:val="0"/>
          <w:numId w:val="2"/>
        </w:numPr>
        <w:jc w:val="both"/>
        <w:rPr>
          <w:sz w:val="22"/>
        </w:rPr>
      </w:pPr>
      <w:r>
        <w:rPr>
          <w:sz w:val="22"/>
        </w:rPr>
        <w:t>Stream Type (C or WS)</w:t>
      </w:r>
    </w:p>
    <w:p w14:paraId="539CD58C" w14:textId="77777777" w:rsidR="00326D9E" w:rsidRDefault="00326D9E">
      <w:pPr>
        <w:ind w:left="720"/>
        <w:jc w:val="both"/>
        <w:rPr>
          <w:sz w:val="22"/>
        </w:rPr>
      </w:pPr>
    </w:p>
    <w:p w14:paraId="42B94356" w14:textId="77777777" w:rsidR="00326D9E" w:rsidRDefault="00326D9E">
      <w:pPr>
        <w:ind w:left="720"/>
        <w:jc w:val="both"/>
        <w:rPr>
          <w:sz w:val="22"/>
        </w:rPr>
      </w:pPr>
      <w:r>
        <w:rPr>
          <w:sz w:val="22"/>
        </w:rPr>
        <w:t>If you do not know your 7Q10, average stream flow or stream type, please call the Pretreatment Unit for assistance.</w:t>
      </w:r>
    </w:p>
    <w:p w14:paraId="58590E29" w14:textId="77777777" w:rsidR="00326D9E" w:rsidRDefault="00326D9E">
      <w:pPr>
        <w:jc w:val="both"/>
        <w:rPr>
          <w:sz w:val="22"/>
        </w:rPr>
      </w:pPr>
    </w:p>
    <w:p w14:paraId="6B812584" w14:textId="77777777" w:rsidR="00326D9E" w:rsidRDefault="00326D9E">
      <w:pPr>
        <w:numPr>
          <w:ilvl w:val="0"/>
          <w:numId w:val="1"/>
        </w:numPr>
        <w:jc w:val="both"/>
        <w:rPr>
          <w:sz w:val="22"/>
        </w:rPr>
      </w:pPr>
      <w:r>
        <w:rPr>
          <w:sz w:val="22"/>
        </w:rPr>
        <w:t xml:space="preserve">Once the values above are typed in and you have pressed the enter key, the POHWA will automatically compute your Maximum Allowable Headworks Loadings (MAHLs) for all POCs listed in the POHWA.  These will be listed in column P.  </w:t>
      </w:r>
    </w:p>
    <w:p w14:paraId="54892500" w14:textId="77777777" w:rsidR="00326D9E" w:rsidRDefault="00326D9E">
      <w:pPr>
        <w:jc w:val="both"/>
        <w:rPr>
          <w:sz w:val="22"/>
        </w:rPr>
      </w:pPr>
    </w:p>
    <w:p w14:paraId="2C5D4825" w14:textId="77777777" w:rsidR="00326D9E" w:rsidRDefault="00326D9E">
      <w:pPr>
        <w:numPr>
          <w:ilvl w:val="0"/>
          <w:numId w:val="1"/>
        </w:numPr>
        <w:jc w:val="both"/>
        <w:rPr>
          <w:sz w:val="22"/>
        </w:rPr>
      </w:pPr>
      <w:r>
        <w:rPr>
          <w:sz w:val="22"/>
        </w:rPr>
        <w:t xml:space="preserve">Enter the proposed IUP limit for the applicable parameters into the Linked PAT.  POCs with less than 50% MAHL remaining will be automatically flagged in </w:t>
      </w:r>
      <w:r>
        <w:rPr>
          <w:b/>
          <w:sz w:val="22"/>
        </w:rPr>
        <w:t>bold</w:t>
      </w:r>
      <w:r>
        <w:rPr>
          <w:sz w:val="22"/>
        </w:rPr>
        <w:t>. Notify the Pretreatment Unit if any of the POCs are at less than 50% MAHL still available.</w:t>
      </w:r>
    </w:p>
    <w:p w14:paraId="11A57070" w14:textId="77777777" w:rsidR="00326D9E" w:rsidRDefault="00326D9E">
      <w:pPr>
        <w:jc w:val="both"/>
        <w:rPr>
          <w:sz w:val="22"/>
        </w:rPr>
      </w:pPr>
    </w:p>
    <w:p w14:paraId="12D7269F" w14:textId="77777777" w:rsidR="00326D9E" w:rsidRDefault="00326D9E">
      <w:pPr>
        <w:numPr>
          <w:ilvl w:val="0"/>
          <w:numId w:val="1"/>
        </w:numPr>
        <w:jc w:val="both"/>
        <w:rPr>
          <w:sz w:val="22"/>
        </w:rPr>
      </w:pPr>
      <w:r>
        <w:rPr>
          <w:sz w:val="22"/>
        </w:rPr>
        <w:t>Send the summarized industrial data (not lab reports), the POHWA and the PAT to the Division for review.</w:t>
      </w:r>
    </w:p>
    <w:p w14:paraId="62F1627F" w14:textId="77777777" w:rsidR="00326D9E" w:rsidRDefault="00326D9E">
      <w:pPr>
        <w:jc w:val="both"/>
        <w:rPr>
          <w:sz w:val="22"/>
        </w:rPr>
      </w:pPr>
    </w:p>
    <w:p w14:paraId="615C9FF1" w14:textId="77777777" w:rsidR="00326D9E" w:rsidRDefault="00326D9E">
      <w:pPr>
        <w:jc w:val="both"/>
        <w:rPr>
          <w:sz w:val="22"/>
        </w:rPr>
      </w:pPr>
    </w:p>
    <w:p w14:paraId="3970B96B" w14:textId="77777777" w:rsidR="00326D9E" w:rsidRDefault="00326D9E">
      <w:pPr>
        <w:pStyle w:val="BodyText3"/>
        <w:jc w:val="both"/>
      </w:pPr>
      <w:r>
        <w:t xml:space="preserve">The explosivity, PEL and STEL concentrations are given to the right of the MAHL.  If the calculated MAHL is greater </w:t>
      </w:r>
      <w:proofErr w:type="gramStart"/>
      <w:r>
        <w:t>then</w:t>
      </w:r>
      <w:proofErr w:type="gramEnd"/>
      <w:r>
        <w:t xml:space="preserve"> any of these </w:t>
      </w:r>
      <w:proofErr w:type="gramStart"/>
      <w:r>
        <w:t>concentrations</w:t>
      </w:r>
      <w:proofErr w:type="gramEnd"/>
      <w:r>
        <w:t xml:space="preserve"> you may want to consider using the more restrictive value as the basis for assigning permit limits.  See Chapter 5, Section F of the </w:t>
      </w:r>
      <w:r>
        <w:rPr>
          <w:i/>
        </w:rPr>
        <w:t>Comprehensive Guidance for North Carolina Pretreatment Programs (Comprehensive Guide)</w:t>
      </w:r>
      <w:r>
        <w:t xml:space="preserve"> for further information regarding these health and safety issues.    </w:t>
      </w:r>
    </w:p>
    <w:p w14:paraId="348601AF" w14:textId="77777777" w:rsidR="00326D9E" w:rsidRDefault="00326D9E">
      <w:pPr>
        <w:pStyle w:val="BodyText3"/>
        <w:jc w:val="both"/>
      </w:pPr>
    </w:p>
    <w:p w14:paraId="13FB58D0" w14:textId="77777777" w:rsidR="00326D9E" w:rsidRDefault="00326D9E">
      <w:pPr>
        <w:pStyle w:val="BodyText3"/>
        <w:jc w:val="both"/>
      </w:pPr>
      <w:r>
        <w:t>Contact the P</w:t>
      </w:r>
      <w:r w:rsidR="001833A1">
        <w:t>ERCS</w:t>
      </w:r>
      <w:r>
        <w:t xml:space="preserve"> Unit for further assistance.</w:t>
      </w:r>
    </w:p>
    <w:sectPr w:rsidR="00326D9E">
      <w:footerReference w:type="default" r:id="rId8"/>
      <w:pgSz w:w="12240" w:h="15840" w:code="1"/>
      <w:pgMar w:top="1440" w:right="1800" w:bottom="1440" w:left="1800" w:header="720" w:footer="720" w:gutter="0"/>
      <w:paperSrc w:first="257" w:other="2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72B64" w14:textId="77777777" w:rsidR="006333A8" w:rsidRDefault="006333A8" w:rsidP="00326D9E">
      <w:r>
        <w:separator/>
      </w:r>
    </w:p>
  </w:endnote>
  <w:endnote w:type="continuationSeparator" w:id="0">
    <w:p w14:paraId="18FE8716" w14:textId="77777777" w:rsidR="006333A8" w:rsidRDefault="006333A8" w:rsidP="00326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A7F62" w14:textId="77777777" w:rsidR="00326D9E" w:rsidRDefault="00326D9E">
    <w:pPr>
      <w:pStyle w:val="Footer"/>
      <w:rPr>
        <w:snapToGrid w:val="0"/>
      </w:rPr>
    </w:pPr>
    <w:r>
      <w:rPr>
        <w:snapToGrid w:val="0"/>
      </w:rPr>
      <w:t>Draft</w:t>
    </w:r>
  </w:p>
  <w:p w14:paraId="763581BA" w14:textId="77777777" w:rsidR="00326D9E" w:rsidRDefault="00326D9E">
    <w:pPr>
      <w:pStyle w:val="Footer"/>
      <w:rPr>
        <w:snapToGrid w:val="0"/>
      </w:rPr>
    </w:pPr>
    <w:r>
      <w:rPr>
        <w:snapToGrid w:val="0"/>
      </w:rPr>
      <w:t xml:space="preserve">Filename: </w:t>
    </w:r>
    <w:r>
      <w:rPr>
        <w:snapToGrid w:val="0"/>
      </w:rPr>
      <w:fldChar w:fldCharType="begin"/>
    </w:r>
    <w:r>
      <w:rPr>
        <w:snapToGrid w:val="0"/>
      </w:rPr>
      <w:instrText xml:space="preserve"> FILENAME </w:instrText>
    </w:r>
    <w:r>
      <w:rPr>
        <w:snapToGrid w:val="0"/>
      </w:rPr>
      <w:fldChar w:fldCharType="separate"/>
    </w:r>
    <w:r>
      <w:rPr>
        <w:noProof/>
        <w:snapToGrid w:val="0"/>
      </w:rPr>
      <w:t>Pharmaceutical OHWA Guidance</w:t>
    </w:r>
    <w:r>
      <w:rPr>
        <w:snapToGrid w:val="0"/>
      </w:rPr>
      <w:fldChar w:fldCharType="end"/>
    </w:r>
  </w:p>
  <w:p w14:paraId="7DBEC670" w14:textId="77777777" w:rsidR="00326D9E" w:rsidRDefault="00326D9E">
    <w:pPr>
      <w:pStyle w:val="Footer"/>
    </w:pPr>
    <w:r>
      <w:rPr>
        <w:snapToGrid w:val="0"/>
      </w:rPr>
      <w:t xml:space="preserve">Revision Date:  </w:t>
    </w:r>
    <w:proofErr w:type="gramStart"/>
    <w:r>
      <w:rPr>
        <w:snapToGrid w:val="0"/>
      </w:rPr>
      <w:t>September,</w:t>
    </w:r>
    <w:proofErr w:type="gramEnd"/>
    <w:r>
      <w:rPr>
        <w:snapToGrid w:val="0"/>
      </w:rPr>
      <w:t xml:space="preserve"> 2001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EC29F" w14:textId="77777777" w:rsidR="006333A8" w:rsidRDefault="006333A8" w:rsidP="00326D9E">
      <w:r>
        <w:separator/>
      </w:r>
    </w:p>
  </w:footnote>
  <w:footnote w:type="continuationSeparator" w:id="0">
    <w:p w14:paraId="66D19DBC" w14:textId="77777777" w:rsidR="006333A8" w:rsidRDefault="006333A8" w:rsidP="00326D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056A"/>
    <w:multiLevelType w:val="singleLevel"/>
    <w:tmpl w:val="BBC4EA1A"/>
    <w:lvl w:ilvl="0">
      <w:start w:val="1"/>
      <w:numFmt w:val="decimal"/>
      <w:lvlText w:val="%1)"/>
      <w:lvlJc w:val="left"/>
      <w:pPr>
        <w:tabs>
          <w:tab w:val="num" w:pos="720"/>
        </w:tabs>
        <w:ind w:left="720" w:hanging="720"/>
      </w:pPr>
      <w:rPr>
        <w:rFonts w:hint="default"/>
      </w:rPr>
    </w:lvl>
  </w:abstractNum>
  <w:abstractNum w:abstractNumId="1" w15:restartNumberingAfterBreak="0">
    <w:nsid w:val="7AB364EA"/>
    <w:multiLevelType w:val="singleLevel"/>
    <w:tmpl w:val="6CE6424C"/>
    <w:lvl w:ilvl="0">
      <w:start w:val="1"/>
      <w:numFmt w:val="lowerLetter"/>
      <w:lvlText w:val="%1."/>
      <w:lvlJc w:val="left"/>
      <w:pPr>
        <w:tabs>
          <w:tab w:val="num" w:pos="2160"/>
        </w:tabs>
        <w:ind w:left="2160" w:hanging="720"/>
      </w:pPr>
      <w:rPr>
        <w:rFonts w:hint="default"/>
      </w:rPr>
    </w:lvl>
  </w:abstractNum>
  <w:num w:numId="1" w16cid:durableId="1346590562">
    <w:abstractNumId w:val="0"/>
  </w:num>
  <w:num w:numId="2" w16cid:durableId="419104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3A1"/>
    <w:rsid w:val="001833A1"/>
    <w:rsid w:val="00326D9E"/>
    <w:rsid w:val="006333A8"/>
    <w:rsid w:val="00CF4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E3854A"/>
  <w15:chartTrackingRefBased/>
  <w15:docId w15:val="{3529E841-F768-41C2-A052-BA964016D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pPr>
      <w:jc w:val="both"/>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2">
    <w:name w:val="Body Text 2"/>
    <w:basedOn w:val="Normal"/>
    <w:semiHidden/>
    <w:pPr>
      <w:jc w:val="center"/>
    </w:pPr>
    <w:rPr>
      <w:sz w:val="28"/>
    </w:rPr>
  </w:style>
  <w:style w:type="paragraph" w:styleId="BodyText3">
    <w:name w:val="Body Text 3"/>
    <w:basedOn w:val="Normal"/>
    <w:semiHidden/>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ortal.ncdenr.org/c/document_library/get_file?uuid=561d0843-7cac-43ea-8422-c5ee82343e5f&amp;groupId=3836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MEMORANDUM:</vt:lpstr>
    </vt:vector>
  </TitlesOfParts>
  <Company>NC DENR DWQ</Company>
  <LinksUpToDate>false</LinksUpToDate>
  <CharactersWithSpaces>2138</CharactersWithSpaces>
  <SharedDoc>false</SharedDoc>
  <HLinks>
    <vt:vector size="6" baseType="variant">
      <vt:variant>
        <vt:i4>5832779</vt:i4>
      </vt:variant>
      <vt:variant>
        <vt:i4>0</vt:i4>
      </vt:variant>
      <vt:variant>
        <vt:i4>0</vt:i4>
      </vt:variant>
      <vt:variant>
        <vt:i4>5</vt:i4>
      </vt:variant>
      <vt:variant>
        <vt:lpwstr>http://portal.ncdenr.org/c/document_library/get_file?uuid=561d0843-7cac-43ea-8422-c5ee82343e5f&amp;groupId=38364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Keyes_McGee</dc:creator>
  <cp:keywords/>
  <dc:description/>
  <cp:lastModifiedBy>Kuntz, Ricky</cp:lastModifiedBy>
  <cp:revision>2</cp:revision>
  <cp:lastPrinted>2001-09-19T14:25:00Z</cp:lastPrinted>
  <dcterms:created xsi:type="dcterms:W3CDTF">2026-05-27T17:15:00Z</dcterms:created>
  <dcterms:modified xsi:type="dcterms:W3CDTF">2026-05-27T17:15:00Z</dcterms:modified>
</cp:coreProperties>
</file>