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E50D" w14:textId="77777777" w:rsidR="00A350A3" w:rsidRDefault="00A350A3">
      <w:pPr>
        <w:rPr>
          <w:snapToGrid w:val="0"/>
          <w:color w:val="000000"/>
          <w:sz w:val="88"/>
        </w:rPr>
      </w:pPr>
      <w:r>
        <w:rPr>
          <w:b/>
          <w:snapToGrid w:val="0"/>
          <w:color w:val="000000"/>
          <w:sz w:val="88"/>
        </w:rPr>
        <w:t>What To Submit to NCDENR with your POTW’s HWA</w:t>
      </w:r>
      <w:r>
        <w:rPr>
          <w:snapToGrid w:val="0"/>
          <w:color w:val="000000"/>
          <w:sz w:val="88"/>
        </w:rPr>
        <w:t>?</w:t>
      </w:r>
    </w:p>
    <w:p w14:paraId="058AFD7E" w14:textId="77777777" w:rsidR="00A350A3" w:rsidRDefault="00A350A3">
      <w:pPr>
        <w:rPr>
          <w:snapToGrid w:val="0"/>
          <w:color w:val="000000"/>
          <w:sz w:val="88"/>
        </w:rPr>
      </w:pPr>
    </w:p>
    <w:p w14:paraId="402B6F1D" w14:textId="77777777" w:rsidR="00A350A3" w:rsidRDefault="00A350A3">
      <w:pPr>
        <w:numPr>
          <w:ilvl w:val="0"/>
          <w:numId w:val="1"/>
        </w:numPr>
        <w:ind w:left="540" w:hanging="540"/>
        <w:rPr>
          <w:b/>
          <w:snapToGrid w:val="0"/>
          <w:color w:val="000000"/>
          <w:sz w:val="40"/>
        </w:rPr>
      </w:pPr>
      <w:r>
        <w:rPr>
          <w:b/>
          <w:snapToGrid w:val="0"/>
          <w:color w:val="000000"/>
          <w:sz w:val="40"/>
        </w:rPr>
        <w:t>Letter of Transmittal</w:t>
      </w:r>
    </w:p>
    <w:p w14:paraId="5D52890B" w14:textId="77777777" w:rsidR="00A350A3" w:rsidRDefault="00A350A3">
      <w:pPr>
        <w:numPr>
          <w:ilvl w:val="0"/>
          <w:numId w:val="1"/>
        </w:numPr>
        <w:ind w:left="540" w:hanging="540"/>
        <w:rPr>
          <w:b/>
          <w:snapToGrid w:val="0"/>
          <w:color w:val="000000"/>
          <w:sz w:val="40"/>
        </w:rPr>
      </w:pPr>
      <w:r>
        <w:rPr>
          <w:b/>
          <w:snapToGrid w:val="0"/>
          <w:color w:val="000000"/>
          <w:sz w:val="40"/>
        </w:rPr>
        <w:t>Organized Data Summaries-</w:t>
      </w:r>
    </w:p>
    <w:p w14:paraId="42605F36" w14:textId="77777777" w:rsidR="00A350A3" w:rsidRDefault="00A350A3">
      <w:pPr>
        <w:numPr>
          <w:ilvl w:val="0"/>
          <w:numId w:val="1"/>
        </w:numPr>
        <w:ind w:left="1170" w:hanging="450"/>
        <w:rPr>
          <w:b/>
          <w:snapToGrid w:val="0"/>
          <w:color w:val="000000"/>
          <w:sz w:val="40"/>
        </w:rPr>
      </w:pPr>
      <w:r>
        <w:rPr>
          <w:b/>
          <w:snapToGrid w:val="0"/>
          <w:color w:val="000000"/>
          <w:sz w:val="40"/>
        </w:rPr>
        <w:t>L/STMP, SIU, Uncontrollable, and DMR</w:t>
      </w:r>
    </w:p>
    <w:p w14:paraId="063169E5" w14:textId="77777777" w:rsidR="00A350A3" w:rsidRDefault="00A350A3">
      <w:pPr>
        <w:numPr>
          <w:ilvl w:val="0"/>
          <w:numId w:val="1"/>
        </w:numPr>
        <w:ind w:left="1170" w:hanging="450"/>
        <w:rPr>
          <w:b/>
          <w:snapToGrid w:val="0"/>
          <w:color w:val="000000"/>
          <w:sz w:val="40"/>
        </w:rPr>
      </w:pPr>
      <w:r>
        <w:rPr>
          <w:b/>
          <w:snapToGrid w:val="0"/>
          <w:color w:val="000000"/>
          <w:sz w:val="40"/>
        </w:rPr>
        <w:t>Data from all sampling sites in your approved L/STMP</w:t>
      </w:r>
    </w:p>
    <w:p w14:paraId="30B83069" w14:textId="77777777" w:rsidR="00A350A3" w:rsidRDefault="00A350A3">
      <w:pPr>
        <w:numPr>
          <w:ilvl w:val="0"/>
          <w:numId w:val="1"/>
        </w:numPr>
        <w:ind w:left="540" w:hanging="540"/>
        <w:rPr>
          <w:b/>
          <w:snapToGrid w:val="0"/>
          <w:color w:val="000000"/>
          <w:sz w:val="40"/>
        </w:rPr>
      </w:pPr>
      <w:r>
        <w:rPr>
          <w:b/>
          <w:snapToGrid w:val="0"/>
          <w:color w:val="000000"/>
          <w:sz w:val="40"/>
        </w:rPr>
        <w:t>Removal Rate Calculations</w:t>
      </w:r>
    </w:p>
    <w:p w14:paraId="25260B28" w14:textId="77777777" w:rsidR="00A350A3" w:rsidRDefault="00A350A3">
      <w:pPr>
        <w:numPr>
          <w:ilvl w:val="0"/>
          <w:numId w:val="1"/>
        </w:numPr>
        <w:ind w:left="540" w:hanging="540"/>
        <w:rPr>
          <w:b/>
          <w:snapToGrid w:val="0"/>
          <w:color w:val="000000"/>
          <w:sz w:val="40"/>
        </w:rPr>
      </w:pPr>
      <w:r>
        <w:rPr>
          <w:b/>
          <w:snapToGrid w:val="0"/>
          <w:color w:val="000000"/>
          <w:sz w:val="40"/>
        </w:rPr>
        <w:t>Mass Balance Spreadsheet</w:t>
      </w:r>
    </w:p>
    <w:p w14:paraId="3F86BD4C" w14:textId="77777777" w:rsidR="00A350A3" w:rsidRDefault="00A350A3">
      <w:pPr>
        <w:numPr>
          <w:ilvl w:val="0"/>
          <w:numId w:val="1"/>
        </w:numPr>
        <w:ind w:left="540" w:hanging="540"/>
        <w:rPr>
          <w:b/>
          <w:snapToGrid w:val="0"/>
          <w:color w:val="000000"/>
          <w:sz w:val="40"/>
        </w:rPr>
      </w:pPr>
      <w:r>
        <w:rPr>
          <w:b/>
          <w:snapToGrid w:val="0"/>
          <w:color w:val="000000"/>
          <w:sz w:val="40"/>
        </w:rPr>
        <w:t>HWA Spread Sheets</w:t>
      </w:r>
    </w:p>
    <w:p w14:paraId="2F18D631" w14:textId="77777777" w:rsidR="00A350A3" w:rsidRDefault="00A350A3">
      <w:pPr>
        <w:numPr>
          <w:ilvl w:val="0"/>
          <w:numId w:val="1"/>
        </w:numPr>
        <w:ind w:left="1170" w:hanging="450"/>
        <w:rPr>
          <w:b/>
          <w:snapToGrid w:val="0"/>
          <w:color w:val="000000"/>
          <w:sz w:val="40"/>
        </w:rPr>
      </w:pPr>
      <w:r>
        <w:rPr>
          <w:b/>
          <w:snapToGrid w:val="0"/>
          <w:color w:val="000000"/>
          <w:sz w:val="40"/>
        </w:rPr>
        <w:t>MAHL Criteria, MAIL, and Uncontrollable Calculations</w:t>
      </w:r>
    </w:p>
    <w:p w14:paraId="66DDD783" w14:textId="77777777" w:rsidR="00A350A3" w:rsidRDefault="00A350A3">
      <w:pPr>
        <w:numPr>
          <w:ilvl w:val="0"/>
          <w:numId w:val="1"/>
        </w:numPr>
        <w:ind w:left="540" w:hanging="540"/>
        <w:rPr>
          <w:b/>
          <w:snapToGrid w:val="0"/>
          <w:color w:val="000000"/>
          <w:sz w:val="40"/>
        </w:rPr>
      </w:pPr>
      <w:r>
        <w:rPr>
          <w:b/>
          <w:snapToGrid w:val="0"/>
          <w:color w:val="000000"/>
          <w:sz w:val="40"/>
        </w:rPr>
        <w:t>HASL (if necessary)</w:t>
      </w:r>
    </w:p>
    <w:p w14:paraId="67A1A1E4" w14:textId="77777777" w:rsidR="00A350A3" w:rsidRDefault="00A350A3">
      <w:pPr>
        <w:numPr>
          <w:ilvl w:val="0"/>
          <w:numId w:val="1"/>
        </w:numPr>
        <w:ind w:left="540" w:hanging="540"/>
        <w:rPr>
          <w:b/>
          <w:snapToGrid w:val="0"/>
          <w:color w:val="000000"/>
          <w:sz w:val="40"/>
        </w:rPr>
      </w:pPr>
      <w:r>
        <w:rPr>
          <w:b/>
          <w:snapToGrid w:val="0"/>
          <w:color w:val="000000"/>
          <w:sz w:val="40"/>
        </w:rPr>
        <w:t>Allocation Table</w:t>
      </w:r>
    </w:p>
    <w:p w14:paraId="3ECC97D9" w14:textId="77777777" w:rsidR="00A350A3" w:rsidRDefault="00A350A3">
      <w:pPr>
        <w:numPr>
          <w:ilvl w:val="0"/>
          <w:numId w:val="1"/>
        </w:numPr>
        <w:ind w:left="540" w:hanging="540"/>
        <w:rPr>
          <w:b/>
          <w:snapToGrid w:val="0"/>
          <w:color w:val="000000"/>
          <w:sz w:val="40"/>
        </w:rPr>
      </w:pPr>
      <w:r>
        <w:rPr>
          <w:b/>
          <w:snapToGrid w:val="0"/>
          <w:color w:val="000000"/>
          <w:sz w:val="40"/>
        </w:rPr>
        <w:t>Documentation of Design Influent values</w:t>
      </w:r>
    </w:p>
    <w:p w14:paraId="49EA2883" w14:textId="77777777" w:rsidR="00A350A3" w:rsidRDefault="00A350A3">
      <w:pPr>
        <w:numPr>
          <w:ilvl w:val="0"/>
          <w:numId w:val="1"/>
        </w:numPr>
        <w:ind w:left="540" w:hanging="540"/>
        <w:rPr>
          <w:b/>
          <w:snapToGrid w:val="0"/>
          <w:color w:val="000000"/>
          <w:sz w:val="40"/>
        </w:rPr>
      </w:pPr>
      <w:r>
        <w:rPr>
          <w:b/>
          <w:snapToGrid w:val="0"/>
          <w:color w:val="000000"/>
          <w:sz w:val="40"/>
        </w:rPr>
        <w:t>Copy of Land Application or Composting permit</w:t>
      </w:r>
      <w:r w:rsidR="000C0ABF">
        <w:rPr>
          <w:b/>
          <w:snapToGrid w:val="0"/>
          <w:color w:val="000000"/>
          <w:sz w:val="40"/>
        </w:rPr>
        <w:t xml:space="preserve"> – through Attachment B.</w:t>
      </w:r>
    </w:p>
    <w:p w14:paraId="37210AC6" w14:textId="77777777" w:rsidR="00A350A3" w:rsidRDefault="00A350A3">
      <w:pPr>
        <w:numPr>
          <w:ilvl w:val="0"/>
          <w:numId w:val="1"/>
        </w:numPr>
        <w:ind w:left="540" w:hanging="540"/>
        <w:rPr>
          <w:b/>
          <w:snapToGrid w:val="0"/>
          <w:color w:val="000000"/>
          <w:sz w:val="40"/>
        </w:rPr>
      </w:pPr>
      <w:r>
        <w:rPr>
          <w:b/>
          <w:snapToGrid w:val="0"/>
          <w:color w:val="000000"/>
          <w:sz w:val="40"/>
        </w:rPr>
        <w:t xml:space="preserve">Copy of applicable pages of Sludge Annual Report </w:t>
      </w:r>
    </w:p>
    <w:p w14:paraId="09A717F6" w14:textId="77777777" w:rsidR="00A350A3" w:rsidRDefault="00A350A3">
      <w:pPr>
        <w:numPr>
          <w:ilvl w:val="0"/>
          <w:numId w:val="1"/>
        </w:numPr>
        <w:ind w:left="540" w:hanging="540"/>
        <w:rPr>
          <w:snapToGrid w:val="0"/>
          <w:color w:val="000000"/>
          <w:sz w:val="48"/>
        </w:rPr>
      </w:pPr>
      <w:r>
        <w:rPr>
          <w:b/>
          <w:snapToGrid w:val="0"/>
          <w:color w:val="000000"/>
          <w:sz w:val="40"/>
        </w:rPr>
        <w:t>Explanation of Choices, Assumptions, etc.</w:t>
      </w:r>
    </w:p>
    <w:p w14:paraId="6A4EFD86" w14:textId="77777777" w:rsidR="00A350A3" w:rsidRDefault="00A350A3"/>
    <w:sectPr w:rsidR="00A350A3">
      <w:pgSz w:w="12240" w:h="15840" w:code="1"/>
      <w:pgMar w:top="1440" w:right="1800" w:bottom="1440" w:left="1800" w:header="720" w:footer="720" w:gutter="0"/>
      <w:paperSrc w:first="257" w:other="25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03006381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arlett" w:hAnsi="Marlett" w:hint="default"/>
          <w:sz w:val="3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BF"/>
    <w:rsid w:val="000C0ABF"/>
    <w:rsid w:val="00A350A3"/>
    <w:rsid w:val="00F3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02CFE"/>
  <w15:chartTrackingRefBased/>
  <w15:docId w15:val="{C823EA04-141A-4A4B-AAB0-498D5BCD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To Submit to NCDENR</vt:lpstr>
    </vt:vector>
  </TitlesOfParts>
  <Company>NC DENR DWQ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Submit to NCDENR</dc:title>
  <dc:subject/>
  <dc:creator>Keyes_McGee</dc:creator>
  <cp:keywords/>
  <dc:description/>
  <cp:lastModifiedBy>Kuntz, Ricky</cp:lastModifiedBy>
  <cp:revision>2</cp:revision>
  <dcterms:created xsi:type="dcterms:W3CDTF">2026-05-27T17:04:00Z</dcterms:created>
  <dcterms:modified xsi:type="dcterms:W3CDTF">2026-05-27T17:04:00Z</dcterms:modified>
</cp:coreProperties>
</file>