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C15B" w14:textId="77777777" w:rsidR="00E85AE1" w:rsidRDefault="006B7E00">
      <w:pPr>
        <w:pStyle w:val="Heading1"/>
      </w:pPr>
      <w:r>
        <w:t>Mechanical</w:t>
      </w:r>
      <w:r>
        <w:rPr>
          <w:spacing w:val="-9"/>
        </w:rPr>
        <w:t xml:space="preserve"> </w:t>
      </w:r>
      <w:r>
        <w:t>Volumetric</w:t>
      </w:r>
      <w:r>
        <w:rPr>
          <w:spacing w:val="-10"/>
        </w:rPr>
        <w:t xml:space="preserve"> </w:t>
      </w:r>
      <w:r>
        <w:t>Liquid-Dispensing</w:t>
      </w:r>
      <w:r>
        <w:rPr>
          <w:spacing w:val="-11"/>
        </w:rPr>
        <w:t xml:space="preserve"> </w:t>
      </w:r>
      <w:r>
        <w:t>Devices</w:t>
      </w:r>
      <w:r>
        <w:rPr>
          <w:spacing w:val="-8"/>
        </w:rPr>
        <w:t xml:space="preserve"> </w:t>
      </w:r>
      <w:r>
        <w:t>Calibration</w:t>
      </w:r>
      <w:r>
        <w:rPr>
          <w:spacing w:val="-8"/>
        </w:rPr>
        <w:t xml:space="preserve"> </w:t>
      </w:r>
      <w:r>
        <w:rPr>
          <w:spacing w:val="-2"/>
        </w:rPr>
        <w:t>Policy</w:t>
      </w:r>
    </w:p>
    <w:p w14:paraId="1BF3C15C" w14:textId="77777777" w:rsidR="00E85AE1" w:rsidRDefault="006B7E00">
      <w:pPr>
        <w:pStyle w:val="BodyText"/>
        <w:spacing w:line="252" w:lineRule="exact"/>
        <w:ind w:right="358"/>
        <w:jc w:val="center"/>
      </w:pPr>
      <w:r>
        <w:t>(NC</w:t>
      </w:r>
      <w:r>
        <w:rPr>
          <w:spacing w:val="-3"/>
        </w:rPr>
        <w:t xml:space="preserve"> </w:t>
      </w:r>
      <w:r>
        <w:t>WW/GW</w:t>
      </w:r>
      <w:r>
        <w:rPr>
          <w:spacing w:val="-4"/>
        </w:rPr>
        <w:t xml:space="preserve"> </w:t>
      </w:r>
      <w:r>
        <w:t>LCB</w:t>
      </w:r>
      <w:r>
        <w:rPr>
          <w:spacing w:val="-2"/>
        </w:rPr>
        <w:t xml:space="preserve"> 7/6/2021)</w:t>
      </w:r>
    </w:p>
    <w:p w14:paraId="1BF3C15D" w14:textId="77777777" w:rsidR="00E85AE1" w:rsidRDefault="00E85AE1">
      <w:pPr>
        <w:pStyle w:val="BodyText"/>
      </w:pPr>
    </w:p>
    <w:p w14:paraId="1BF3C15E" w14:textId="77777777" w:rsidR="00E85AE1" w:rsidRDefault="00E85AE1">
      <w:pPr>
        <w:pStyle w:val="BodyText"/>
        <w:spacing w:before="1"/>
      </w:pPr>
    </w:p>
    <w:p w14:paraId="1BF3C15F" w14:textId="77777777" w:rsidR="00E85AE1" w:rsidRDefault="006B7E00">
      <w:pPr>
        <w:pStyle w:val="BodyText"/>
        <w:spacing w:before="1"/>
      </w:pPr>
      <w:r>
        <w:t xml:space="preserve">The administrative code requirement relating to mechanical volumetric liquid-dispensing devices for </w:t>
      </w:r>
      <w:r>
        <w:rPr>
          <w:u w:val="single"/>
        </w:rPr>
        <w:t>non-Field laboratories</w:t>
      </w:r>
      <w:r>
        <w:t xml:space="preserve"> is as follows:</w:t>
      </w:r>
    </w:p>
    <w:p w14:paraId="1BF3C160" w14:textId="03E62EAD" w:rsidR="00E85AE1" w:rsidRDefault="006B7E00">
      <w:pPr>
        <w:pStyle w:val="BodyText"/>
        <w:spacing w:before="252"/>
        <w:ind w:left="359" w:right="356"/>
        <w:jc w:val="both"/>
      </w:pPr>
      <w:r>
        <w:t>Mechanical volumetric liquid-dispensing devices (e.g., fixed and adjustable auto-pipettors and bottle-top dispensers) used for critical volume measurements shall be calibrated once every six months</w:t>
      </w:r>
      <w:r>
        <w:t>. Ref: 15A NCAC 02H .0805 (a) (7) (O).</w:t>
      </w:r>
    </w:p>
    <w:p w14:paraId="1BF3C161" w14:textId="77777777" w:rsidR="00E85AE1" w:rsidRDefault="006B7E00">
      <w:pPr>
        <w:pStyle w:val="BodyText"/>
        <w:spacing w:before="252"/>
      </w:pPr>
      <w:r>
        <w:t xml:space="preserve">The administrative code requirement relating to mechanical volumetric liquid-dispensing devices for </w:t>
      </w:r>
      <w:r>
        <w:rPr>
          <w:u w:val="single"/>
        </w:rPr>
        <w:t>Field laboratories</w:t>
      </w:r>
      <w:r>
        <w:t xml:space="preserve"> is as follows:</w:t>
      </w:r>
    </w:p>
    <w:p w14:paraId="1BF3C162" w14:textId="77777777" w:rsidR="00E85AE1" w:rsidRDefault="00E85AE1">
      <w:pPr>
        <w:pStyle w:val="BodyText"/>
        <w:spacing w:before="1"/>
      </w:pPr>
    </w:p>
    <w:p w14:paraId="1BF3C163" w14:textId="77777777" w:rsidR="00E85AE1" w:rsidRDefault="006B7E00">
      <w:pPr>
        <w:pStyle w:val="BodyText"/>
        <w:ind w:left="359" w:right="356"/>
        <w:jc w:val="both"/>
      </w:pPr>
      <w:r>
        <w:t xml:space="preserve">Mechanical volumetric liquid-dispensing devices (e.g., fixed and adjustable auto-pipettors and bottle-top dispensers) used for critical volume measurements </w:t>
      </w:r>
      <w:proofErr w:type="gramStart"/>
      <w:r>
        <w:t>shall</w:t>
      </w:r>
      <w:proofErr w:type="gramEnd"/>
      <w:r>
        <w:t xml:space="preserve"> be calibrated once every twelve months. Ref: 15A NCAC 02H .0805 (g) (10).</w:t>
      </w:r>
    </w:p>
    <w:p w14:paraId="1BF3C164" w14:textId="77777777" w:rsidR="00E85AE1" w:rsidRDefault="00E85AE1">
      <w:pPr>
        <w:pStyle w:val="BodyText"/>
      </w:pPr>
    </w:p>
    <w:p w14:paraId="1BF3C165" w14:textId="77777777" w:rsidR="00E85AE1" w:rsidRDefault="00E85AE1">
      <w:pPr>
        <w:pStyle w:val="BodyText"/>
      </w:pPr>
    </w:p>
    <w:p w14:paraId="1BF3C166" w14:textId="77777777" w:rsidR="00E85AE1" w:rsidRDefault="006B7E00">
      <w:pPr>
        <w:pStyle w:val="BodyText"/>
        <w:ind w:right="355"/>
        <w:jc w:val="both"/>
      </w:pPr>
      <w:r>
        <w:t>To demonstrate compliance with these requirements, each liquid-dispensing device</w:t>
      </w:r>
      <w:r>
        <w:rPr>
          <w:spacing w:val="40"/>
        </w:rPr>
        <w:t xml:space="preserve"> </w:t>
      </w:r>
      <w:r>
        <w:t>must meet the manufacturer’s statement of accuracy. For variable volume devices used at more than one setting, check the accuracy at the maximum, middle and minimum values. Testing at more than three volumes is optional. When a device capable of variable settings is dedicated to dispensing a single specific volume, calibration is required at that setting only.</w:t>
      </w:r>
    </w:p>
    <w:p w14:paraId="1BF3C167" w14:textId="77777777" w:rsidR="00E85AE1" w:rsidRDefault="00E85AE1">
      <w:pPr>
        <w:pStyle w:val="BodyText"/>
      </w:pPr>
    </w:p>
    <w:p w14:paraId="1BF3C168" w14:textId="77777777" w:rsidR="00E85AE1" w:rsidRDefault="006B7E00">
      <w:pPr>
        <w:pStyle w:val="BodyText"/>
        <w:jc w:val="both"/>
      </w:pPr>
      <w:r>
        <w:t>Required</w:t>
      </w:r>
      <w:r>
        <w:rPr>
          <w:spacing w:val="-8"/>
        </w:rPr>
        <w:t xml:space="preserve"> </w:t>
      </w:r>
      <w:r>
        <w:t>documentation</w:t>
      </w:r>
      <w:r>
        <w:rPr>
          <w:spacing w:val="-8"/>
        </w:rPr>
        <w:t xml:space="preserve"> </w:t>
      </w:r>
      <w:r>
        <w:t>shall</w:t>
      </w:r>
      <w:r>
        <w:rPr>
          <w:spacing w:val="-7"/>
        </w:rPr>
        <w:t xml:space="preserve"> </w:t>
      </w:r>
      <w:r>
        <w:rPr>
          <w:spacing w:val="-2"/>
        </w:rPr>
        <w:t>include:</w:t>
      </w:r>
    </w:p>
    <w:p w14:paraId="1BF3C169" w14:textId="77777777" w:rsidR="00E85AE1" w:rsidRDefault="00E85AE1">
      <w:pPr>
        <w:pStyle w:val="BodyText"/>
      </w:pPr>
    </w:p>
    <w:p w14:paraId="1BF3C16A" w14:textId="77777777" w:rsidR="00E85AE1" w:rsidRDefault="006B7E00">
      <w:pPr>
        <w:pStyle w:val="ListParagraph"/>
        <w:numPr>
          <w:ilvl w:val="0"/>
          <w:numId w:val="2"/>
        </w:numPr>
        <w:tabs>
          <w:tab w:val="left" w:pos="720"/>
        </w:tabs>
        <w:spacing w:line="269" w:lineRule="exact"/>
        <w:ind w:hanging="360"/>
      </w:pPr>
      <w:r>
        <w:t>Date</w:t>
      </w:r>
      <w:r>
        <w:rPr>
          <w:spacing w:val="-2"/>
        </w:rPr>
        <w:t xml:space="preserve"> performed</w:t>
      </w:r>
    </w:p>
    <w:p w14:paraId="1BF3C16B" w14:textId="77777777" w:rsidR="00E85AE1" w:rsidRDefault="006B7E00">
      <w:pPr>
        <w:pStyle w:val="ListParagraph"/>
        <w:numPr>
          <w:ilvl w:val="0"/>
          <w:numId w:val="2"/>
        </w:numPr>
        <w:tabs>
          <w:tab w:val="left" w:pos="720"/>
        </w:tabs>
        <w:ind w:hanging="360"/>
      </w:pPr>
      <w:r>
        <w:t>Analyst</w:t>
      </w:r>
      <w:r>
        <w:rPr>
          <w:spacing w:val="-3"/>
        </w:rPr>
        <w:t xml:space="preserve"> </w:t>
      </w:r>
      <w:r>
        <w:t>performing</w:t>
      </w:r>
      <w:r>
        <w:rPr>
          <w:spacing w:val="-7"/>
        </w:rPr>
        <w:t xml:space="preserve"> </w:t>
      </w:r>
      <w:r>
        <w:t>the</w:t>
      </w:r>
      <w:r>
        <w:rPr>
          <w:spacing w:val="-6"/>
        </w:rPr>
        <w:t xml:space="preserve"> </w:t>
      </w:r>
      <w:r>
        <w:rPr>
          <w:spacing w:val="-4"/>
        </w:rPr>
        <w:t>test</w:t>
      </w:r>
    </w:p>
    <w:p w14:paraId="1BF3C16C" w14:textId="77777777" w:rsidR="00E85AE1" w:rsidRDefault="006B7E00">
      <w:pPr>
        <w:pStyle w:val="ListParagraph"/>
        <w:numPr>
          <w:ilvl w:val="0"/>
          <w:numId w:val="2"/>
        </w:numPr>
        <w:tabs>
          <w:tab w:val="left" w:pos="720"/>
        </w:tabs>
        <w:ind w:hanging="360"/>
      </w:pPr>
      <w:r>
        <w:t>Unique</w:t>
      </w:r>
      <w:r>
        <w:rPr>
          <w:spacing w:val="-6"/>
        </w:rPr>
        <w:t xml:space="preserve"> </w:t>
      </w:r>
      <w:r>
        <w:t>identifier</w:t>
      </w:r>
      <w:r>
        <w:rPr>
          <w:spacing w:val="-7"/>
        </w:rPr>
        <w:t xml:space="preserve"> </w:t>
      </w:r>
      <w:r>
        <w:t>(e.g.,</w:t>
      </w:r>
      <w:r>
        <w:rPr>
          <w:spacing w:val="-6"/>
        </w:rPr>
        <w:t xml:space="preserve"> </w:t>
      </w:r>
      <w:r>
        <w:t>serial</w:t>
      </w:r>
      <w:r>
        <w:rPr>
          <w:spacing w:val="-6"/>
        </w:rPr>
        <w:t xml:space="preserve"> </w:t>
      </w:r>
      <w:r>
        <w:t>number,</w:t>
      </w:r>
      <w:r>
        <w:rPr>
          <w:spacing w:val="-5"/>
        </w:rPr>
        <w:t xml:space="preserve"> </w:t>
      </w:r>
      <w:r>
        <w:rPr>
          <w:spacing w:val="-4"/>
        </w:rPr>
        <w:t>etc.)</w:t>
      </w:r>
    </w:p>
    <w:p w14:paraId="1BF3C16D" w14:textId="77777777" w:rsidR="00E85AE1" w:rsidRDefault="006B7E00">
      <w:pPr>
        <w:pStyle w:val="ListParagraph"/>
        <w:numPr>
          <w:ilvl w:val="0"/>
          <w:numId w:val="2"/>
        </w:numPr>
        <w:tabs>
          <w:tab w:val="left" w:pos="720"/>
        </w:tabs>
        <w:ind w:hanging="360"/>
      </w:pPr>
      <w:r>
        <w:t>Manufacturer’s</w:t>
      </w:r>
      <w:r>
        <w:rPr>
          <w:spacing w:val="-8"/>
        </w:rPr>
        <w:t xml:space="preserve"> </w:t>
      </w:r>
      <w:r>
        <w:t>specification</w:t>
      </w:r>
      <w:r>
        <w:rPr>
          <w:spacing w:val="-8"/>
        </w:rPr>
        <w:t xml:space="preserve"> </w:t>
      </w:r>
      <w:r>
        <w:t>of</w:t>
      </w:r>
      <w:r>
        <w:rPr>
          <w:spacing w:val="-6"/>
        </w:rPr>
        <w:t xml:space="preserve"> </w:t>
      </w:r>
      <w:r>
        <w:rPr>
          <w:spacing w:val="-2"/>
        </w:rPr>
        <w:t>accuracy</w:t>
      </w:r>
    </w:p>
    <w:p w14:paraId="1BF3C16E" w14:textId="77777777" w:rsidR="00E85AE1" w:rsidRDefault="006B7E00">
      <w:pPr>
        <w:pStyle w:val="ListParagraph"/>
        <w:numPr>
          <w:ilvl w:val="0"/>
          <w:numId w:val="2"/>
        </w:numPr>
        <w:tabs>
          <w:tab w:val="left" w:pos="720"/>
        </w:tabs>
        <w:ind w:hanging="360"/>
      </w:pPr>
      <w:r>
        <w:t>Balance</w:t>
      </w:r>
      <w:r>
        <w:rPr>
          <w:spacing w:val="-8"/>
        </w:rPr>
        <w:t xml:space="preserve"> </w:t>
      </w:r>
      <w:r>
        <w:t>test-weight</w:t>
      </w:r>
      <w:r>
        <w:rPr>
          <w:spacing w:val="-8"/>
        </w:rPr>
        <w:t xml:space="preserve"> </w:t>
      </w:r>
      <w:r>
        <w:rPr>
          <w:spacing w:val="-2"/>
        </w:rPr>
        <w:t>reading</w:t>
      </w:r>
    </w:p>
    <w:p w14:paraId="1BF3C16F" w14:textId="77777777" w:rsidR="00E85AE1" w:rsidRDefault="006B7E00">
      <w:pPr>
        <w:pStyle w:val="ListParagraph"/>
        <w:numPr>
          <w:ilvl w:val="0"/>
          <w:numId w:val="2"/>
        </w:numPr>
        <w:tabs>
          <w:tab w:val="left" w:pos="720"/>
        </w:tabs>
        <w:spacing w:line="269" w:lineRule="exact"/>
        <w:ind w:hanging="360"/>
      </w:pPr>
      <w:r>
        <w:t>Volumes</w:t>
      </w:r>
      <w:r>
        <w:rPr>
          <w:spacing w:val="-7"/>
        </w:rPr>
        <w:t xml:space="preserve"> </w:t>
      </w:r>
      <w:r>
        <w:rPr>
          <w:spacing w:val="-2"/>
        </w:rPr>
        <w:t>tested</w:t>
      </w:r>
    </w:p>
    <w:p w14:paraId="1BF3C170" w14:textId="77777777" w:rsidR="00E85AE1" w:rsidRDefault="006B7E00">
      <w:pPr>
        <w:pStyle w:val="ListParagraph"/>
        <w:numPr>
          <w:ilvl w:val="0"/>
          <w:numId w:val="2"/>
        </w:numPr>
        <w:tabs>
          <w:tab w:val="left" w:pos="721"/>
        </w:tabs>
        <w:ind w:left="721" w:hanging="360"/>
      </w:pPr>
      <w:r>
        <w:t>Volume</w:t>
      </w:r>
      <w:r>
        <w:rPr>
          <w:spacing w:val="-6"/>
        </w:rPr>
        <w:t xml:space="preserve"> </w:t>
      </w:r>
      <w:r>
        <w:t>weights</w:t>
      </w:r>
      <w:r>
        <w:rPr>
          <w:spacing w:val="-4"/>
        </w:rPr>
        <w:t xml:space="preserve"> </w:t>
      </w:r>
      <w:r>
        <w:rPr>
          <w:spacing w:val="-2"/>
        </w:rPr>
        <w:t>observed</w:t>
      </w:r>
    </w:p>
    <w:p w14:paraId="1BF3C171" w14:textId="77777777" w:rsidR="00E85AE1" w:rsidRDefault="006B7E00">
      <w:pPr>
        <w:pStyle w:val="ListParagraph"/>
        <w:numPr>
          <w:ilvl w:val="0"/>
          <w:numId w:val="2"/>
        </w:numPr>
        <w:tabs>
          <w:tab w:val="left" w:pos="721"/>
        </w:tabs>
        <w:ind w:left="721" w:hanging="360"/>
      </w:pPr>
      <w:r>
        <w:t>Reagent</w:t>
      </w:r>
      <w:r>
        <w:rPr>
          <w:spacing w:val="-3"/>
        </w:rPr>
        <w:t xml:space="preserve"> </w:t>
      </w:r>
      <w:r>
        <w:t>water</w:t>
      </w:r>
      <w:r>
        <w:rPr>
          <w:spacing w:val="-3"/>
        </w:rPr>
        <w:t xml:space="preserve"> </w:t>
      </w:r>
      <w:r>
        <w:t>used</w:t>
      </w:r>
      <w:r>
        <w:rPr>
          <w:spacing w:val="-4"/>
        </w:rPr>
        <w:t xml:space="preserve"> </w:t>
      </w:r>
      <w:r>
        <w:t>is</w:t>
      </w:r>
      <w:r>
        <w:rPr>
          <w:spacing w:val="-4"/>
        </w:rPr>
        <w:t xml:space="preserve"> </w:t>
      </w:r>
      <w:r>
        <w:t>at</w:t>
      </w:r>
      <w:r>
        <w:rPr>
          <w:spacing w:val="-4"/>
        </w:rPr>
        <w:t xml:space="preserve"> </w:t>
      </w:r>
      <w:r>
        <w:t>ambient</w:t>
      </w:r>
      <w:r>
        <w:rPr>
          <w:spacing w:val="-4"/>
        </w:rPr>
        <w:t xml:space="preserve"> </w:t>
      </w:r>
      <w:r>
        <w:rPr>
          <w:spacing w:val="-2"/>
        </w:rPr>
        <w:t>temperature</w:t>
      </w:r>
    </w:p>
    <w:p w14:paraId="1BF3C172" w14:textId="77777777" w:rsidR="00E85AE1" w:rsidRDefault="006B7E00">
      <w:pPr>
        <w:pStyle w:val="ListParagraph"/>
        <w:numPr>
          <w:ilvl w:val="0"/>
          <w:numId w:val="2"/>
        </w:numPr>
        <w:tabs>
          <w:tab w:val="left" w:pos="721"/>
        </w:tabs>
        <w:spacing w:line="269" w:lineRule="exact"/>
        <w:ind w:left="721" w:hanging="360"/>
      </w:pPr>
      <w:r>
        <w:t>All</w:t>
      </w:r>
      <w:r>
        <w:rPr>
          <w:spacing w:val="-4"/>
        </w:rPr>
        <w:t xml:space="preserve"> </w:t>
      </w:r>
      <w:r>
        <w:t>calculations</w:t>
      </w:r>
      <w:r>
        <w:rPr>
          <w:spacing w:val="-4"/>
        </w:rPr>
        <w:t xml:space="preserve"> </w:t>
      </w:r>
      <w:r>
        <w:t>used</w:t>
      </w:r>
      <w:r>
        <w:rPr>
          <w:spacing w:val="-4"/>
        </w:rPr>
        <w:t xml:space="preserve"> </w:t>
      </w:r>
      <w:r>
        <w:t>to</w:t>
      </w:r>
      <w:r>
        <w:rPr>
          <w:spacing w:val="-5"/>
        </w:rPr>
        <w:t xml:space="preserve"> </w:t>
      </w:r>
      <w:r>
        <w:t>assess</w:t>
      </w:r>
      <w:r>
        <w:rPr>
          <w:spacing w:val="-3"/>
        </w:rPr>
        <w:t xml:space="preserve"> </w:t>
      </w:r>
      <w:r>
        <w:rPr>
          <w:spacing w:val="-2"/>
        </w:rPr>
        <w:t>accuracy</w:t>
      </w:r>
    </w:p>
    <w:sectPr w:rsidR="00E85AE1">
      <w:type w:val="continuous"/>
      <w:pgSz w:w="12240" w:h="15840"/>
      <w:pgMar w:top="136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05589"/>
    <w:multiLevelType w:val="hybridMultilevel"/>
    <w:tmpl w:val="67F6E08C"/>
    <w:lvl w:ilvl="0" w:tplc="16146AD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1702F5A0">
      <w:numFmt w:val="bullet"/>
      <w:lvlText w:val="•"/>
      <w:lvlJc w:val="left"/>
      <w:pPr>
        <w:ind w:left="1548" w:hanging="361"/>
      </w:pPr>
      <w:rPr>
        <w:rFonts w:hint="default"/>
        <w:lang w:val="en-US" w:eastAsia="en-US" w:bidi="ar-SA"/>
      </w:rPr>
    </w:lvl>
    <w:lvl w:ilvl="2" w:tplc="818681E6">
      <w:numFmt w:val="bullet"/>
      <w:lvlText w:val="•"/>
      <w:lvlJc w:val="left"/>
      <w:pPr>
        <w:ind w:left="2376" w:hanging="361"/>
      </w:pPr>
      <w:rPr>
        <w:rFonts w:hint="default"/>
        <w:lang w:val="en-US" w:eastAsia="en-US" w:bidi="ar-SA"/>
      </w:rPr>
    </w:lvl>
    <w:lvl w:ilvl="3" w:tplc="E53A9C12">
      <w:numFmt w:val="bullet"/>
      <w:lvlText w:val="•"/>
      <w:lvlJc w:val="left"/>
      <w:pPr>
        <w:ind w:left="3204" w:hanging="361"/>
      </w:pPr>
      <w:rPr>
        <w:rFonts w:hint="default"/>
        <w:lang w:val="en-US" w:eastAsia="en-US" w:bidi="ar-SA"/>
      </w:rPr>
    </w:lvl>
    <w:lvl w:ilvl="4" w:tplc="F8E6429C">
      <w:numFmt w:val="bullet"/>
      <w:lvlText w:val="•"/>
      <w:lvlJc w:val="left"/>
      <w:pPr>
        <w:ind w:left="4032" w:hanging="361"/>
      </w:pPr>
      <w:rPr>
        <w:rFonts w:hint="default"/>
        <w:lang w:val="en-US" w:eastAsia="en-US" w:bidi="ar-SA"/>
      </w:rPr>
    </w:lvl>
    <w:lvl w:ilvl="5" w:tplc="D24ADF78">
      <w:numFmt w:val="bullet"/>
      <w:lvlText w:val="•"/>
      <w:lvlJc w:val="left"/>
      <w:pPr>
        <w:ind w:left="4860" w:hanging="361"/>
      </w:pPr>
      <w:rPr>
        <w:rFonts w:hint="default"/>
        <w:lang w:val="en-US" w:eastAsia="en-US" w:bidi="ar-SA"/>
      </w:rPr>
    </w:lvl>
    <w:lvl w:ilvl="6" w:tplc="9750468A">
      <w:numFmt w:val="bullet"/>
      <w:lvlText w:val="•"/>
      <w:lvlJc w:val="left"/>
      <w:pPr>
        <w:ind w:left="5688" w:hanging="361"/>
      </w:pPr>
      <w:rPr>
        <w:rFonts w:hint="default"/>
        <w:lang w:val="en-US" w:eastAsia="en-US" w:bidi="ar-SA"/>
      </w:rPr>
    </w:lvl>
    <w:lvl w:ilvl="7" w:tplc="6D8C1416">
      <w:numFmt w:val="bullet"/>
      <w:lvlText w:val="•"/>
      <w:lvlJc w:val="left"/>
      <w:pPr>
        <w:ind w:left="6516" w:hanging="361"/>
      </w:pPr>
      <w:rPr>
        <w:rFonts w:hint="default"/>
        <w:lang w:val="en-US" w:eastAsia="en-US" w:bidi="ar-SA"/>
      </w:rPr>
    </w:lvl>
    <w:lvl w:ilvl="8" w:tplc="D88E653A">
      <w:numFmt w:val="bullet"/>
      <w:lvlText w:val="•"/>
      <w:lvlJc w:val="left"/>
      <w:pPr>
        <w:ind w:left="7344" w:hanging="361"/>
      </w:pPr>
      <w:rPr>
        <w:rFonts w:hint="default"/>
        <w:lang w:val="en-US" w:eastAsia="en-US" w:bidi="ar-SA"/>
      </w:rPr>
    </w:lvl>
  </w:abstractNum>
  <w:abstractNum w:abstractNumId="1" w15:restartNumberingAfterBreak="0">
    <w:nsid w:val="714C4815"/>
    <w:multiLevelType w:val="hybridMultilevel"/>
    <w:tmpl w:val="21004FF2"/>
    <w:lvl w:ilvl="0" w:tplc="736A2E9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84B2217C">
      <w:numFmt w:val="bullet"/>
      <w:lvlText w:val="•"/>
      <w:lvlJc w:val="left"/>
      <w:pPr>
        <w:ind w:left="1548" w:hanging="361"/>
      </w:pPr>
      <w:rPr>
        <w:rFonts w:hint="default"/>
        <w:lang w:val="en-US" w:eastAsia="en-US" w:bidi="ar-SA"/>
      </w:rPr>
    </w:lvl>
    <w:lvl w:ilvl="2" w:tplc="0EE24ED4">
      <w:numFmt w:val="bullet"/>
      <w:lvlText w:val="•"/>
      <w:lvlJc w:val="left"/>
      <w:pPr>
        <w:ind w:left="2376" w:hanging="361"/>
      </w:pPr>
      <w:rPr>
        <w:rFonts w:hint="default"/>
        <w:lang w:val="en-US" w:eastAsia="en-US" w:bidi="ar-SA"/>
      </w:rPr>
    </w:lvl>
    <w:lvl w:ilvl="3" w:tplc="813E927E">
      <w:numFmt w:val="bullet"/>
      <w:lvlText w:val="•"/>
      <w:lvlJc w:val="left"/>
      <w:pPr>
        <w:ind w:left="3204" w:hanging="361"/>
      </w:pPr>
      <w:rPr>
        <w:rFonts w:hint="default"/>
        <w:lang w:val="en-US" w:eastAsia="en-US" w:bidi="ar-SA"/>
      </w:rPr>
    </w:lvl>
    <w:lvl w:ilvl="4" w:tplc="71D6BE9C">
      <w:numFmt w:val="bullet"/>
      <w:lvlText w:val="•"/>
      <w:lvlJc w:val="left"/>
      <w:pPr>
        <w:ind w:left="4032" w:hanging="361"/>
      </w:pPr>
      <w:rPr>
        <w:rFonts w:hint="default"/>
        <w:lang w:val="en-US" w:eastAsia="en-US" w:bidi="ar-SA"/>
      </w:rPr>
    </w:lvl>
    <w:lvl w:ilvl="5" w:tplc="F6A48318">
      <w:numFmt w:val="bullet"/>
      <w:lvlText w:val="•"/>
      <w:lvlJc w:val="left"/>
      <w:pPr>
        <w:ind w:left="4860" w:hanging="361"/>
      </w:pPr>
      <w:rPr>
        <w:rFonts w:hint="default"/>
        <w:lang w:val="en-US" w:eastAsia="en-US" w:bidi="ar-SA"/>
      </w:rPr>
    </w:lvl>
    <w:lvl w:ilvl="6" w:tplc="9A28950C">
      <w:numFmt w:val="bullet"/>
      <w:lvlText w:val="•"/>
      <w:lvlJc w:val="left"/>
      <w:pPr>
        <w:ind w:left="5688" w:hanging="361"/>
      </w:pPr>
      <w:rPr>
        <w:rFonts w:hint="default"/>
        <w:lang w:val="en-US" w:eastAsia="en-US" w:bidi="ar-SA"/>
      </w:rPr>
    </w:lvl>
    <w:lvl w:ilvl="7" w:tplc="581ED812">
      <w:numFmt w:val="bullet"/>
      <w:lvlText w:val="•"/>
      <w:lvlJc w:val="left"/>
      <w:pPr>
        <w:ind w:left="6516" w:hanging="361"/>
      </w:pPr>
      <w:rPr>
        <w:rFonts w:hint="default"/>
        <w:lang w:val="en-US" w:eastAsia="en-US" w:bidi="ar-SA"/>
      </w:rPr>
    </w:lvl>
    <w:lvl w:ilvl="8" w:tplc="BB94C83C">
      <w:numFmt w:val="bullet"/>
      <w:lvlText w:val="•"/>
      <w:lvlJc w:val="left"/>
      <w:pPr>
        <w:ind w:left="7344" w:hanging="361"/>
      </w:pPr>
      <w:rPr>
        <w:rFonts w:hint="default"/>
        <w:lang w:val="en-US" w:eastAsia="en-US" w:bidi="ar-SA"/>
      </w:rPr>
    </w:lvl>
  </w:abstractNum>
  <w:num w:numId="1" w16cid:durableId="1612781438">
    <w:abstractNumId w:val="0"/>
  </w:num>
  <w:num w:numId="2" w16cid:durableId="2067676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24B8"/>
    <w:rsid w:val="002624B8"/>
    <w:rsid w:val="006B7E00"/>
    <w:rsid w:val="00D90E44"/>
    <w:rsid w:val="00DF002A"/>
    <w:rsid w:val="00E85AE1"/>
    <w:rsid w:val="00FF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C15B"/>
  <w15:docId w15:val="{47877E7C-0FA8-4133-AAE5-4DFC05E1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line="252" w:lineRule="exact"/>
      <w:ind w:left="1" w:right="35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63206-4F14-4B0A-8144-38620C5C692E}">
  <ds:schemaRefs>
    <ds:schemaRef ds:uri="http://schemas.microsoft.com/sharepoint/v3/contenttype/forms"/>
  </ds:schemaRefs>
</ds:datastoreItem>
</file>

<file path=customXml/itemProps2.xml><?xml version="1.0" encoding="utf-8"?>
<ds:datastoreItem xmlns:ds="http://schemas.openxmlformats.org/officeDocument/2006/customXml" ds:itemID="{82200721-5503-47F4-B1B0-746EC077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B7A12-5569-435A-B350-4E01AEACFC2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Company>Hewlett-Packard Company</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Auto-Pipette Calibration (NC WW/GW LC Policy 02/18/2009)</dc:title>
  <dc:creator>Todd Crawford</dc:creator>
  <cp:lastModifiedBy>Swanson, Beth</cp:lastModifiedBy>
  <cp:revision>3</cp:revision>
  <dcterms:created xsi:type="dcterms:W3CDTF">2026-05-19T11:04:00Z</dcterms:created>
  <dcterms:modified xsi:type="dcterms:W3CDTF">2026-05-19T11:05:00Z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Acrobat PDFMaker 21 for Word</vt:lpwstr>
  </property>
  <property fmtid="{D5CDD505-2E9C-101B-9397-08002B2CF9AE}" pid="4" name="LastSaved">
    <vt:filetime>2026-05-19T00:00:00Z</vt:filetime>
  </property>
  <property fmtid="{D5CDD505-2E9C-101B-9397-08002B2CF9AE}" pid="5" name="Producer">
    <vt:lpwstr>Adobe PDF Library 21.1.174</vt:lpwstr>
  </property>
  <property fmtid="{D5CDD505-2E9C-101B-9397-08002B2CF9AE}" pid="6" name="SourceModified">
    <vt:lpwstr/>
  </property>
  <property fmtid="{D5CDD505-2E9C-101B-9397-08002B2CF9AE}" pid="7" name="ContentTypeId">
    <vt:lpwstr>0x0101003A8160F1F83AD343AA5ADD21600CAC3F</vt:lpwstr>
  </property>
</Properties>
</file>