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778A" w14:textId="77777777" w:rsidR="009E773B" w:rsidRDefault="0004707E" w:rsidP="00AB21CC">
      <w:pPr>
        <w:ind w:left="720" w:hanging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Quanti</w:t>
      </w:r>
      <w:r w:rsidR="00300768">
        <w:rPr>
          <w:rFonts w:ascii="Arial" w:hAnsi="Arial" w:cs="Arial"/>
          <w:b/>
          <w:sz w:val="22"/>
          <w:szCs w:val="22"/>
        </w:rPr>
        <w:t>-T</w:t>
      </w:r>
      <w:r>
        <w:rPr>
          <w:rFonts w:ascii="Arial" w:hAnsi="Arial" w:cs="Arial"/>
          <w:b/>
          <w:sz w:val="22"/>
          <w:szCs w:val="22"/>
        </w:rPr>
        <w:t>ray</w:t>
      </w:r>
      <w:r w:rsidR="00300768">
        <w:rPr>
          <w:rFonts w:ascii="Arial" w:hAnsi="Arial" w:cs="Arial"/>
          <w:b/>
          <w:sz w:val="22"/>
          <w:szCs w:val="22"/>
        </w:rPr>
        <w:t>®</w:t>
      </w:r>
      <w:r>
        <w:rPr>
          <w:rFonts w:ascii="Arial" w:hAnsi="Arial" w:cs="Arial"/>
          <w:b/>
          <w:sz w:val="22"/>
          <w:szCs w:val="22"/>
        </w:rPr>
        <w:t xml:space="preserve"> Sealer Check</w:t>
      </w:r>
      <w:r w:rsidR="00EA18A6" w:rsidRPr="00C23489">
        <w:rPr>
          <w:rFonts w:ascii="Arial" w:hAnsi="Arial" w:cs="Arial"/>
          <w:sz w:val="22"/>
          <w:szCs w:val="22"/>
        </w:rPr>
        <w:t xml:space="preserve"> </w:t>
      </w:r>
      <w:r w:rsidR="00F90B68" w:rsidRPr="008A3689">
        <w:rPr>
          <w:rFonts w:ascii="Arial" w:hAnsi="Arial" w:cs="Arial"/>
          <w:b/>
          <w:bCs/>
          <w:sz w:val="22"/>
          <w:szCs w:val="22"/>
        </w:rPr>
        <w:t>Policy</w:t>
      </w:r>
    </w:p>
    <w:p w14:paraId="7CD9952E" w14:textId="21F4B374" w:rsidR="00EA18A6" w:rsidRPr="00C23489" w:rsidRDefault="00EA18A6" w:rsidP="00AB21CC">
      <w:pPr>
        <w:ind w:left="720" w:hanging="720"/>
        <w:jc w:val="center"/>
        <w:rPr>
          <w:rFonts w:ascii="Arial" w:hAnsi="Arial" w:cs="Arial"/>
          <w:sz w:val="22"/>
          <w:szCs w:val="22"/>
        </w:rPr>
      </w:pPr>
      <w:r w:rsidRPr="00C23489">
        <w:rPr>
          <w:rFonts w:ascii="Arial" w:hAnsi="Arial" w:cs="Arial"/>
          <w:sz w:val="22"/>
          <w:szCs w:val="22"/>
        </w:rPr>
        <w:t>(NC WW/GW</w:t>
      </w:r>
      <w:r w:rsidR="00B53719" w:rsidRPr="00C23489">
        <w:rPr>
          <w:rFonts w:ascii="Arial" w:hAnsi="Arial" w:cs="Arial"/>
          <w:sz w:val="22"/>
          <w:szCs w:val="22"/>
        </w:rPr>
        <w:t xml:space="preserve"> </w:t>
      </w:r>
      <w:r w:rsidRPr="00C23489">
        <w:rPr>
          <w:rFonts w:ascii="Arial" w:hAnsi="Arial" w:cs="Arial"/>
          <w:sz w:val="22"/>
          <w:szCs w:val="22"/>
        </w:rPr>
        <w:t>LC</w:t>
      </w:r>
      <w:r w:rsidR="00804C43">
        <w:rPr>
          <w:rFonts w:ascii="Arial" w:hAnsi="Arial" w:cs="Arial"/>
          <w:sz w:val="22"/>
          <w:szCs w:val="22"/>
        </w:rPr>
        <w:t>B</w:t>
      </w:r>
      <w:r w:rsidR="00C23489">
        <w:rPr>
          <w:rFonts w:ascii="Arial" w:hAnsi="Arial" w:cs="Arial"/>
          <w:sz w:val="22"/>
          <w:szCs w:val="22"/>
        </w:rPr>
        <w:t xml:space="preserve"> </w:t>
      </w:r>
      <w:r w:rsidR="00AB21CC">
        <w:rPr>
          <w:rFonts w:ascii="Arial" w:hAnsi="Arial" w:cs="Arial"/>
          <w:sz w:val="22"/>
          <w:szCs w:val="22"/>
        </w:rPr>
        <w:t>06/04/2024</w:t>
      </w:r>
      <w:r w:rsidRPr="00C23489">
        <w:rPr>
          <w:rFonts w:ascii="Arial" w:hAnsi="Arial" w:cs="Arial"/>
          <w:sz w:val="22"/>
          <w:szCs w:val="22"/>
        </w:rPr>
        <w:t>)</w:t>
      </w:r>
    </w:p>
    <w:p w14:paraId="423D04A4" w14:textId="77777777" w:rsidR="00EA18A6" w:rsidRDefault="00EA18A6">
      <w:pPr>
        <w:rPr>
          <w:rFonts w:ascii="Arial" w:hAnsi="Arial" w:cs="Arial"/>
        </w:rPr>
      </w:pPr>
    </w:p>
    <w:p w14:paraId="4F9F0FB6" w14:textId="77777777" w:rsidR="00AB21CC" w:rsidRDefault="00AB21CC" w:rsidP="00161966">
      <w:pPr>
        <w:suppressAutoHyphens/>
        <w:ind w:right="36"/>
        <w:jc w:val="both"/>
        <w:rPr>
          <w:rFonts w:ascii="Arial" w:hAnsi="Arial" w:cs="Arial"/>
          <w:sz w:val="22"/>
          <w:szCs w:val="22"/>
        </w:rPr>
      </w:pPr>
    </w:p>
    <w:p w14:paraId="39E7D607" w14:textId="43953F02" w:rsidR="00C562F9" w:rsidRPr="00C562F9" w:rsidRDefault="0004707E" w:rsidP="00161966">
      <w:pPr>
        <w:suppressAutoHyphens/>
        <w:ind w:right="36"/>
        <w:jc w:val="both"/>
        <w:rPr>
          <w:rFonts w:ascii="Arial" w:hAnsi="Arial" w:cs="Arial"/>
          <w:sz w:val="22"/>
          <w:szCs w:val="22"/>
        </w:rPr>
      </w:pPr>
      <w:r w:rsidRPr="0004707E">
        <w:rPr>
          <w:rFonts w:ascii="Arial" w:hAnsi="Arial" w:cs="Arial"/>
          <w:sz w:val="22"/>
          <w:szCs w:val="22"/>
        </w:rPr>
        <w:t>If the Quanti-Tray</w:t>
      </w:r>
      <w:r w:rsidR="00300768">
        <w:rPr>
          <w:rFonts w:ascii="Arial" w:hAnsi="Arial" w:cs="Arial"/>
          <w:sz w:val="22"/>
          <w:szCs w:val="22"/>
        </w:rPr>
        <w:t>®</w:t>
      </w:r>
      <w:r w:rsidRPr="0004707E">
        <w:rPr>
          <w:rFonts w:ascii="Arial" w:hAnsi="Arial" w:cs="Arial"/>
          <w:sz w:val="22"/>
          <w:szCs w:val="22"/>
        </w:rPr>
        <w:t xml:space="preserve"> or Quanti-Tray</w:t>
      </w:r>
      <w:r w:rsidR="00300768">
        <w:rPr>
          <w:rFonts w:ascii="Arial" w:hAnsi="Arial" w:cs="Arial"/>
          <w:sz w:val="22"/>
          <w:szCs w:val="22"/>
        </w:rPr>
        <w:t>®/</w:t>
      </w:r>
      <w:r w:rsidRPr="0004707E">
        <w:rPr>
          <w:rFonts w:ascii="Arial" w:hAnsi="Arial" w:cs="Arial"/>
          <w:sz w:val="22"/>
          <w:szCs w:val="22"/>
        </w:rPr>
        <w:t xml:space="preserve">2000 test is used, the sealer </w:t>
      </w:r>
      <w:r w:rsidR="00300768">
        <w:rPr>
          <w:rFonts w:ascii="Arial" w:hAnsi="Arial" w:cs="Arial"/>
          <w:sz w:val="22"/>
          <w:szCs w:val="22"/>
        </w:rPr>
        <w:t>must</w:t>
      </w:r>
      <w:r w:rsidR="00300768" w:rsidRPr="0004707E">
        <w:rPr>
          <w:rFonts w:ascii="Arial" w:hAnsi="Arial" w:cs="Arial"/>
          <w:sz w:val="22"/>
          <w:szCs w:val="22"/>
        </w:rPr>
        <w:t xml:space="preserve"> </w:t>
      </w:r>
      <w:r w:rsidRPr="0004707E">
        <w:rPr>
          <w:rFonts w:ascii="Arial" w:hAnsi="Arial" w:cs="Arial"/>
          <w:sz w:val="22"/>
          <w:szCs w:val="22"/>
        </w:rPr>
        <w:t xml:space="preserve">be checked monthly by adding a dye (e.g., </w:t>
      </w:r>
      <w:r w:rsidR="004E3D2A">
        <w:rPr>
          <w:rFonts w:ascii="Arial" w:hAnsi="Arial" w:cs="Arial"/>
          <w:sz w:val="22"/>
          <w:szCs w:val="22"/>
        </w:rPr>
        <w:t xml:space="preserve">food color or </w:t>
      </w:r>
      <w:r w:rsidRPr="0004707E">
        <w:rPr>
          <w:rFonts w:ascii="Arial" w:hAnsi="Arial" w:cs="Arial"/>
          <w:sz w:val="22"/>
          <w:szCs w:val="22"/>
        </w:rPr>
        <w:t>brom</w:t>
      </w:r>
      <w:r w:rsidR="00804C43">
        <w:rPr>
          <w:rFonts w:ascii="Arial" w:hAnsi="Arial" w:cs="Arial"/>
          <w:sz w:val="22"/>
          <w:szCs w:val="22"/>
        </w:rPr>
        <w:t>o</w:t>
      </w:r>
      <w:r w:rsidRPr="0004707E">
        <w:rPr>
          <w:rFonts w:ascii="Arial" w:hAnsi="Arial" w:cs="Arial"/>
          <w:sz w:val="22"/>
          <w:szCs w:val="22"/>
        </w:rPr>
        <w:t xml:space="preserve">cresol purple) to </w:t>
      </w:r>
      <w:r w:rsidR="004D59BD">
        <w:rPr>
          <w:rFonts w:ascii="Arial" w:hAnsi="Arial" w:cs="Arial"/>
          <w:sz w:val="22"/>
          <w:szCs w:val="22"/>
        </w:rPr>
        <w:t>a</w:t>
      </w:r>
      <w:r w:rsidRPr="0004707E">
        <w:rPr>
          <w:rFonts w:ascii="Arial" w:hAnsi="Arial" w:cs="Arial"/>
          <w:sz w:val="22"/>
          <w:szCs w:val="22"/>
        </w:rPr>
        <w:t xml:space="preserve"> water</w:t>
      </w:r>
      <w:r w:rsidR="004D59BD">
        <w:rPr>
          <w:rFonts w:ascii="Arial" w:hAnsi="Arial" w:cs="Arial"/>
          <w:sz w:val="22"/>
          <w:szCs w:val="22"/>
        </w:rPr>
        <w:t xml:space="preserve"> blank</w:t>
      </w:r>
      <w:r w:rsidRPr="0004707E">
        <w:rPr>
          <w:rFonts w:ascii="Arial" w:hAnsi="Arial" w:cs="Arial"/>
          <w:sz w:val="22"/>
          <w:szCs w:val="22"/>
        </w:rPr>
        <w:t>. If dye is observed outside the wells, either perform maintenance or use another sealer.</w:t>
      </w:r>
      <w:r w:rsidR="00C562F9" w:rsidRPr="00C562F9">
        <w:rPr>
          <w:rFonts w:ascii="Arial" w:hAnsi="Arial" w:cs="Arial"/>
          <w:sz w:val="22"/>
          <w:szCs w:val="22"/>
        </w:rPr>
        <w:t xml:space="preserve"> </w:t>
      </w:r>
      <w:r w:rsidR="00C875EF">
        <w:rPr>
          <w:rFonts w:ascii="Arial" w:hAnsi="Arial" w:cs="Arial"/>
          <w:sz w:val="22"/>
          <w:szCs w:val="22"/>
        </w:rPr>
        <w:t>Document Results.</w:t>
      </w:r>
    </w:p>
    <w:p w14:paraId="0E0AAB34" w14:textId="77777777" w:rsidR="00EA18A6" w:rsidRDefault="00EA18A6">
      <w:pPr>
        <w:pStyle w:val="BodyText"/>
        <w:rPr>
          <w:rFonts w:ascii="Arial" w:hAnsi="Arial" w:cs="Arial"/>
        </w:rPr>
      </w:pPr>
    </w:p>
    <w:p w14:paraId="4A56A981" w14:textId="77777777" w:rsidR="00EA18A6" w:rsidRDefault="00EA18A6">
      <w:pPr>
        <w:jc w:val="both"/>
        <w:rPr>
          <w:rFonts w:ascii="Arial" w:hAnsi="Arial" w:cs="Arial"/>
        </w:rPr>
      </w:pPr>
    </w:p>
    <w:p w14:paraId="79B19BDE" w14:textId="77777777" w:rsidR="00EA18A6" w:rsidRDefault="00EA18A6" w:rsidP="00742ADB">
      <w:pPr>
        <w:jc w:val="both"/>
      </w:pPr>
    </w:p>
    <w:sectPr w:rsidR="00EA18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75"/>
    <w:rsid w:val="00011D65"/>
    <w:rsid w:val="0004707E"/>
    <w:rsid w:val="00057491"/>
    <w:rsid w:val="0013757B"/>
    <w:rsid w:val="00161966"/>
    <w:rsid w:val="001701DE"/>
    <w:rsid w:val="00250D3D"/>
    <w:rsid w:val="00300768"/>
    <w:rsid w:val="00376ADF"/>
    <w:rsid w:val="00396B9E"/>
    <w:rsid w:val="003F6304"/>
    <w:rsid w:val="004330C7"/>
    <w:rsid w:val="004C57E0"/>
    <w:rsid w:val="004D2975"/>
    <w:rsid w:val="004D59BD"/>
    <w:rsid w:val="004E3D2A"/>
    <w:rsid w:val="0053680E"/>
    <w:rsid w:val="00652BC1"/>
    <w:rsid w:val="00737D72"/>
    <w:rsid w:val="00742ADB"/>
    <w:rsid w:val="007A5743"/>
    <w:rsid w:val="007A68DA"/>
    <w:rsid w:val="007C1221"/>
    <w:rsid w:val="007C7A89"/>
    <w:rsid w:val="00804C43"/>
    <w:rsid w:val="008A3689"/>
    <w:rsid w:val="008E6308"/>
    <w:rsid w:val="00902F61"/>
    <w:rsid w:val="00914A92"/>
    <w:rsid w:val="009E773B"/>
    <w:rsid w:val="00A232D9"/>
    <w:rsid w:val="00A43F9C"/>
    <w:rsid w:val="00A52BCB"/>
    <w:rsid w:val="00AB21CC"/>
    <w:rsid w:val="00AE75EE"/>
    <w:rsid w:val="00AF40F5"/>
    <w:rsid w:val="00B53719"/>
    <w:rsid w:val="00C23489"/>
    <w:rsid w:val="00C562F9"/>
    <w:rsid w:val="00C62312"/>
    <w:rsid w:val="00C875EF"/>
    <w:rsid w:val="00DA15D8"/>
    <w:rsid w:val="00DB1625"/>
    <w:rsid w:val="00E62A62"/>
    <w:rsid w:val="00EA18A6"/>
    <w:rsid w:val="00ED641F"/>
    <w:rsid w:val="00F90B68"/>
    <w:rsid w:val="00FC66C8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F20E5"/>
  <w15:chartTrackingRefBased/>
  <w15:docId w15:val="{848EBAFE-1D42-4301-9283-3382A1DB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B5371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62312"/>
    <w:rPr>
      <w:sz w:val="16"/>
      <w:szCs w:val="16"/>
    </w:rPr>
  </w:style>
  <w:style w:type="paragraph" w:styleId="CommentText">
    <w:name w:val="annotation text"/>
    <w:basedOn w:val="Normal"/>
    <w:semiHidden/>
    <w:rsid w:val="00C6231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62312"/>
    <w:rPr>
      <w:b/>
      <w:bCs/>
    </w:rPr>
  </w:style>
  <w:style w:type="paragraph" w:styleId="Revision">
    <w:name w:val="Revision"/>
    <w:hidden/>
    <w:uiPriority w:val="99"/>
    <w:semiHidden/>
    <w:rsid w:val="004C5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193B2-E14B-4A6A-B9CD-1365AAE1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FFF5E-86C7-4DF5-9783-92D3B16A3A4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F56710-B921-4ABB-AC6B-A8CCEE730526}"/>
</file>

<file path=customXml/itemProps4.xml><?xml version="1.0" encoding="utf-8"?>
<ds:datastoreItem xmlns:ds="http://schemas.openxmlformats.org/officeDocument/2006/customXml" ds:itemID="{06863F79-08A9-40D2-8E14-8A40975CFF85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Analytical Balance Service: (NC WW/GWLC 110807)</vt:lpstr>
    </vt:vector>
  </TitlesOfParts>
  <Company>DENR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Analytical Balance Service: (NC WW/GWLC 110807)</dc:title>
  <dc:subject/>
  <dc:creator>CWhiting</dc:creator>
  <cp:keywords/>
  <dc:description/>
  <cp:lastModifiedBy>Swanson, Beth</cp:lastModifiedBy>
  <cp:revision>3</cp:revision>
  <cp:lastPrinted>2008-09-09T13:20:00Z</cp:lastPrinted>
  <dcterms:created xsi:type="dcterms:W3CDTF">2024-06-04T12:01:00Z</dcterms:created>
  <dcterms:modified xsi:type="dcterms:W3CDTF">2025-12-09T18:27:00Z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display_urn:schemas-microsoft-com:office:office#Editor">
    <vt:lpwstr>Ostendorff, Anna C</vt:lpwstr>
  </property>
  <property fmtid="{D5CDD505-2E9C-101B-9397-08002B2CF9AE}" pid="5" name="display_urn:schemas-microsoft-com:office:office#Author">
    <vt:lpwstr>Ostendorff, Anna C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ContentTypeId">
    <vt:lpwstr>0x0101003A8160F1F83AD343AA5ADD21600CAC3F</vt:lpwstr>
  </property>
</Properties>
</file>