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A17F" w14:textId="455E45E0" w:rsidR="00FF1A67" w:rsidRPr="007114AB" w:rsidRDefault="68C5A91F" w:rsidP="68C5A91F">
      <w:pPr>
        <w:jc w:val="center"/>
        <w:rPr>
          <w:rFonts w:ascii="Arial" w:hAnsi="Arial" w:cs="Arial"/>
          <w:b/>
          <w:bCs/>
          <w:sz w:val="22"/>
          <w:szCs w:val="22"/>
        </w:rPr>
      </w:pPr>
      <w:r w:rsidRPr="007114AB">
        <w:rPr>
          <w:rFonts w:ascii="Arial" w:hAnsi="Arial" w:cs="Arial"/>
          <w:b/>
          <w:bCs/>
          <w:sz w:val="22"/>
          <w:szCs w:val="22"/>
        </w:rPr>
        <w:t>NORTH CAROLINA WASTEWATER/GROUNDWATER LABORATORY CERTIFICATION</w:t>
      </w:r>
      <w:r w:rsidR="004350C6" w:rsidRPr="007114AB">
        <w:rPr>
          <w:rFonts w:ascii="Arial" w:hAnsi="Arial" w:cs="Arial"/>
          <w:b/>
          <w:bCs/>
          <w:sz w:val="22"/>
          <w:szCs w:val="22"/>
        </w:rPr>
        <w:t xml:space="preserve"> BRANCH</w:t>
      </w:r>
    </w:p>
    <w:p w14:paraId="4560B5FE" w14:textId="5934B07B" w:rsidR="001A2ED5" w:rsidRPr="007114AB" w:rsidRDefault="001A2ED5" w:rsidP="00F047E7">
      <w:pPr>
        <w:jc w:val="center"/>
        <w:rPr>
          <w:rFonts w:ascii="Arial" w:hAnsi="Arial" w:cs="Arial"/>
          <w:b/>
          <w:sz w:val="22"/>
          <w:szCs w:val="22"/>
        </w:rPr>
      </w:pPr>
      <w:r w:rsidRPr="007114AB">
        <w:rPr>
          <w:rFonts w:ascii="Arial" w:hAnsi="Arial" w:cs="Arial"/>
          <w:b/>
          <w:sz w:val="22"/>
          <w:szCs w:val="22"/>
        </w:rPr>
        <w:t xml:space="preserve">APPROVED PROCEDURE FOR THE ANALYSIS OF </w:t>
      </w:r>
      <w:r w:rsidR="00F512E6" w:rsidRPr="007114AB">
        <w:rPr>
          <w:rFonts w:ascii="Arial" w:hAnsi="Arial" w:cs="Arial"/>
          <w:b/>
          <w:sz w:val="22"/>
          <w:szCs w:val="22"/>
        </w:rPr>
        <w:t>SALINITY</w:t>
      </w:r>
      <w:r w:rsidR="00DB5E59" w:rsidRPr="007114AB">
        <w:rPr>
          <w:rFonts w:ascii="Arial" w:hAnsi="Arial" w:cs="Arial"/>
          <w:b/>
          <w:sz w:val="22"/>
          <w:szCs w:val="22"/>
        </w:rPr>
        <w:t xml:space="preserve"> (Electrical Conductivity Method)</w:t>
      </w:r>
    </w:p>
    <w:p w14:paraId="1D88CF44" w14:textId="77777777" w:rsidR="00BE1DBE" w:rsidRDefault="00BE1DBE" w:rsidP="00BE1DBE">
      <w:pPr>
        <w:pStyle w:val="BodyText"/>
        <w:spacing w:before="0" w:after="0"/>
        <w:jc w:val="both"/>
        <w:rPr>
          <w:rFonts w:ascii="Arial" w:hAnsi="Arial" w:cs="Arial"/>
          <w:sz w:val="20"/>
        </w:rPr>
      </w:pPr>
    </w:p>
    <w:p w14:paraId="761D3AB8" w14:textId="7AF82AA4" w:rsidR="001A2ED5" w:rsidRPr="003162BB" w:rsidRDefault="001A2ED5" w:rsidP="00613224">
      <w:pPr>
        <w:pStyle w:val="BodyText"/>
        <w:spacing w:before="0" w:after="0"/>
        <w:jc w:val="both"/>
        <w:rPr>
          <w:rFonts w:ascii="Arial" w:hAnsi="Arial" w:cs="Arial"/>
          <w:sz w:val="20"/>
        </w:rPr>
      </w:pPr>
      <w:r w:rsidRPr="003162BB">
        <w:rPr>
          <w:rFonts w:ascii="Arial" w:hAnsi="Arial" w:cs="Arial"/>
          <w:sz w:val="20"/>
        </w:rPr>
        <w:t>This document provide</w:t>
      </w:r>
      <w:r>
        <w:rPr>
          <w:rFonts w:ascii="Arial" w:hAnsi="Arial" w:cs="Arial"/>
          <w:sz w:val="20"/>
        </w:rPr>
        <w:t>s</w:t>
      </w:r>
      <w:r w:rsidRPr="003162BB">
        <w:rPr>
          <w:rFonts w:ascii="Arial" w:hAnsi="Arial" w:cs="Arial"/>
          <w:sz w:val="20"/>
        </w:rPr>
        <w:t xml:space="preserve"> an approved procedure for the analysis of </w:t>
      </w:r>
      <w:r w:rsidR="00F512E6">
        <w:rPr>
          <w:rFonts w:ascii="Arial" w:hAnsi="Arial" w:cs="Arial"/>
          <w:sz w:val="20"/>
        </w:rPr>
        <w:t>Salinity</w:t>
      </w:r>
      <w:r w:rsidRPr="003162BB">
        <w:rPr>
          <w:rFonts w:ascii="Arial" w:hAnsi="Arial" w:cs="Arial"/>
          <w:sz w:val="20"/>
        </w:rPr>
        <w:t xml:space="preserve"> </w:t>
      </w:r>
      <w:r w:rsidR="0026311C">
        <w:rPr>
          <w:rFonts w:ascii="Arial" w:hAnsi="Arial" w:cs="Arial"/>
          <w:sz w:val="20"/>
        </w:rPr>
        <w:t xml:space="preserve">for compliance monitoring </w:t>
      </w:r>
      <w:r w:rsidRPr="003162BB">
        <w:rPr>
          <w:rFonts w:ascii="Arial" w:hAnsi="Arial" w:cs="Arial"/>
          <w:sz w:val="20"/>
        </w:rPr>
        <w:t xml:space="preserve">per </w:t>
      </w:r>
      <w:r w:rsidRPr="00AF1E86">
        <w:rPr>
          <w:rFonts w:ascii="Arial" w:hAnsi="Arial" w:cs="Arial"/>
          <w:sz w:val="20"/>
        </w:rPr>
        <w:t xml:space="preserve">15A NCAC </w:t>
      </w:r>
      <w:r w:rsidR="00161BB0">
        <w:rPr>
          <w:rFonts w:ascii="Arial" w:hAnsi="Arial" w:cs="Arial"/>
          <w:sz w:val="20"/>
        </w:rPr>
        <w:t>0</w:t>
      </w:r>
      <w:r w:rsidRPr="00AF1E86">
        <w:rPr>
          <w:rFonts w:ascii="Arial" w:hAnsi="Arial" w:cs="Arial"/>
          <w:sz w:val="20"/>
        </w:rPr>
        <w:t>2H .0805 (a) (</w:t>
      </w:r>
      <w:r w:rsidR="00F26EDF">
        <w:rPr>
          <w:rFonts w:ascii="Arial" w:hAnsi="Arial" w:cs="Arial"/>
          <w:sz w:val="20"/>
        </w:rPr>
        <w:t>7</w:t>
      </w:r>
      <w:r w:rsidRPr="00AF1E86">
        <w:rPr>
          <w:rFonts w:ascii="Arial" w:hAnsi="Arial" w:cs="Arial"/>
          <w:sz w:val="20"/>
        </w:rPr>
        <w:t>) and (g) (</w:t>
      </w:r>
      <w:r w:rsidR="00F26EDF">
        <w:rPr>
          <w:rFonts w:ascii="Arial" w:hAnsi="Arial" w:cs="Arial"/>
          <w:sz w:val="20"/>
        </w:rPr>
        <w:t>4</w:t>
      </w:r>
      <w:r w:rsidRPr="00AF1E86">
        <w:rPr>
          <w:rFonts w:ascii="Arial" w:hAnsi="Arial" w:cs="Arial"/>
          <w:sz w:val="20"/>
        </w:rPr>
        <w:t>).</w:t>
      </w:r>
      <w:r w:rsidRPr="003162BB">
        <w:rPr>
          <w:rFonts w:ascii="Arial" w:hAnsi="Arial" w:cs="Arial"/>
          <w:sz w:val="20"/>
        </w:rPr>
        <w:t xml:space="preserve"> </w:t>
      </w:r>
    </w:p>
    <w:p w14:paraId="152005FF" w14:textId="77777777" w:rsidR="00BE1DBE" w:rsidRDefault="00BE1DBE" w:rsidP="00BE1DBE">
      <w:pPr>
        <w:spacing w:before="0" w:after="0"/>
        <w:jc w:val="both"/>
        <w:rPr>
          <w:rFonts w:ascii="Arial" w:hAnsi="Arial"/>
          <w:b/>
          <w:sz w:val="20"/>
          <w:u w:val="single"/>
        </w:rPr>
      </w:pPr>
    </w:p>
    <w:p w14:paraId="152351F4" w14:textId="09E44461" w:rsidR="001A2ED5" w:rsidRPr="00F61A31" w:rsidRDefault="001A2ED5" w:rsidP="00BE1DBE">
      <w:pPr>
        <w:spacing w:before="0"/>
        <w:jc w:val="both"/>
        <w:rPr>
          <w:rFonts w:ascii="Arial" w:hAnsi="Arial"/>
          <w:b/>
          <w:sz w:val="20"/>
          <w:u w:val="single"/>
        </w:rPr>
      </w:pPr>
      <w:r w:rsidRPr="00F61A31">
        <w:rPr>
          <w:rFonts w:ascii="Arial" w:hAnsi="Arial"/>
          <w:b/>
          <w:sz w:val="20"/>
          <w:u w:val="single"/>
        </w:rPr>
        <w:t xml:space="preserve">Holding Time: </w:t>
      </w:r>
    </w:p>
    <w:p w14:paraId="070BC593" w14:textId="3662BD29" w:rsidR="001A2ED5" w:rsidRPr="00F85EAD" w:rsidRDefault="001A2ED5" w:rsidP="001A2ED5">
      <w:pPr>
        <w:widowControl/>
        <w:numPr>
          <w:ilvl w:val="0"/>
          <w:numId w:val="2"/>
        </w:numPr>
        <w:suppressAutoHyphens/>
        <w:spacing w:before="0" w:after="0"/>
        <w:rPr>
          <w:rFonts w:ascii="Arial" w:hAnsi="Arial" w:cs="Arial"/>
          <w:sz w:val="20"/>
        </w:rPr>
      </w:pPr>
      <w:r w:rsidRPr="009B033A">
        <w:rPr>
          <w:rFonts w:ascii="Arial" w:hAnsi="Arial"/>
          <w:sz w:val="20"/>
        </w:rPr>
        <w:t xml:space="preserve">Samples must be analyzed within </w:t>
      </w:r>
      <w:r w:rsidR="00B0307F">
        <w:rPr>
          <w:rFonts w:ascii="Arial" w:hAnsi="Arial"/>
          <w:sz w:val="20"/>
        </w:rPr>
        <w:t>28 days</w:t>
      </w:r>
      <w:r w:rsidR="00C72DF7">
        <w:rPr>
          <w:rFonts w:ascii="Arial" w:hAnsi="Arial"/>
          <w:sz w:val="20"/>
        </w:rPr>
        <w:t xml:space="preserve"> </w:t>
      </w:r>
      <w:r w:rsidRPr="009B033A">
        <w:rPr>
          <w:rFonts w:ascii="Arial" w:hAnsi="Arial"/>
          <w:sz w:val="20"/>
        </w:rPr>
        <w:t>of collection</w:t>
      </w:r>
      <w:r w:rsidRPr="009B033A" w:rsidDel="00F512E6">
        <w:rPr>
          <w:rFonts w:ascii="Arial" w:hAnsi="Arial"/>
          <w:sz w:val="20"/>
        </w:rPr>
        <w:t xml:space="preserve"> </w:t>
      </w:r>
      <w:r w:rsidR="00B0307F">
        <w:rPr>
          <w:rFonts w:ascii="Arial" w:hAnsi="Arial"/>
          <w:sz w:val="20"/>
        </w:rPr>
        <w:t xml:space="preserve">based on the holding time of </w:t>
      </w:r>
      <w:r w:rsidR="00FE760A">
        <w:rPr>
          <w:rFonts w:ascii="Arial" w:hAnsi="Arial"/>
          <w:sz w:val="20"/>
        </w:rPr>
        <w:t>C</w:t>
      </w:r>
      <w:r w:rsidR="00B0307F">
        <w:rPr>
          <w:rFonts w:ascii="Arial" w:hAnsi="Arial"/>
          <w:sz w:val="20"/>
        </w:rPr>
        <w:t xml:space="preserve">onductivity in 40 CFR </w:t>
      </w:r>
      <w:r w:rsidR="005A0566">
        <w:rPr>
          <w:rFonts w:ascii="Arial" w:hAnsi="Arial"/>
          <w:sz w:val="20"/>
        </w:rPr>
        <w:t>Part 136.3 Table II</w:t>
      </w:r>
      <w:r w:rsidR="000363BC">
        <w:rPr>
          <w:rFonts w:ascii="Arial" w:hAnsi="Arial"/>
          <w:sz w:val="20"/>
        </w:rPr>
        <w:t xml:space="preserve"> per EPA Region 4</w:t>
      </w:r>
      <w:r w:rsidR="00C72DF7">
        <w:rPr>
          <w:rFonts w:ascii="Arial" w:hAnsi="Arial"/>
          <w:sz w:val="20"/>
        </w:rPr>
        <w:t>.</w:t>
      </w:r>
      <w:r w:rsidRPr="009B033A">
        <w:rPr>
          <w:rFonts w:ascii="Arial" w:hAnsi="Arial"/>
          <w:sz w:val="20"/>
        </w:rPr>
        <w:t xml:space="preserve"> </w:t>
      </w:r>
    </w:p>
    <w:p w14:paraId="01B3A64E" w14:textId="01965828" w:rsidR="00F85EAD" w:rsidRPr="00787D97" w:rsidRDefault="00897375" w:rsidP="00BE1DBE">
      <w:pPr>
        <w:numPr>
          <w:ilvl w:val="0"/>
          <w:numId w:val="2"/>
        </w:numPr>
        <w:spacing w:after="0"/>
        <w:jc w:val="both"/>
        <w:rPr>
          <w:rFonts w:ascii="Arial" w:hAnsi="Arial" w:cs="Arial"/>
          <w:sz w:val="20"/>
        </w:rPr>
      </w:pPr>
      <w:r w:rsidRPr="00897375">
        <w:rPr>
          <w:rFonts w:ascii="Arial" w:hAnsi="Arial" w:cs="Arial"/>
          <w:sz w:val="20"/>
        </w:rPr>
        <w:t xml:space="preserve">Samples </w:t>
      </w:r>
      <w:r w:rsidR="00914EF3" w:rsidRPr="00914EF3">
        <w:rPr>
          <w:rFonts w:ascii="Arial" w:hAnsi="Arial" w:cs="Arial"/>
          <w:sz w:val="20"/>
        </w:rPr>
        <w:t xml:space="preserve">not analyzed </w:t>
      </w:r>
      <w:r w:rsidR="00914EF3">
        <w:rPr>
          <w:rFonts w:ascii="Arial" w:hAnsi="Arial" w:cs="Arial"/>
          <w:sz w:val="20"/>
        </w:rPr>
        <w:t>within 15 minutes of collection</w:t>
      </w:r>
      <w:r w:rsidR="00914EF3" w:rsidRPr="00914EF3">
        <w:rPr>
          <w:rFonts w:ascii="Arial" w:hAnsi="Arial" w:cs="Arial"/>
          <w:sz w:val="20"/>
        </w:rPr>
        <w:t xml:space="preserve"> </w:t>
      </w:r>
      <w:r w:rsidRPr="00897375">
        <w:rPr>
          <w:rFonts w:ascii="Arial" w:hAnsi="Arial" w:cs="Arial"/>
          <w:sz w:val="20"/>
        </w:rPr>
        <w:t xml:space="preserve">must be </w:t>
      </w:r>
      <w:r w:rsidR="00787D97">
        <w:rPr>
          <w:rFonts w:ascii="Arial" w:hAnsi="Arial" w:cs="Arial"/>
          <w:sz w:val="20"/>
        </w:rPr>
        <w:t xml:space="preserve">transported on ice and </w:t>
      </w:r>
      <w:r w:rsidRPr="00897375">
        <w:rPr>
          <w:rFonts w:ascii="Arial" w:hAnsi="Arial" w:cs="Arial"/>
          <w:sz w:val="20"/>
        </w:rPr>
        <w:t>stored above freezing and ≤6°C,</w:t>
      </w:r>
      <w:r w:rsidR="00A820D0" w:rsidRPr="00A820D0">
        <w:t xml:space="preserve"> </w:t>
      </w:r>
      <w:r w:rsidR="00A820D0" w:rsidRPr="00A820D0">
        <w:rPr>
          <w:rFonts w:ascii="Arial" w:hAnsi="Arial" w:cs="Arial"/>
          <w:sz w:val="20"/>
        </w:rPr>
        <w:t xml:space="preserve">based on the </w:t>
      </w:r>
      <w:r w:rsidR="00A820D0">
        <w:rPr>
          <w:rFonts w:ascii="Arial" w:hAnsi="Arial" w:cs="Arial"/>
          <w:sz w:val="20"/>
        </w:rPr>
        <w:t>preservation requirements</w:t>
      </w:r>
      <w:r w:rsidR="00A820D0" w:rsidRPr="00A820D0">
        <w:rPr>
          <w:rFonts w:ascii="Arial" w:hAnsi="Arial" w:cs="Arial"/>
          <w:sz w:val="20"/>
        </w:rPr>
        <w:t xml:space="preserve"> of </w:t>
      </w:r>
      <w:r w:rsidR="00FE760A">
        <w:rPr>
          <w:rFonts w:ascii="Arial" w:hAnsi="Arial" w:cs="Arial"/>
          <w:sz w:val="20"/>
        </w:rPr>
        <w:t>C</w:t>
      </w:r>
      <w:r w:rsidR="00A820D0" w:rsidRPr="00A820D0">
        <w:rPr>
          <w:rFonts w:ascii="Arial" w:hAnsi="Arial" w:cs="Arial"/>
          <w:sz w:val="20"/>
        </w:rPr>
        <w:t xml:space="preserve">onductivity in 40 CFR Part 136.3 Table II per EPA Region 4. </w:t>
      </w:r>
    </w:p>
    <w:p w14:paraId="53A1CE35" w14:textId="77777777" w:rsidR="00BE1DBE" w:rsidRDefault="00BE1DBE" w:rsidP="00BE1DBE">
      <w:pPr>
        <w:spacing w:before="0" w:after="0"/>
        <w:jc w:val="both"/>
        <w:rPr>
          <w:rFonts w:ascii="Arial" w:hAnsi="Arial"/>
          <w:b/>
          <w:sz w:val="20"/>
          <w:u w:val="single"/>
        </w:rPr>
      </w:pPr>
    </w:p>
    <w:p w14:paraId="543EAF94" w14:textId="711BD406" w:rsidR="001A2ED5" w:rsidRPr="009B033A" w:rsidRDefault="001A2ED5" w:rsidP="00BE1DBE">
      <w:pPr>
        <w:spacing w:before="0"/>
        <w:jc w:val="both"/>
        <w:rPr>
          <w:rFonts w:ascii="Arial" w:hAnsi="Arial"/>
          <w:b/>
          <w:sz w:val="20"/>
          <w:u w:val="single"/>
        </w:rPr>
      </w:pPr>
      <w:r>
        <w:rPr>
          <w:rFonts w:ascii="Arial" w:hAnsi="Arial"/>
          <w:b/>
          <w:sz w:val="20"/>
          <w:u w:val="single"/>
        </w:rPr>
        <w:t>General Information</w:t>
      </w:r>
      <w:r w:rsidRPr="009B033A">
        <w:rPr>
          <w:rFonts w:ascii="Arial" w:hAnsi="Arial"/>
          <w:b/>
          <w:sz w:val="20"/>
          <w:u w:val="single"/>
        </w:rPr>
        <w:t xml:space="preserve">: </w:t>
      </w:r>
    </w:p>
    <w:p w14:paraId="03E2A88C" w14:textId="77777777" w:rsidR="007B481B" w:rsidRPr="00BE3A1A" w:rsidRDefault="007B481B" w:rsidP="007B481B">
      <w:pPr>
        <w:numPr>
          <w:ilvl w:val="0"/>
          <w:numId w:val="1"/>
        </w:numPr>
        <w:jc w:val="both"/>
        <w:rPr>
          <w:rFonts w:ascii="Arial" w:hAnsi="Arial"/>
          <w:sz w:val="20"/>
        </w:rPr>
      </w:pPr>
      <w:bookmarkStart w:id="0" w:name="_Hlk502820721"/>
      <w:r>
        <w:rPr>
          <w:rFonts w:ascii="Arial" w:hAnsi="Arial"/>
          <w:sz w:val="20"/>
        </w:rPr>
        <w:t>Sample duplicates are not a required quality control element for Field parameters.</w:t>
      </w:r>
    </w:p>
    <w:p w14:paraId="2EB24F3D" w14:textId="7D9BBB1C" w:rsidR="00A83FF5" w:rsidRDefault="00894F29" w:rsidP="0038751D">
      <w:pPr>
        <w:numPr>
          <w:ilvl w:val="0"/>
          <w:numId w:val="1"/>
        </w:numPr>
        <w:jc w:val="both"/>
        <w:rPr>
          <w:rFonts w:ascii="Arial" w:hAnsi="Arial"/>
          <w:sz w:val="20"/>
        </w:rPr>
      </w:pPr>
      <w:r>
        <w:rPr>
          <w:rFonts w:ascii="Arial" w:hAnsi="Arial"/>
          <w:sz w:val="20"/>
        </w:rPr>
        <w:t xml:space="preserve">Sample results are to be reported in units of </w:t>
      </w:r>
      <w:r w:rsidR="00031074">
        <w:rPr>
          <w:rFonts w:ascii="Arial" w:hAnsi="Arial"/>
          <w:sz w:val="20"/>
        </w:rPr>
        <w:t>parts per thousand (</w:t>
      </w:r>
      <w:r>
        <w:rPr>
          <w:rFonts w:ascii="Arial" w:hAnsi="Arial"/>
          <w:sz w:val="20"/>
        </w:rPr>
        <w:t>ppt</w:t>
      </w:r>
      <w:r w:rsidR="00031074">
        <w:rPr>
          <w:rFonts w:ascii="Arial" w:hAnsi="Arial"/>
          <w:sz w:val="20"/>
        </w:rPr>
        <w:t>) which is equivalent to Practical Salinity Units (PSU)</w:t>
      </w:r>
      <w:r>
        <w:rPr>
          <w:rFonts w:ascii="Arial" w:hAnsi="Arial"/>
          <w:sz w:val="20"/>
        </w:rPr>
        <w:t>.</w:t>
      </w:r>
      <w:r w:rsidR="00A83FF5">
        <w:rPr>
          <w:rFonts w:ascii="Arial" w:hAnsi="Arial"/>
          <w:sz w:val="20"/>
        </w:rPr>
        <w:t xml:space="preserve"> </w:t>
      </w:r>
    </w:p>
    <w:bookmarkEnd w:id="0"/>
    <w:p w14:paraId="09969E58" w14:textId="77777777" w:rsidR="00D925ED" w:rsidRDefault="00F47ABE" w:rsidP="001A2ED5">
      <w:pPr>
        <w:numPr>
          <w:ilvl w:val="0"/>
          <w:numId w:val="1"/>
        </w:numPr>
        <w:jc w:val="both"/>
        <w:rPr>
          <w:rFonts w:ascii="Arial" w:hAnsi="Arial"/>
          <w:sz w:val="20"/>
        </w:rPr>
      </w:pPr>
      <w:r>
        <w:rPr>
          <w:rFonts w:ascii="Arial" w:hAnsi="Arial"/>
          <w:sz w:val="20"/>
        </w:rPr>
        <w:t>Salinity</w:t>
      </w:r>
      <w:r w:rsidR="001A2ED5" w:rsidRPr="00BE3A1A">
        <w:rPr>
          <w:rFonts w:ascii="Arial" w:hAnsi="Arial"/>
          <w:sz w:val="20"/>
        </w:rPr>
        <w:t xml:space="preserve"> samples must not be diluted.</w:t>
      </w:r>
      <w:r w:rsidR="001A2ED5">
        <w:rPr>
          <w:rFonts w:ascii="Arial" w:hAnsi="Arial"/>
          <w:sz w:val="20"/>
        </w:rPr>
        <w:t xml:space="preserve"> </w:t>
      </w:r>
    </w:p>
    <w:p w14:paraId="72455EDF" w14:textId="4528B60E" w:rsidR="00877438" w:rsidRDefault="00877438" w:rsidP="001A2ED5">
      <w:pPr>
        <w:numPr>
          <w:ilvl w:val="0"/>
          <w:numId w:val="1"/>
        </w:numPr>
        <w:jc w:val="both"/>
        <w:rPr>
          <w:rFonts w:ascii="Arial" w:hAnsi="Arial"/>
          <w:sz w:val="20"/>
        </w:rPr>
      </w:pPr>
      <w:r>
        <w:rPr>
          <w:rFonts w:ascii="Arial" w:hAnsi="Arial"/>
          <w:sz w:val="20"/>
        </w:rPr>
        <w:t xml:space="preserve">Salinity may be measured directly if the meter </w:t>
      </w:r>
      <w:r w:rsidR="00BB5414">
        <w:rPr>
          <w:rFonts w:ascii="Arial" w:hAnsi="Arial"/>
          <w:sz w:val="20"/>
        </w:rPr>
        <w:t>and probe allow</w:t>
      </w:r>
      <w:r>
        <w:rPr>
          <w:rFonts w:ascii="Arial" w:hAnsi="Arial"/>
          <w:sz w:val="20"/>
        </w:rPr>
        <w:t xml:space="preserve">. If not, the </w:t>
      </w:r>
      <w:r w:rsidR="00FE760A">
        <w:rPr>
          <w:rFonts w:ascii="Arial" w:hAnsi="Arial"/>
          <w:sz w:val="20"/>
        </w:rPr>
        <w:t>C</w:t>
      </w:r>
      <w:r>
        <w:rPr>
          <w:rFonts w:ascii="Arial" w:hAnsi="Arial"/>
          <w:sz w:val="20"/>
        </w:rPr>
        <w:t xml:space="preserve">onductivity may be measured and converted to </w:t>
      </w:r>
      <w:r w:rsidR="00FE760A">
        <w:rPr>
          <w:rFonts w:ascii="Arial" w:hAnsi="Arial"/>
          <w:sz w:val="20"/>
        </w:rPr>
        <w:t>S</w:t>
      </w:r>
      <w:r>
        <w:rPr>
          <w:rFonts w:ascii="Arial" w:hAnsi="Arial"/>
          <w:sz w:val="20"/>
        </w:rPr>
        <w:t xml:space="preserve">alinity. This Approved Procedure does not address converting </w:t>
      </w:r>
      <w:r w:rsidR="00FE760A">
        <w:rPr>
          <w:rFonts w:ascii="Arial" w:hAnsi="Arial"/>
          <w:sz w:val="20"/>
        </w:rPr>
        <w:t>C</w:t>
      </w:r>
      <w:r>
        <w:rPr>
          <w:rFonts w:ascii="Arial" w:hAnsi="Arial"/>
          <w:sz w:val="20"/>
        </w:rPr>
        <w:t xml:space="preserve">onductivity to </w:t>
      </w:r>
      <w:r w:rsidR="00FE760A">
        <w:rPr>
          <w:rFonts w:ascii="Arial" w:hAnsi="Arial"/>
          <w:sz w:val="20"/>
        </w:rPr>
        <w:t>S</w:t>
      </w:r>
      <w:r>
        <w:rPr>
          <w:rFonts w:ascii="Arial" w:hAnsi="Arial"/>
          <w:sz w:val="20"/>
        </w:rPr>
        <w:t>alinity.</w:t>
      </w:r>
      <w:r w:rsidR="00E35AC8">
        <w:rPr>
          <w:rFonts w:ascii="Arial" w:hAnsi="Arial"/>
          <w:sz w:val="20"/>
        </w:rPr>
        <w:t xml:space="preserve"> </w:t>
      </w:r>
      <w:r w:rsidR="00CD21BE">
        <w:rPr>
          <w:rFonts w:ascii="Arial" w:hAnsi="Arial"/>
          <w:sz w:val="20"/>
        </w:rPr>
        <w:t>The formula may be found in S</w:t>
      </w:r>
      <w:r w:rsidR="00A7246C">
        <w:rPr>
          <w:rFonts w:ascii="Arial" w:hAnsi="Arial"/>
          <w:sz w:val="20"/>
        </w:rPr>
        <w:t xml:space="preserve">tandard </w:t>
      </w:r>
      <w:r w:rsidR="00CD21BE">
        <w:rPr>
          <w:rFonts w:ascii="Arial" w:hAnsi="Arial"/>
          <w:sz w:val="20"/>
        </w:rPr>
        <w:t>M</w:t>
      </w:r>
      <w:r w:rsidR="00A7246C">
        <w:rPr>
          <w:rFonts w:ascii="Arial" w:hAnsi="Arial"/>
          <w:sz w:val="20"/>
        </w:rPr>
        <w:t>ethods</w:t>
      </w:r>
      <w:r w:rsidR="00CD21BE">
        <w:rPr>
          <w:rFonts w:ascii="Arial" w:hAnsi="Arial"/>
          <w:sz w:val="20"/>
        </w:rPr>
        <w:t xml:space="preserve"> 2520 B-</w:t>
      </w:r>
      <w:r w:rsidR="00D63581">
        <w:rPr>
          <w:rFonts w:ascii="Arial" w:hAnsi="Arial"/>
          <w:sz w:val="20"/>
        </w:rPr>
        <w:t>20</w:t>
      </w:r>
      <w:r w:rsidR="00BF03B8">
        <w:rPr>
          <w:rFonts w:ascii="Arial" w:hAnsi="Arial"/>
          <w:sz w:val="20"/>
        </w:rPr>
        <w:t>21</w:t>
      </w:r>
      <w:r w:rsidR="00D63581">
        <w:rPr>
          <w:rFonts w:ascii="Arial" w:hAnsi="Arial"/>
          <w:sz w:val="20"/>
        </w:rPr>
        <w:t xml:space="preserve">. </w:t>
      </w:r>
    </w:p>
    <w:p w14:paraId="6A558719" w14:textId="77777777" w:rsidR="00A045AF" w:rsidRDefault="001A2ED5" w:rsidP="001A2ED5">
      <w:pPr>
        <w:numPr>
          <w:ilvl w:val="0"/>
          <w:numId w:val="1"/>
        </w:numPr>
        <w:jc w:val="both"/>
        <w:rPr>
          <w:rFonts w:ascii="Arial" w:hAnsi="Arial"/>
          <w:sz w:val="20"/>
        </w:rPr>
      </w:pPr>
      <w:r>
        <w:rPr>
          <w:rFonts w:ascii="Arial" w:hAnsi="Arial"/>
          <w:sz w:val="20"/>
        </w:rPr>
        <w:t xml:space="preserve">Thoroughly rinse </w:t>
      </w:r>
      <w:r w:rsidR="00990EC7">
        <w:rPr>
          <w:rFonts w:ascii="Arial" w:hAnsi="Arial"/>
          <w:sz w:val="20"/>
        </w:rPr>
        <w:t>probe</w:t>
      </w:r>
      <w:r>
        <w:rPr>
          <w:rFonts w:ascii="Arial" w:hAnsi="Arial"/>
          <w:sz w:val="20"/>
        </w:rPr>
        <w:t xml:space="preserve"> with one or more portions of sample prior to sample measurement.</w:t>
      </w:r>
      <w:r w:rsidR="0034125E">
        <w:rPr>
          <w:rFonts w:ascii="Arial" w:hAnsi="Arial"/>
          <w:sz w:val="20"/>
        </w:rPr>
        <w:t xml:space="preserve"> </w:t>
      </w:r>
    </w:p>
    <w:p w14:paraId="6E2CAE1C" w14:textId="77777777" w:rsidR="0070141C" w:rsidRDefault="0070141C" w:rsidP="001A2ED5">
      <w:pPr>
        <w:numPr>
          <w:ilvl w:val="0"/>
          <w:numId w:val="1"/>
        </w:numPr>
        <w:jc w:val="both"/>
        <w:rPr>
          <w:rFonts w:ascii="Arial" w:hAnsi="Arial"/>
          <w:sz w:val="20"/>
        </w:rPr>
      </w:pPr>
      <w:r>
        <w:rPr>
          <w:rFonts w:ascii="Arial" w:hAnsi="Arial"/>
          <w:sz w:val="20"/>
        </w:rPr>
        <w:t xml:space="preserve">Keep the </w:t>
      </w:r>
      <w:r w:rsidR="007D0128">
        <w:rPr>
          <w:rFonts w:ascii="Arial" w:hAnsi="Arial"/>
          <w:sz w:val="20"/>
        </w:rPr>
        <w:t>probe</w:t>
      </w:r>
      <w:r>
        <w:rPr>
          <w:rFonts w:ascii="Arial" w:hAnsi="Arial"/>
          <w:sz w:val="20"/>
        </w:rPr>
        <w:t xml:space="preserve"> clean when not in use</w:t>
      </w:r>
      <w:r w:rsidR="00686F9B">
        <w:rPr>
          <w:rFonts w:ascii="Arial" w:hAnsi="Arial"/>
          <w:sz w:val="20"/>
        </w:rPr>
        <w:t>.</w:t>
      </w:r>
    </w:p>
    <w:p w14:paraId="432054D1" w14:textId="436C7995" w:rsidR="001A2ED5" w:rsidRPr="00BE3A1A" w:rsidRDefault="00B65E69" w:rsidP="00613224">
      <w:pPr>
        <w:numPr>
          <w:ilvl w:val="0"/>
          <w:numId w:val="1"/>
        </w:numPr>
        <w:spacing w:before="0" w:after="0"/>
        <w:jc w:val="both"/>
        <w:rPr>
          <w:rFonts w:ascii="Arial" w:hAnsi="Arial"/>
          <w:sz w:val="20"/>
        </w:rPr>
      </w:pPr>
      <w:r w:rsidRPr="00854C7F">
        <w:rPr>
          <w:rFonts w:ascii="Arial" w:hAnsi="Arial"/>
          <w:sz w:val="20"/>
        </w:rPr>
        <w:t>A post-analysis calibration verification must be performed at the end of the run anytime the meter is transported by vehicle to another location after calibration.</w:t>
      </w:r>
      <w:r w:rsidR="001A2ED5" w:rsidRPr="00BE3A1A">
        <w:rPr>
          <w:rFonts w:ascii="Arial" w:hAnsi="Arial"/>
          <w:sz w:val="20"/>
        </w:rPr>
        <w:t xml:space="preserve"> It is recommended that a mid-day</w:t>
      </w:r>
      <w:r w:rsidR="00D91430">
        <w:rPr>
          <w:rFonts w:ascii="Arial" w:hAnsi="Arial"/>
          <w:sz w:val="20"/>
        </w:rPr>
        <w:t xml:space="preserve"> or a mid-batch</w:t>
      </w:r>
      <w:r w:rsidR="001A2ED5" w:rsidRPr="00BE3A1A">
        <w:rPr>
          <w:rFonts w:ascii="Arial" w:hAnsi="Arial"/>
          <w:sz w:val="20"/>
        </w:rPr>
        <w:t xml:space="preserve"> calibration verification be performed when samples are analyzed over an extended </w:t>
      </w:r>
      <w:proofErr w:type="gramStart"/>
      <w:r w:rsidR="001A2ED5" w:rsidRPr="00BE3A1A">
        <w:rPr>
          <w:rFonts w:ascii="Arial" w:hAnsi="Arial"/>
          <w:sz w:val="20"/>
        </w:rPr>
        <w:t>period of time</w:t>
      </w:r>
      <w:proofErr w:type="gramEnd"/>
      <w:r w:rsidR="001A2ED5" w:rsidRPr="00BE3A1A">
        <w:rPr>
          <w:rFonts w:ascii="Arial" w:hAnsi="Arial"/>
          <w:sz w:val="20"/>
        </w:rPr>
        <w:t xml:space="preserve">. </w:t>
      </w:r>
      <w:r w:rsidR="001A2ED5" w:rsidRPr="006E073B">
        <w:rPr>
          <w:rFonts w:ascii="Arial" w:hAnsi="Arial"/>
          <w:sz w:val="20"/>
        </w:rPr>
        <w:t xml:space="preserve">The value obtained for the </w:t>
      </w:r>
      <w:r w:rsidR="00C37CFF" w:rsidRPr="006E073B">
        <w:rPr>
          <w:rFonts w:ascii="Arial" w:hAnsi="Arial"/>
          <w:sz w:val="20"/>
        </w:rPr>
        <w:t>post</w:t>
      </w:r>
      <w:r w:rsidR="00C37CFF">
        <w:rPr>
          <w:rFonts w:ascii="Arial" w:hAnsi="Arial"/>
          <w:sz w:val="20"/>
        </w:rPr>
        <w:t>-</w:t>
      </w:r>
      <w:r w:rsidR="001A2ED5" w:rsidRPr="006E073B">
        <w:rPr>
          <w:rFonts w:ascii="Arial" w:hAnsi="Arial"/>
          <w:sz w:val="20"/>
        </w:rPr>
        <w:t xml:space="preserve">analysis calibration verification </w:t>
      </w:r>
      <w:r w:rsidR="00C37CFF" w:rsidRPr="006E073B">
        <w:rPr>
          <w:rFonts w:ascii="Arial" w:hAnsi="Arial"/>
          <w:sz w:val="20"/>
        </w:rPr>
        <w:t>check</w:t>
      </w:r>
      <w:r w:rsidR="00C37CFF">
        <w:rPr>
          <w:rFonts w:ascii="Arial" w:hAnsi="Arial"/>
          <w:sz w:val="20"/>
        </w:rPr>
        <w:t>-</w:t>
      </w:r>
      <w:r w:rsidR="001A2ED5" w:rsidRPr="006E073B">
        <w:rPr>
          <w:rFonts w:ascii="Arial" w:hAnsi="Arial"/>
          <w:sz w:val="20"/>
        </w:rPr>
        <w:t xml:space="preserve">standard must read within </w:t>
      </w:r>
      <w:r w:rsidR="005A51E1">
        <w:rPr>
          <w:rFonts w:ascii="Arial" w:hAnsi="Arial" w:cs="Arial"/>
          <w:sz w:val="20"/>
        </w:rPr>
        <w:t>±</w:t>
      </w:r>
      <w:r w:rsidR="001A2ED5" w:rsidRPr="006E073B">
        <w:rPr>
          <w:rFonts w:ascii="Arial" w:hAnsi="Arial"/>
          <w:sz w:val="20"/>
        </w:rPr>
        <w:t>10% of the standard’s true value.</w:t>
      </w:r>
      <w:r w:rsidR="001A2ED5">
        <w:rPr>
          <w:rFonts w:ascii="Arial" w:hAnsi="Arial"/>
          <w:sz w:val="20"/>
        </w:rPr>
        <w:t xml:space="preserve"> </w:t>
      </w:r>
      <w:r w:rsidR="001A2ED5" w:rsidRPr="00BE3A1A">
        <w:rPr>
          <w:rFonts w:ascii="Arial" w:hAnsi="Arial"/>
          <w:sz w:val="20"/>
        </w:rPr>
        <w:t xml:space="preserve">If the obtained value is outside of the </w:t>
      </w:r>
      <w:r w:rsidR="001A2ED5" w:rsidRPr="00BE3A1A">
        <w:rPr>
          <w:rFonts w:ascii="Arial" w:hAnsi="Arial" w:cs="Arial"/>
          <w:sz w:val="20"/>
        </w:rPr>
        <w:t>±</w:t>
      </w:r>
      <w:r w:rsidR="001A2ED5" w:rsidRPr="00BE3A1A">
        <w:rPr>
          <w:rFonts w:ascii="Arial" w:hAnsi="Arial"/>
          <w:sz w:val="20"/>
        </w:rPr>
        <w:t>10% range, corrective action must be taken.</w:t>
      </w:r>
      <w:r w:rsidR="0026311C">
        <w:rPr>
          <w:rFonts w:ascii="Arial" w:hAnsi="Arial"/>
          <w:sz w:val="20"/>
        </w:rPr>
        <w:t xml:space="preserve"> </w:t>
      </w:r>
      <w:r w:rsidR="0026311C" w:rsidRPr="0026311C">
        <w:rPr>
          <w:rFonts w:ascii="Arial" w:hAnsi="Arial"/>
          <w:sz w:val="20"/>
        </w:rPr>
        <w:t>If recalibration is necessary, all samples analyzed since the last acceptable calibration verification must be reanalyzed, if possible. If samples cannot be reanalyzed, the data must be qualified.</w:t>
      </w:r>
    </w:p>
    <w:p w14:paraId="4A62BE73" w14:textId="77777777" w:rsidR="006C2781" w:rsidRDefault="006C2781" w:rsidP="00613224">
      <w:pPr>
        <w:spacing w:before="0" w:after="0"/>
        <w:jc w:val="both"/>
        <w:rPr>
          <w:rFonts w:ascii="Arial" w:hAnsi="Arial"/>
          <w:b/>
          <w:sz w:val="20"/>
          <w:u w:val="single"/>
        </w:rPr>
      </w:pPr>
    </w:p>
    <w:p w14:paraId="49312A87" w14:textId="77777777" w:rsidR="001A2ED5" w:rsidRDefault="00BB6551" w:rsidP="00613224">
      <w:pPr>
        <w:spacing w:before="0" w:after="0"/>
        <w:jc w:val="both"/>
        <w:rPr>
          <w:rFonts w:ascii="Arial" w:hAnsi="Arial"/>
          <w:b/>
          <w:sz w:val="20"/>
          <w:u w:val="single"/>
        </w:rPr>
      </w:pPr>
      <w:r>
        <w:rPr>
          <w:rFonts w:ascii="Arial" w:hAnsi="Arial"/>
          <w:b/>
          <w:sz w:val="20"/>
          <w:u w:val="single"/>
        </w:rPr>
        <w:t>Operational Range Verification</w:t>
      </w:r>
    </w:p>
    <w:p w14:paraId="467DEEFE" w14:textId="77777777" w:rsidR="00613224" w:rsidRDefault="00BB6551" w:rsidP="00613224">
      <w:pPr>
        <w:spacing w:after="0"/>
        <w:jc w:val="both"/>
        <w:rPr>
          <w:rFonts w:ascii="Arial" w:hAnsi="Arial"/>
          <w:b/>
          <w:sz w:val="20"/>
          <w:u w:val="single"/>
        </w:rPr>
      </w:pPr>
      <w:r>
        <w:rPr>
          <w:rFonts w:ascii="Arial" w:hAnsi="Arial"/>
          <w:sz w:val="20"/>
        </w:rPr>
        <w:t>Before using this method or a new instrument, determine its operational range</w:t>
      </w:r>
      <w:r w:rsidR="005D7CC4">
        <w:rPr>
          <w:rFonts w:ascii="Arial" w:hAnsi="Arial"/>
          <w:sz w:val="20"/>
        </w:rPr>
        <w:t xml:space="preserve"> (upper and lower limits), or at least verify the intended range of use</w:t>
      </w:r>
      <w:r>
        <w:rPr>
          <w:rFonts w:ascii="Arial" w:hAnsi="Arial"/>
          <w:sz w:val="20"/>
        </w:rPr>
        <w:t>.</w:t>
      </w:r>
      <w:r w:rsidR="005D7CC4">
        <w:rPr>
          <w:rFonts w:ascii="Arial" w:hAnsi="Arial"/>
          <w:sz w:val="20"/>
        </w:rPr>
        <w:t xml:space="preserve"> For each analyte, use standard concentrations that provide increasing instrument or other test response. The minimum reporting level (MRL) is set at or above the lowest standard used in the analysis. Quantitation at the MRL must</w:t>
      </w:r>
      <w:r w:rsidR="00B50C7B">
        <w:rPr>
          <w:rFonts w:ascii="Arial" w:hAnsi="Arial"/>
          <w:sz w:val="20"/>
        </w:rPr>
        <w:t xml:space="preserve"> be</w:t>
      </w:r>
      <w:r w:rsidR="005D7CC4">
        <w:rPr>
          <w:rFonts w:ascii="Arial" w:hAnsi="Arial"/>
          <w:sz w:val="20"/>
        </w:rPr>
        <w:t xml:space="preserve"> verified initially and at least quarterly (preferabl</w:t>
      </w:r>
      <w:r w:rsidR="0068159F">
        <w:rPr>
          <w:rFonts w:ascii="Arial" w:hAnsi="Arial"/>
          <w:sz w:val="20"/>
        </w:rPr>
        <w:t>y</w:t>
      </w:r>
      <w:r w:rsidR="005D7CC4">
        <w:rPr>
          <w:rFonts w:ascii="Arial" w:hAnsi="Arial"/>
          <w:sz w:val="20"/>
        </w:rPr>
        <w:t xml:space="preserve"> daily) by analyzing a QC sample. </w:t>
      </w:r>
      <w:r w:rsidR="008346F8">
        <w:rPr>
          <w:rFonts w:ascii="Arial" w:hAnsi="Arial"/>
          <w:sz w:val="20"/>
        </w:rPr>
        <w:t xml:space="preserve">The standard must read within </w:t>
      </w:r>
      <w:r w:rsidR="008346F8">
        <w:rPr>
          <w:rFonts w:ascii="Arial" w:hAnsi="Arial" w:cs="Arial"/>
          <w:sz w:val="20"/>
        </w:rPr>
        <w:t>±</w:t>
      </w:r>
      <w:r w:rsidR="008346F8">
        <w:rPr>
          <w:rFonts w:ascii="Arial" w:hAnsi="Arial"/>
          <w:sz w:val="20"/>
        </w:rPr>
        <w:t>10% of the true value.</w:t>
      </w:r>
    </w:p>
    <w:p w14:paraId="6DF934AE" w14:textId="77777777" w:rsidR="00613224" w:rsidRDefault="00613224" w:rsidP="00613224">
      <w:pPr>
        <w:spacing w:before="0" w:after="0"/>
        <w:jc w:val="both"/>
        <w:rPr>
          <w:rFonts w:ascii="Arial" w:hAnsi="Arial"/>
          <w:b/>
          <w:sz w:val="20"/>
          <w:u w:val="single"/>
        </w:rPr>
      </w:pPr>
    </w:p>
    <w:p w14:paraId="5D428E09" w14:textId="68465A0B" w:rsidR="001A2ED5" w:rsidRPr="00613224" w:rsidRDefault="001A2ED5" w:rsidP="00613224">
      <w:pPr>
        <w:spacing w:before="0" w:after="0"/>
        <w:jc w:val="both"/>
        <w:rPr>
          <w:rFonts w:ascii="Arial" w:hAnsi="Arial"/>
          <w:b/>
          <w:sz w:val="20"/>
          <w:u w:val="single"/>
        </w:rPr>
      </w:pPr>
      <w:r w:rsidRPr="00F61A31">
        <w:rPr>
          <w:rFonts w:ascii="Arial" w:hAnsi="Arial"/>
          <w:b/>
          <w:sz w:val="20"/>
          <w:u w:val="single"/>
        </w:rPr>
        <w:t>Standards:</w:t>
      </w:r>
      <w:r w:rsidRPr="00F61A31">
        <w:rPr>
          <w:rFonts w:ascii="Arial" w:hAnsi="Arial"/>
          <w:b/>
          <w:sz w:val="20"/>
        </w:rPr>
        <w:t xml:space="preserve"> </w:t>
      </w:r>
    </w:p>
    <w:p w14:paraId="5D4FD732" w14:textId="31CECE18" w:rsidR="00ED5591" w:rsidRDefault="4EA724F7" w:rsidP="4EA724F7">
      <w:pPr>
        <w:jc w:val="both"/>
        <w:rPr>
          <w:rFonts w:ascii="Arial" w:hAnsi="Arial"/>
          <w:sz w:val="20"/>
        </w:rPr>
      </w:pPr>
      <w:r w:rsidRPr="4EA724F7">
        <w:rPr>
          <w:rFonts w:ascii="Arial" w:hAnsi="Arial"/>
          <w:sz w:val="20"/>
        </w:rPr>
        <w:t xml:space="preserve">Potassium Chloride (KCl) </w:t>
      </w:r>
      <w:r w:rsidR="00E125C6">
        <w:rPr>
          <w:rFonts w:ascii="Arial" w:hAnsi="Arial"/>
          <w:sz w:val="20"/>
        </w:rPr>
        <w:t>C</w:t>
      </w:r>
      <w:r w:rsidRPr="4EA724F7">
        <w:rPr>
          <w:rFonts w:ascii="Arial" w:hAnsi="Arial"/>
          <w:sz w:val="20"/>
        </w:rPr>
        <w:t>onductivity standards may be purchased or prepared according to Table 2510:</w:t>
      </w:r>
      <w:r w:rsidR="00BF03B8">
        <w:rPr>
          <w:rFonts w:ascii="Arial" w:hAnsi="Arial"/>
          <w:sz w:val="20"/>
        </w:rPr>
        <w:t>1</w:t>
      </w:r>
      <w:r w:rsidRPr="4EA724F7">
        <w:rPr>
          <w:rFonts w:ascii="Arial" w:hAnsi="Arial"/>
          <w:sz w:val="20"/>
        </w:rPr>
        <w:t xml:space="preserve"> of Standard Methods, 2510 A-20</w:t>
      </w:r>
      <w:r w:rsidR="00BF03B8">
        <w:rPr>
          <w:rFonts w:ascii="Arial" w:hAnsi="Arial"/>
          <w:sz w:val="20"/>
        </w:rPr>
        <w:t>2</w:t>
      </w:r>
      <w:r w:rsidRPr="4EA724F7">
        <w:rPr>
          <w:rFonts w:ascii="Arial" w:hAnsi="Arial"/>
          <w:sz w:val="20"/>
        </w:rPr>
        <w:t xml:space="preserve">1. In addition to the standards listed below, standard seawater, commercially available with a </w:t>
      </w:r>
      <w:r w:rsidR="00BF03B8">
        <w:rPr>
          <w:rFonts w:ascii="Arial" w:hAnsi="Arial"/>
          <w:sz w:val="20"/>
        </w:rPr>
        <w:t>S</w:t>
      </w:r>
      <w:r w:rsidRPr="4EA724F7">
        <w:rPr>
          <w:rFonts w:ascii="Arial" w:hAnsi="Arial"/>
          <w:sz w:val="20"/>
        </w:rPr>
        <w:t xml:space="preserve">alinity of 35 at 15 </w:t>
      </w:r>
      <w:r w:rsidRPr="4EA724F7">
        <w:rPr>
          <w:rFonts w:ascii="Arial" w:hAnsi="Arial" w:cs="Arial"/>
          <w:sz w:val="20"/>
        </w:rPr>
        <w:t>°</w:t>
      </w:r>
      <w:r w:rsidRPr="4EA724F7">
        <w:rPr>
          <w:rFonts w:ascii="Arial" w:hAnsi="Arial"/>
          <w:sz w:val="20"/>
        </w:rPr>
        <w:t xml:space="preserve">C may be purchased. Alternatively, a standard may be prepared at this concentration by dissolving 32.4356 g of KCl in 1 L of deionized water. </w:t>
      </w:r>
    </w:p>
    <w:p w14:paraId="5AFF7087" w14:textId="2E4A80F7" w:rsidR="00956099" w:rsidRDefault="001A2ED5" w:rsidP="00956099">
      <w:pPr>
        <w:jc w:val="both"/>
        <w:rPr>
          <w:rFonts w:ascii="Arial" w:hAnsi="Arial"/>
          <w:sz w:val="20"/>
        </w:rPr>
      </w:pPr>
      <w:r w:rsidRPr="00F61A31">
        <w:rPr>
          <w:rFonts w:ascii="Arial" w:hAnsi="Arial"/>
          <w:sz w:val="20"/>
        </w:rPr>
        <w:t>A portion of the standard should not be used for more than one calibration. Discard any</w:t>
      </w:r>
      <w:r w:rsidR="00D62C06">
        <w:rPr>
          <w:rFonts w:ascii="Arial" w:hAnsi="Arial"/>
          <w:sz w:val="20"/>
        </w:rPr>
        <w:t xml:space="preserve"> portions of standard</w:t>
      </w:r>
      <w:r w:rsidRPr="00F61A31">
        <w:rPr>
          <w:rFonts w:ascii="Arial" w:hAnsi="Arial"/>
          <w:sz w:val="20"/>
        </w:rPr>
        <w:t xml:space="preserve"> used</w:t>
      </w:r>
      <w:r w:rsidR="0068563C">
        <w:rPr>
          <w:rFonts w:ascii="Arial" w:hAnsi="Arial"/>
          <w:sz w:val="20"/>
        </w:rPr>
        <w:t xml:space="preserve"> each day</w:t>
      </w:r>
      <w:r w:rsidRPr="00F61A31">
        <w:rPr>
          <w:rFonts w:ascii="Arial" w:hAnsi="Arial"/>
          <w:sz w:val="20"/>
        </w:rPr>
        <w:t>.</w:t>
      </w:r>
    </w:p>
    <w:p w14:paraId="7BF8EF44" w14:textId="2A567E9E" w:rsidR="000F478B" w:rsidRPr="001A6EF1" w:rsidRDefault="00BE5326" w:rsidP="00B74B84">
      <w:pPr>
        <w:jc w:val="both"/>
        <w:rPr>
          <w:rFonts w:eastAsia="Calibri"/>
          <w:color w:val="231F20"/>
          <w:sz w:val="15"/>
          <w:szCs w:val="15"/>
        </w:rPr>
      </w:pPr>
      <w:r w:rsidRPr="00BE5326">
        <w:rPr>
          <w:rFonts w:ascii="Arial" w:hAnsi="Arial"/>
          <w:b/>
          <w:sz w:val="20"/>
        </w:rPr>
        <w:t>Note:</w:t>
      </w:r>
      <w:r>
        <w:rPr>
          <w:rFonts w:ascii="Arial" w:hAnsi="Arial"/>
          <w:sz w:val="20"/>
        </w:rPr>
        <w:t xml:space="preserve"> </w:t>
      </w:r>
      <w:r w:rsidRPr="00956099">
        <w:rPr>
          <w:rFonts w:ascii="Arial" w:hAnsi="Arial"/>
          <w:sz w:val="20"/>
        </w:rPr>
        <w:t>The preparation of the standards in Table 2510:</w:t>
      </w:r>
      <w:r w:rsidR="00BF03B8">
        <w:rPr>
          <w:rFonts w:ascii="Arial" w:hAnsi="Arial"/>
          <w:sz w:val="20"/>
        </w:rPr>
        <w:t>1</w:t>
      </w:r>
      <w:r w:rsidRPr="00956099">
        <w:rPr>
          <w:rFonts w:ascii="Arial" w:hAnsi="Arial"/>
          <w:sz w:val="20"/>
        </w:rPr>
        <w:t xml:space="preserve"> indicates that the relationship between mass of KCl used and standard concentration is not linear; therefore</w:t>
      </w:r>
      <w:r w:rsidR="00F90300">
        <w:rPr>
          <w:rFonts w:ascii="Arial" w:hAnsi="Arial"/>
          <w:sz w:val="20"/>
        </w:rPr>
        <w:t>,</w:t>
      </w:r>
      <w:r w:rsidRPr="00956099">
        <w:rPr>
          <w:rFonts w:ascii="Arial" w:hAnsi="Arial"/>
          <w:sz w:val="20"/>
        </w:rPr>
        <w:t xml:space="preserve"> standards may not be diluted but must be prepared individually.</w:t>
      </w:r>
    </w:p>
    <w:tbl>
      <w:tblPr>
        <w:tblpPr w:leftFromText="180" w:rightFromText="180" w:vertAnchor="text" w:tblpXSpec="center" w:tblpY="1"/>
        <w:tblOverlap w:val="never"/>
        <w:tblW w:w="9540" w:type="dxa"/>
        <w:tblLayout w:type="fixed"/>
        <w:tblCellMar>
          <w:left w:w="29" w:type="dxa"/>
          <w:right w:w="29" w:type="dxa"/>
        </w:tblCellMar>
        <w:tblLook w:val="04A0" w:firstRow="1" w:lastRow="0" w:firstColumn="1" w:lastColumn="0" w:noHBand="0" w:noVBand="1"/>
      </w:tblPr>
      <w:tblGrid>
        <w:gridCol w:w="1260"/>
        <w:gridCol w:w="1170"/>
        <w:gridCol w:w="1890"/>
        <w:gridCol w:w="1620"/>
        <w:gridCol w:w="1710"/>
        <w:gridCol w:w="1890"/>
      </w:tblGrid>
      <w:tr w:rsidR="00614EE4" w:rsidRPr="00161BB0" w14:paraId="4AD068E3" w14:textId="77777777" w:rsidTr="00536E3F">
        <w:trPr>
          <w:trHeight w:val="300"/>
        </w:trPr>
        <w:tc>
          <w:tcPr>
            <w:tcW w:w="9540" w:type="dxa"/>
            <w:gridSpan w:val="6"/>
            <w:tcBorders>
              <w:top w:val="nil"/>
              <w:left w:val="nil"/>
              <w:right w:val="nil"/>
            </w:tcBorders>
            <w:noWrap/>
            <w:vAlign w:val="bottom"/>
          </w:tcPr>
          <w:p w14:paraId="500AD669" w14:textId="07D945AE" w:rsidR="00614EE4" w:rsidRPr="00161BB0" w:rsidRDefault="00614EE4" w:rsidP="00E15C76">
            <w:pPr>
              <w:widowControl/>
              <w:spacing w:before="0" w:after="0"/>
              <w:jc w:val="center"/>
              <w:rPr>
                <w:rFonts w:ascii="Arial" w:hAnsi="Arial" w:cs="Arial"/>
                <w:b/>
                <w:bCs/>
                <w:color w:val="000000"/>
                <w:sz w:val="20"/>
                <w:u w:val="single"/>
              </w:rPr>
            </w:pPr>
            <w:r w:rsidRPr="00161BB0">
              <w:rPr>
                <w:rFonts w:ascii="Arial" w:hAnsi="Arial" w:cs="Arial"/>
                <w:b/>
                <w:bCs/>
                <w:color w:val="000000"/>
                <w:sz w:val="20"/>
                <w:u w:val="single"/>
              </w:rPr>
              <w:t xml:space="preserve">Conductivity and Salinity of Potassium Chloride </w:t>
            </w:r>
          </w:p>
        </w:tc>
      </w:tr>
      <w:tr w:rsidR="00630B0F" w:rsidRPr="00161BB0" w14:paraId="0669B1A8" w14:textId="77777777" w:rsidTr="00536E3F">
        <w:trPr>
          <w:trHeight w:val="408"/>
        </w:trPr>
        <w:tc>
          <w:tcPr>
            <w:tcW w:w="1260" w:type="dxa"/>
            <w:tcBorders>
              <w:top w:val="single" w:sz="4" w:space="0" w:color="auto"/>
              <w:left w:val="single" w:sz="4" w:space="0" w:color="auto"/>
              <w:bottom w:val="single" w:sz="4" w:space="0" w:color="auto"/>
              <w:right w:val="single" w:sz="4" w:space="0" w:color="auto"/>
            </w:tcBorders>
            <w:vAlign w:val="center"/>
            <w:hideMark/>
          </w:tcPr>
          <w:p w14:paraId="3854B823" w14:textId="0C6E8052"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KCl</w:t>
            </w:r>
            <w:r w:rsidR="00536E3F">
              <w:rPr>
                <w:rFonts w:ascii="Arial" w:hAnsi="Arial" w:cs="Arial"/>
                <w:color w:val="000000"/>
                <w:sz w:val="20"/>
              </w:rPr>
              <w:t xml:space="preserve"> </w:t>
            </w:r>
            <w:r w:rsidRPr="00161BB0">
              <w:rPr>
                <w:rFonts w:ascii="Arial" w:hAnsi="Arial" w:cs="Arial"/>
                <w:color w:val="000000"/>
                <w:sz w:val="20"/>
              </w:rPr>
              <w:t>Molarity</w:t>
            </w:r>
            <w:r w:rsidRPr="00161BB0">
              <w:rPr>
                <w:rFonts w:ascii="Arial" w:hAnsi="Arial" w:cs="Arial"/>
                <w:color w:val="000000"/>
                <w:sz w:val="20"/>
              </w:rPr>
              <w:br/>
              <w:t>(</w:t>
            </w:r>
            <w:r w:rsidRPr="00161BB0">
              <w:rPr>
                <w:rFonts w:ascii="Arial" w:hAnsi="Arial" w:cs="Arial"/>
                <w:i/>
                <w:iCs/>
                <w:color w:val="000000"/>
                <w:sz w:val="20"/>
              </w:rPr>
              <w:t>M)</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528F13B"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KCl Wt.*</w:t>
            </w:r>
            <w:r w:rsidRPr="00161BB0">
              <w:rPr>
                <w:rFonts w:ascii="Arial" w:hAnsi="Arial" w:cs="Arial"/>
                <w:color w:val="000000"/>
                <w:sz w:val="20"/>
              </w:rPr>
              <w:br/>
              <w:t>(grams)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EBB2818" w14:textId="77777777" w:rsidR="00614EE4" w:rsidRPr="00161BB0" w:rsidRDefault="00614EE4" w:rsidP="00031074">
            <w:pPr>
              <w:widowControl/>
              <w:spacing w:before="0" w:after="0"/>
              <w:jc w:val="center"/>
              <w:rPr>
                <w:rFonts w:ascii="Arial" w:hAnsi="Arial" w:cs="Arial"/>
                <w:color w:val="000000"/>
                <w:sz w:val="20"/>
              </w:rPr>
            </w:pPr>
            <w:r w:rsidRPr="00161BB0">
              <w:rPr>
                <w:rFonts w:ascii="Arial" w:hAnsi="Arial" w:cs="Arial"/>
                <w:color w:val="000000"/>
                <w:sz w:val="20"/>
              </w:rPr>
              <w:t>Conductivity</w:t>
            </w:r>
            <w:r w:rsidR="00953940" w:rsidRPr="00161BB0">
              <w:rPr>
                <w:rFonts w:ascii="Arial" w:hAnsi="Arial" w:cs="Arial"/>
                <w:color w:val="000000"/>
                <w:sz w:val="20"/>
              </w:rPr>
              <w:t xml:space="preserve"> at 25°C</w:t>
            </w:r>
            <w:r w:rsidR="00953940" w:rsidRPr="00161BB0" w:rsidDel="000E01A8">
              <w:rPr>
                <w:rFonts w:ascii="Arial" w:hAnsi="Arial" w:cs="Arial"/>
                <w:color w:val="000000"/>
                <w:sz w:val="20"/>
              </w:rPr>
              <w:t xml:space="preserve"> </w:t>
            </w:r>
            <w:r w:rsidRPr="00161BB0">
              <w:rPr>
                <w:rFonts w:ascii="Arial" w:hAnsi="Arial" w:cs="Arial"/>
                <w:color w:val="000000"/>
                <w:sz w:val="20"/>
              </w:rPr>
              <w:br/>
              <w:t>(µ</w:t>
            </w:r>
            <w:r w:rsidRPr="003A26B4">
              <w:rPr>
                <w:rFonts w:ascii="Arial" w:hAnsi="Arial" w:cs="Arial"/>
                <w:color w:val="000000"/>
                <w:sz w:val="20"/>
              </w:rPr>
              <w:t>mho/cm</w:t>
            </w:r>
            <w:r w:rsidRPr="00161BB0">
              <w:rPr>
                <w:rFonts w:ascii="Arial" w:hAnsi="Arial" w:cs="Arial"/>
                <w:iCs/>
                <w:color w:val="000000"/>
                <w:sz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CFDFB61"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Salinity at 15°C</w:t>
            </w:r>
          </w:p>
          <w:p w14:paraId="16A1B034"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(ppt)</w:t>
            </w:r>
          </w:p>
        </w:tc>
        <w:tc>
          <w:tcPr>
            <w:tcW w:w="1710" w:type="dxa"/>
            <w:tcBorders>
              <w:top w:val="single" w:sz="4" w:space="0" w:color="auto"/>
              <w:left w:val="single" w:sz="4" w:space="0" w:color="auto"/>
              <w:bottom w:val="single" w:sz="4" w:space="0" w:color="auto"/>
              <w:right w:val="single" w:sz="4" w:space="0" w:color="auto"/>
            </w:tcBorders>
            <w:vAlign w:val="center"/>
          </w:tcPr>
          <w:p w14:paraId="53F166F3" w14:textId="77777777" w:rsidR="00614EE4" w:rsidRPr="00161BB0" w:rsidRDefault="00614EE4">
            <w:pPr>
              <w:widowControl/>
              <w:spacing w:before="0" w:after="0"/>
              <w:jc w:val="center"/>
              <w:rPr>
                <w:rFonts w:ascii="Arial" w:hAnsi="Arial" w:cs="Arial"/>
                <w:color w:val="000000"/>
                <w:sz w:val="20"/>
              </w:rPr>
            </w:pPr>
            <w:r w:rsidRPr="00161BB0">
              <w:rPr>
                <w:rFonts w:ascii="Arial" w:hAnsi="Arial" w:cs="Arial"/>
                <w:color w:val="000000"/>
                <w:sz w:val="20"/>
              </w:rPr>
              <w:t xml:space="preserve"> Salinity at 20°C</w:t>
            </w:r>
          </w:p>
          <w:p w14:paraId="6F074A9F" w14:textId="77777777" w:rsidR="00614EE4" w:rsidRPr="00161BB0" w:rsidRDefault="00614EE4" w:rsidP="00031074">
            <w:pPr>
              <w:widowControl/>
              <w:spacing w:before="0" w:after="0"/>
              <w:jc w:val="center"/>
              <w:rPr>
                <w:rFonts w:ascii="Arial" w:hAnsi="Arial" w:cs="Arial"/>
                <w:color w:val="000000"/>
                <w:sz w:val="20"/>
              </w:rPr>
            </w:pPr>
            <w:r w:rsidRPr="00161BB0">
              <w:rPr>
                <w:rFonts w:ascii="Arial" w:hAnsi="Arial" w:cs="Arial"/>
                <w:color w:val="000000"/>
                <w:sz w:val="20"/>
              </w:rPr>
              <w:t>(ppt)</w:t>
            </w:r>
          </w:p>
        </w:tc>
        <w:tc>
          <w:tcPr>
            <w:tcW w:w="1890" w:type="dxa"/>
            <w:tcBorders>
              <w:top w:val="single" w:sz="4" w:space="0" w:color="auto"/>
              <w:left w:val="single" w:sz="4" w:space="0" w:color="auto"/>
              <w:bottom w:val="single" w:sz="4" w:space="0" w:color="auto"/>
              <w:right w:val="single" w:sz="4" w:space="0" w:color="auto"/>
            </w:tcBorders>
            <w:vAlign w:val="center"/>
          </w:tcPr>
          <w:p w14:paraId="05C6A782" w14:textId="77777777" w:rsidR="00614EE4" w:rsidRPr="00161BB0" w:rsidRDefault="00614EE4" w:rsidP="00614EE4">
            <w:pPr>
              <w:widowControl/>
              <w:spacing w:before="0" w:after="0"/>
              <w:jc w:val="center"/>
              <w:rPr>
                <w:rFonts w:ascii="Arial" w:hAnsi="Arial" w:cs="Arial"/>
                <w:color w:val="000000"/>
                <w:sz w:val="20"/>
              </w:rPr>
            </w:pPr>
            <w:r w:rsidRPr="00161BB0">
              <w:rPr>
                <w:rFonts w:ascii="Arial" w:hAnsi="Arial" w:cs="Arial"/>
                <w:color w:val="000000"/>
                <w:sz w:val="20"/>
              </w:rPr>
              <w:t xml:space="preserve"> Salinity at 25°C</w:t>
            </w:r>
          </w:p>
          <w:p w14:paraId="3114CF83" w14:textId="77777777" w:rsidR="00614EE4" w:rsidRPr="00161BB0" w:rsidRDefault="00614EE4" w:rsidP="00031074">
            <w:pPr>
              <w:widowControl/>
              <w:spacing w:before="0" w:after="0"/>
              <w:jc w:val="center"/>
              <w:rPr>
                <w:rFonts w:ascii="Arial" w:hAnsi="Arial" w:cs="Arial"/>
                <w:color w:val="000000"/>
                <w:sz w:val="20"/>
              </w:rPr>
            </w:pPr>
            <w:r w:rsidRPr="00161BB0">
              <w:rPr>
                <w:rFonts w:ascii="Arial" w:hAnsi="Arial" w:cs="Arial"/>
                <w:color w:val="000000"/>
                <w:sz w:val="20"/>
              </w:rPr>
              <w:t>(ppt)</w:t>
            </w:r>
          </w:p>
        </w:tc>
      </w:tr>
      <w:tr w:rsidR="00630B0F" w:rsidRPr="00161BB0" w14:paraId="6FC94655" w14:textId="77777777" w:rsidTr="00536E3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1FD11E13"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0.0001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47B808A"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0.00745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0FF0C79"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14.9</w:t>
            </w:r>
          </w:p>
        </w:tc>
        <w:tc>
          <w:tcPr>
            <w:tcW w:w="1620" w:type="dxa"/>
            <w:tcBorders>
              <w:top w:val="single" w:sz="4" w:space="0" w:color="auto"/>
              <w:left w:val="single" w:sz="4" w:space="0" w:color="auto"/>
              <w:bottom w:val="single" w:sz="4" w:space="0" w:color="auto"/>
              <w:right w:val="single" w:sz="4" w:space="0" w:color="auto"/>
            </w:tcBorders>
            <w:vAlign w:val="center"/>
          </w:tcPr>
          <w:p w14:paraId="538E255E"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0.01</w:t>
            </w:r>
          </w:p>
        </w:tc>
        <w:tc>
          <w:tcPr>
            <w:tcW w:w="1710" w:type="dxa"/>
            <w:tcBorders>
              <w:top w:val="single" w:sz="4" w:space="0" w:color="auto"/>
              <w:left w:val="single" w:sz="4" w:space="0" w:color="auto"/>
              <w:bottom w:val="single" w:sz="4" w:space="0" w:color="auto"/>
              <w:right w:val="single" w:sz="4" w:space="0" w:color="auto"/>
            </w:tcBorders>
            <w:vAlign w:val="center"/>
          </w:tcPr>
          <w:p w14:paraId="0F3C75D2" w14:textId="77777777" w:rsidR="00614EE4" w:rsidRPr="00161BB0" w:rsidRDefault="00965301" w:rsidP="00D3725D">
            <w:pPr>
              <w:widowControl/>
              <w:spacing w:before="0" w:after="0"/>
              <w:jc w:val="center"/>
              <w:rPr>
                <w:rFonts w:ascii="Arial" w:hAnsi="Arial" w:cs="Arial"/>
                <w:sz w:val="20"/>
              </w:rPr>
            </w:pPr>
            <w:r w:rsidRPr="00161BB0">
              <w:rPr>
                <w:rFonts w:ascii="Arial" w:hAnsi="Arial" w:cs="Arial"/>
                <w:sz w:val="20"/>
              </w:rPr>
              <w:t>0.01</w:t>
            </w:r>
          </w:p>
        </w:tc>
        <w:tc>
          <w:tcPr>
            <w:tcW w:w="1890" w:type="dxa"/>
            <w:tcBorders>
              <w:top w:val="single" w:sz="4" w:space="0" w:color="auto"/>
              <w:left w:val="single" w:sz="4" w:space="0" w:color="auto"/>
              <w:bottom w:val="single" w:sz="4" w:space="0" w:color="auto"/>
              <w:right w:val="single" w:sz="4" w:space="0" w:color="auto"/>
            </w:tcBorders>
            <w:vAlign w:val="center"/>
          </w:tcPr>
          <w:p w14:paraId="1D80C319" w14:textId="77777777" w:rsidR="00614EE4" w:rsidRPr="00161BB0" w:rsidRDefault="00965301" w:rsidP="00D3725D">
            <w:pPr>
              <w:widowControl/>
              <w:spacing w:before="0" w:after="0"/>
              <w:jc w:val="center"/>
              <w:rPr>
                <w:rFonts w:ascii="Arial" w:hAnsi="Arial" w:cs="Arial"/>
                <w:color w:val="000000"/>
                <w:sz w:val="20"/>
              </w:rPr>
            </w:pPr>
            <w:r w:rsidRPr="00161BB0">
              <w:rPr>
                <w:rFonts w:ascii="Arial" w:hAnsi="Arial" w:cs="Arial"/>
                <w:sz w:val="20"/>
              </w:rPr>
              <w:t>0.01</w:t>
            </w:r>
          </w:p>
        </w:tc>
      </w:tr>
      <w:tr w:rsidR="00630B0F" w:rsidRPr="00161BB0" w14:paraId="7E6A8E59" w14:textId="77777777" w:rsidTr="00536E3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179C2A2F"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0.0005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D0B17ED"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0.03728</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DA1CA8C"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73.9</w:t>
            </w:r>
          </w:p>
        </w:tc>
        <w:tc>
          <w:tcPr>
            <w:tcW w:w="1620" w:type="dxa"/>
            <w:tcBorders>
              <w:top w:val="single" w:sz="4" w:space="0" w:color="auto"/>
              <w:left w:val="single" w:sz="4" w:space="0" w:color="auto"/>
              <w:bottom w:val="single" w:sz="4" w:space="0" w:color="auto"/>
              <w:right w:val="single" w:sz="4" w:space="0" w:color="auto"/>
            </w:tcBorders>
            <w:vAlign w:val="center"/>
          </w:tcPr>
          <w:p w14:paraId="12E42279"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0.05</w:t>
            </w:r>
          </w:p>
        </w:tc>
        <w:tc>
          <w:tcPr>
            <w:tcW w:w="1710" w:type="dxa"/>
            <w:tcBorders>
              <w:top w:val="single" w:sz="4" w:space="0" w:color="auto"/>
              <w:left w:val="single" w:sz="4" w:space="0" w:color="auto"/>
              <w:bottom w:val="single" w:sz="4" w:space="0" w:color="auto"/>
              <w:right w:val="single" w:sz="4" w:space="0" w:color="auto"/>
            </w:tcBorders>
            <w:vAlign w:val="center"/>
          </w:tcPr>
          <w:p w14:paraId="550B259E" w14:textId="77777777" w:rsidR="00614EE4" w:rsidRPr="00161BB0" w:rsidRDefault="00965301" w:rsidP="00D3725D">
            <w:pPr>
              <w:widowControl/>
              <w:spacing w:before="0" w:after="0"/>
              <w:jc w:val="center"/>
              <w:rPr>
                <w:rFonts w:ascii="Arial" w:hAnsi="Arial" w:cs="Arial"/>
                <w:color w:val="000000"/>
                <w:sz w:val="20"/>
              </w:rPr>
            </w:pPr>
            <w:r w:rsidRPr="00161BB0">
              <w:rPr>
                <w:rFonts w:ascii="Arial" w:hAnsi="Arial" w:cs="Arial"/>
                <w:sz w:val="20"/>
              </w:rPr>
              <w:t>0.04</w:t>
            </w:r>
          </w:p>
        </w:tc>
        <w:tc>
          <w:tcPr>
            <w:tcW w:w="1890" w:type="dxa"/>
            <w:tcBorders>
              <w:top w:val="single" w:sz="4" w:space="0" w:color="auto"/>
              <w:left w:val="single" w:sz="4" w:space="0" w:color="auto"/>
              <w:bottom w:val="single" w:sz="4" w:space="0" w:color="auto"/>
              <w:right w:val="single" w:sz="4" w:space="0" w:color="auto"/>
            </w:tcBorders>
            <w:vAlign w:val="center"/>
          </w:tcPr>
          <w:p w14:paraId="27AEF7F1" w14:textId="77777777" w:rsidR="00614EE4" w:rsidRPr="00161BB0" w:rsidRDefault="00965301" w:rsidP="00D3725D">
            <w:pPr>
              <w:widowControl/>
              <w:spacing w:before="0" w:after="0"/>
              <w:jc w:val="center"/>
              <w:rPr>
                <w:rFonts w:ascii="Arial" w:hAnsi="Arial" w:cs="Arial"/>
                <w:color w:val="000000"/>
                <w:sz w:val="20"/>
              </w:rPr>
            </w:pPr>
            <w:r w:rsidRPr="00161BB0">
              <w:rPr>
                <w:rFonts w:ascii="Arial" w:hAnsi="Arial" w:cs="Arial"/>
                <w:sz w:val="20"/>
              </w:rPr>
              <w:t>0.04</w:t>
            </w:r>
          </w:p>
        </w:tc>
      </w:tr>
      <w:tr w:rsidR="00630B0F" w:rsidRPr="00161BB0" w14:paraId="1BB00681" w14:textId="77777777" w:rsidTr="00536E3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58E3D634"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0.001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79D7C0E"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0.07455</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2FAD05E5"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146.9</w:t>
            </w:r>
          </w:p>
        </w:tc>
        <w:tc>
          <w:tcPr>
            <w:tcW w:w="1620" w:type="dxa"/>
            <w:tcBorders>
              <w:top w:val="single" w:sz="4" w:space="0" w:color="auto"/>
              <w:left w:val="single" w:sz="4" w:space="0" w:color="auto"/>
              <w:bottom w:val="single" w:sz="4" w:space="0" w:color="auto"/>
              <w:right w:val="single" w:sz="4" w:space="0" w:color="auto"/>
            </w:tcBorders>
            <w:vAlign w:val="center"/>
          </w:tcPr>
          <w:p w14:paraId="1BC7EFBF" w14:textId="77777777" w:rsidR="00614EE4" w:rsidRPr="00161BB0" w:rsidRDefault="00614EE4" w:rsidP="00F101DF">
            <w:pPr>
              <w:widowControl/>
              <w:spacing w:before="0" w:after="0"/>
              <w:jc w:val="center"/>
              <w:rPr>
                <w:rFonts w:ascii="Arial" w:hAnsi="Arial" w:cs="Arial"/>
                <w:color w:val="000000"/>
                <w:sz w:val="20"/>
              </w:rPr>
            </w:pPr>
            <w:r w:rsidRPr="00161BB0">
              <w:rPr>
                <w:rFonts w:ascii="Arial" w:hAnsi="Arial" w:cs="Arial"/>
                <w:color w:val="000000"/>
                <w:sz w:val="20"/>
              </w:rPr>
              <w:t>0.09</w:t>
            </w:r>
          </w:p>
        </w:tc>
        <w:tc>
          <w:tcPr>
            <w:tcW w:w="1710" w:type="dxa"/>
            <w:tcBorders>
              <w:top w:val="single" w:sz="4" w:space="0" w:color="auto"/>
              <w:left w:val="single" w:sz="4" w:space="0" w:color="auto"/>
              <w:bottom w:val="single" w:sz="4" w:space="0" w:color="auto"/>
              <w:right w:val="single" w:sz="4" w:space="0" w:color="auto"/>
            </w:tcBorders>
            <w:vAlign w:val="center"/>
          </w:tcPr>
          <w:p w14:paraId="604525C9" w14:textId="77777777" w:rsidR="00614EE4" w:rsidRPr="00161BB0" w:rsidRDefault="00965301" w:rsidP="00D3725D">
            <w:pPr>
              <w:widowControl/>
              <w:spacing w:before="0" w:after="0"/>
              <w:jc w:val="center"/>
              <w:rPr>
                <w:rFonts w:ascii="Arial" w:hAnsi="Arial" w:cs="Arial"/>
                <w:sz w:val="20"/>
              </w:rPr>
            </w:pPr>
            <w:r w:rsidRPr="00161BB0">
              <w:rPr>
                <w:rFonts w:ascii="Arial" w:hAnsi="Arial" w:cs="Arial"/>
                <w:sz w:val="20"/>
              </w:rPr>
              <w:t>0.08</w:t>
            </w:r>
          </w:p>
        </w:tc>
        <w:tc>
          <w:tcPr>
            <w:tcW w:w="1890" w:type="dxa"/>
            <w:tcBorders>
              <w:top w:val="single" w:sz="4" w:space="0" w:color="auto"/>
              <w:left w:val="single" w:sz="4" w:space="0" w:color="auto"/>
              <w:bottom w:val="single" w:sz="4" w:space="0" w:color="auto"/>
              <w:right w:val="single" w:sz="4" w:space="0" w:color="auto"/>
            </w:tcBorders>
            <w:vAlign w:val="center"/>
          </w:tcPr>
          <w:p w14:paraId="57C78116" w14:textId="77777777" w:rsidR="00614EE4" w:rsidRPr="00161BB0" w:rsidRDefault="00965301" w:rsidP="00D3725D">
            <w:pPr>
              <w:widowControl/>
              <w:spacing w:before="0" w:after="0"/>
              <w:jc w:val="center"/>
              <w:rPr>
                <w:rFonts w:ascii="Arial" w:hAnsi="Arial" w:cs="Arial"/>
                <w:color w:val="000000"/>
                <w:sz w:val="20"/>
              </w:rPr>
            </w:pPr>
            <w:r w:rsidRPr="00161BB0">
              <w:rPr>
                <w:rFonts w:ascii="Arial" w:hAnsi="Arial" w:cs="Arial"/>
                <w:sz w:val="20"/>
              </w:rPr>
              <w:t>0.07</w:t>
            </w:r>
          </w:p>
        </w:tc>
      </w:tr>
    </w:tbl>
    <w:p w14:paraId="05E50105" w14:textId="3392A494" w:rsidR="00FF675F" w:rsidRDefault="00FF675F">
      <w:pPr>
        <w:rPr>
          <w:rFonts w:ascii="Arial" w:hAnsi="Arial" w:cs="Arial"/>
          <w:sz w:val="20"/>
          <w:szCs w:val="16"/>
        </w:rPr>
      </w:pPr>
    </w:p>
    <w:p w14:paraId="2F39E784" w14:textId="77777777" w:rsidR="00FF675F" w:rsidRPr="00FF675F" w:rsidRDefault="00FF675F" w:rsidP="00FF675F">
      <w:pPr>
        <w:rPr>
          <w:rFonts w:ascii="Arial" w:hAnsi="Arial" w:cs="Arial"/>
          <w:sz w:val="20"/>
          <w:szCs w:val="16"/>
        </w:rPr>
      </w:pPr>
    </w:p>
    <w:p w14:paraId="7791A015" w14:textId="77777777" w:rsidR="00FF675F" w:rsidRPr="00FF675F" w:rsidRDefault="00FF675F" w:rsidP="00FF675F">
      <w:pPr>
        <w:rPr>
          <w:rFonts w:ascii="Arial" w:hAnsi="Arial" w:cs="Arial"/>
          <w:sz w:val="20"/>
          <w:szCs w:val="16"/>
        </w:rPr>
      </w:pPr>
    </w:p>
    <w:p w14:paraId="1A9CE717" w14:textId="77777777" w:rsidR="00FF675F" w:rsidRPr="00FF675F" w:rsidRDefault="00FF675F" w:rsidP="00FF675F">
      <w:pPr>
        <w:rPr>
          <w:rFonts w:ascii="Arial" w:hAnsi="Arial" w:cs="Arial"/>
          <w:sz w:val="20"/>
          <w:szCs w:val="16"/>
        </w:rPr>
      </w:pPr>
    </w:p>
    <w:p w14:paraId="6CD10FB1" w14:textId="77777777" w:rsidR="00FF675F" w:rsidRDefault="00FF675F" w:rsidP="00FF675F">
      <w:pPr>
        <w:rPr>
          <w:rFonts w:ascii="Arial" w:hAnsi="Arial" w:cs="Arial"/>
          <w:sz w:val="20"/>
          <w:szCs w:val="16"/>
        </w:rPr>
      </w:pPr>
    </w:p>
    <w:p w14:paraId="4D5015CA" w14:textId="7461966A" w:rsidR="00FF675F" w:rsidRDefault="00FF675F" w:rsidP="00FF675F">
      <w:pPr>
        <w:tabs>
          <w:tab w:val="left" w:pos="916"/>
        </w:tabs>
        <w:jc w:val="center"/>
        <w:rPr>
          <w:rFonts w:ascii="Arial" w:hAnsi="Arial" w:cs="Arial"/>
          <w:sz w:val="16"/>
          <w:szCs w:val="12"/>
        </w:rPr>
      </w:pPr>
      <w:r w:rsidRPr="00FF675F">
        <w:rPr>
          <w:rFonts w:ascii="Arial" w:hAnsi="Arial" w:cs="Arial"/>
          <w:sz w:val="16"/>
          <w:szCs w:val="12"/>
        </w:rPr>
        <w:t>Table continued next page</w:t>
      </w:r>
    </w:p>
    <w:p w14:paraId="2B24A678" w14:textId="77777777" w:rsidR="00DA302A" w:rsidRPr="00FF675F" w:rsidRDefault="00DA302A" w:rsidP="00FF675F">
      <w:pPr>
        <w:tabs>
          <w:tab w:val="left" w:pos="916"/>
        </w:tabs>
        <w:jc w:val="center"/>
        <w:rPr>
          <w:rFonts w:ascii="Arial" w:hAnsi="Arial" w:cs="Arial"/>
          <w:sz w:val="20"/>
          <w:szCs w:val="16"/>
        </w:rPr>
      </w:pPr>
    </w:p>
    <w:tbl>
      <w:tblPr>
        <w:tblpPr w:leftFromText="180" w:rightFromText="180" w:vertAnchor="text" w:tblpXSpec="center" w:tblpY="1"/>
        <w:tblOverlap w:val="never"/>
        <w:tblW w:w="9540" w:type="dxa"/>
        <w:tblLayout w:type="fixed"/>
        <w:tblCellMar>
          <w:left w:w="29" w:type="dxa"/>
          <w:right w:w="29" w:type="dxa"/>
        </w:tblCellMar>
        <w:tblLook w:val="04A0" w:firstRow="1" w:lastRow="0" w:firstColumn="1" w:lastColumn="0" w:noHBand="0" w:noVBand="1"/>
      </w:tblPr>
      <w:tblGrid>
        <w:gridCol w:w="1260"/>
        <w:gridCol w:w="1170"/>
        <w:gridCol w:w="1890"/>
        <w:gridCol w:w="1620"/>
        <w:gridCol w:w="1710"/>
        <w:gridCol w:w="1890"/>
      </w:tblGrid>
      <w:tr w:rsidR="00906466" w:rsidRPr="00161BB0" w14:paraId="55C03D1C" w14:textId="77777777" w:rsidTr="000D33E1">
        <w:trPr>
          <w:trHeight w:val="300"/>
        </w:trPr>
        <w:tc>
          <w:tcPr>
            <w:tcW w:w="9540" w:type="dxa"/>
            <w:gridSpan w:val="6"/>
            <w:tcBorders>
              <w:top w:val="single" w:sz="4" w:space="0" w:color="auto"/>
              <w:left w:val="single" w:sz="4" w:space="0" w:color="auto"/>
              <w:bottom w:val="single" w:sz="4" w:space="0" w:color="auto"/>
              <w:right w:val="single" w:sz="4" w:space="0" w:color="auto"/>
            </w:tcBorders>
            <w:noWrap/>
            <w:vAlign w:val="bottom"/>
          </w:tcPr>
          <w:p w14:paraId="25F2269E" w14:textId="2D1F561F" w:rsidR="00906466" w:rsidRPr="00161BB0" w:rsidRDefault="00906466" w:rsidP="00FF675F">
            <w:pPr>
              <w:widowControl/>
              <w:spacing w:before="0" w:after="0"/>
              <w:jc w:val="center"/>
              <w:rPr>
                <w:rFonts w:ascii="Arial" w:hAnsi="Arial" w:cs="Arial"/>
                <w:color w:val="000000"/>
                <w:sz w:val="20"/>
              </w:rPr>
            </w:pPr>
            <w:r w:rsidRPr="00161BB0">
              <w:rPr>
                <w:rFonts w:ascii="Arial" w:hAnsi="Arial" w:cs="Arial"/>
                <w:b/>
                <w:bCs/>
                <w:color w:val="000000"/>
                <w:sz w:val="20"/>
                <w:u w:val="single"/>
              </w:rPr>
              <w:lastRenderedPageBreak/>
              <w:t xml:space="preserve">Conductivity and Salinity of Potassium Chloride </w:t>
            </w:r>
            <w:r w:rsidRPr="00906466">
              <w:rPr>
                <w:rFonts w:ascii="Arial" w:hAnsi="Arial" w:cs="Arial"/>
                <w:color w:val="000000"/>
                <w:sz w:val="20"/>
                <w:u w:val="single"/>
              </w:rPr>
              <w:t>(continued)</w:t>
            </w:r>
          </w:p>
        </w:tc>
      </w:tr>
      <w:tr w:rsidR="00FF675F" w:rsidRPr="00161BB0" w14:paraId="072781AF"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tcPr>
          <w:p w14:paraId="5366AD22" w14:textId="21174CB8"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KCl</w:t>
            </w:r>
            <w:r>
              <w:rPr>
                <w:rFonts w:ascii="Arial" w:hAnsi="Arial" w:cs="Arial"/>
                <w:color w:val="000000"/>
                <w:sz w:val="20"/>
              </w:rPr>
              <w:t xml:space="preserve"> </w:t>
            </w:r>
            <w:r w:rsidRPr="00161BB0">
              <w:rPr>
                <w:rFonts w:ascii="Arial" w:hAnsi="Arial" w:cs="Arial"/>
                <w:color w:val="000000"/>
                <w:sz w:val="20"/>
              </w:rPr>
              <w:t>Molarity</w:t>
            </w:r>
            <w:r w:rsidRPr="00161BB0">
              <w:rPr>
                <w:rFonts w:ascii="Arial" w:hAnsi="Arial" w:cs="Arial"/>
                <w:color w:val="000000"/>
                <w:sz w:val="20"/>
              </w:rPr>
              <w:br/>
              <w:t>(</w:t>
            </w:r>
            <w:r w:rsidRPr="00161BB0">
              <w:rPr>
                <w:rFonts w:ascii="Arial" w:hAnsi="Arial" w:cs="Arial"/>
                <w:i/>
                <w:iCs/>
                <w:color w:val="000000"/>
                <w:sz w:val="20"/>
              </w:rPr>
              <w:t>M)</w:t>
            </w:r>
          </w:p>
        </w:tc>
        <w:tc>
          <w:tcPr>
            <w:tcW w:w="1170" w:type="dxa"/>
            <w:tcBorders>
              <w:top w:val="single" w:sz="4" w:space="0" w:color="auto"/>
              <w:left w:val="single" w:sz="4" w:space="0" w:color="auto"/>
              <w:bottom w:val="single" w:sz="4" w:space="0" w:color="auto"/>
              <w:right w:val="single" w:sz="4" w:space="0" w:color="auto"/>
            </w:tcBorders>
            <w:noWrap/>
            <w:vAlign w:val="center"/>
          </w:tcPr>
          <w:p w14:paraId="250CC07A" w14:textId="15E6E3F9"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KCl Wt.*</w:t>
            </w:r>
            <w:r w:rsidRPr="00161BB0">
              <w:rPr>
                <w:rFonts w:ascii="Arial" w:hAnsi="Arial" w:cs="Arial"/>
                <w:color w:val="000000"/>
                <w:sz w:val="20"/>
              </w:rPr>
              <w:br/>
              <w:t>(grams)</w:t>
            </w:r>
          </w:p>
        </w:tc>
        <w:tc>
          <w:tcPr>
            <w:tcW w:w="1890" w:type="dxa"/>
            <w:tcBorders>
              <w:top w:val="single" w:sz="4" w:space="0" w:color="auto"/>
              <w:left w:val="single" w:sz="4" w:space="0" w:color="auto"/>
              <w:bottom w:val="single" w:sz="4" w:space="0" w:color="auto"/>
              <w:right w:val="single" w:sz="4" w:space="0" w:color="auto"/>
            </w:tcBorders>
            <w:noWrap/>
            <w:vAlign w:val="center"/>
          </w:tcPr>
          <w:p w14:paraId="7540DAF7" w14:textId="55C4729D"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Conductivity at 25°C</w:t>
            </w:r>
            <w:r w:rsidRPr="00161BB0" w:rsidDel="000E01A8">
              <w:rPr>
                <w:rFonts w:ascii="Arial" w:hAnsi="Arial" w:cs="Arial"/>
                <w:color w:val="000000"/>
                <w:sz w:val="20"/>
              </w:rPr>
              <w:t xml:space="preserve"> </w:t>
            </w:r>
            <w:r w:rsidRPr="00161BB0">
              <w:rPr>
                <w:rFonts w:ascii="Arial" w:hAnsi="Arial" w:cs="Arial"/>
                <w:color w:val="000000"/>
                <w:sz w:val="20"/>
              </w:rPr>
              <w:br/>
              <w:t>(µ</w:t>
            </w:r>
            <w:r w:rsidRPr="003A26B4">
              <w:rPr>
                <w:rFonts w:ascii="Arial" w:hAnsi="Arial" w:cs="Arial"/>
                <w:color w:val="000000"/>
                <w:sz w:val="20"/>
              </w:rPr>
              <w:t>mho/cm</w:t>
            </w:r>
            <w:r w:rsidRPr="00161BB0">
              <w:rPr>
                <w:rFonts w:ascii="Arial" w:hAnsi="Arial" w:cs="Arial"/>
                <w:iCs/>
                <w:color w:val="000000"/>
                <w:sz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C6DE2D9"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Salinity at 15°C</w:t>
            </w:r>
          </w:p>
          <w:p w14:paraId="541D1CFB" w14:textId="4EA49BA9"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(ppt)</w:t>
            </w:r>
          </w:p>
        </w:tc>
        <w:tc>
          <w:tcPr>
            <w:tcW w:w="1710" w:type="dxa"/>
            <w:tcBorders>
              <w:top w:val="single" w:sz="4" w:space="0" w:color="auto"/>
              <w:left w:val="single" w:sz="4" w:space="0" w:color="auto"/>
              <w:bottom w:val="single" w:sz="4" w:space="0" w:color="auto"/>
              <w:right w:val="single" w:sz="4" w:space="0" w:color="auto"/>
            </w:tcBorders>
            <w:vAlign w:val="center"/>
          </w:tcPr>
          <w:p w14:paraId="1BF493EA"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 xml:space="preserve"> Salinity at 20°C</w:t>
            </w:r>
          </w:p>
          <w:p w14:paraId="7BEDAEB5" w14:textId="10DB329B" w:rsidR="00FF675F" w:rsidRPr="00161BB0" w:rsidRDefault="00FF675F" w:rsidP="00FF675F">
            <w:pPr>
              <w:widowControl/>
              <w:spacing w:before="0" w:after="0"/>
              <w:jc w:val="center"/>
              <w:rPr>
                <w:rFonts w:ascii="Arial" w:hAnsi="Arial" w:cs="Arial"/>
                <w:sz w:val="20"/>
              </w:rPr>
            </w:pPr>
            <w:r w:rsidRPr="00161BB0">
              <w:rPr>
                <w:rFonts w:ascii="Arial" w:hAnsi="Arial" w:cs="Arial"/>
                <w:color w:val="000000"/>
                <w:sz w:val="20"/>
              </w:rPr>
              <w:t>(ppt)</w:t>
            </w:r>
          </w:p>
        </w:tc>
        <w:tc>
          <w:tcPr>
            <w:tcW w:w="1890" w:type="dxa"/>
            <w:tcBorders>
              <w:top w:val="single" w:sz="4" w:space="0" w:color="auto"/>
              <w:left w:val="single" w:sz="4" w:space="0" w:color="auto"/>
              <w:bottom w:val="single" w:sz="4" w:space="0" w:color="auto"/>
              <w:right w:val="single" w:sz="4" w:space="0" w:color="auto"/>
            </w:tcBorders>
            <w:vAlign w:val="center"/>
          </w:tcPr>
          <w:p w14:paraId="4431196F"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 xml:space="preserve"> Salinity at 25°C</w:t>
            </w:r>
          </w:p>
          <w:p w14:paraId="68545AAD" w14:textId="2AA988D9" w:rsidR="00FF675F" w:rsidRPr="00161BB0" w:rsidRDefault="00FF675F" w:rsidP="00FF675F">
            <w:pPr>
              <w:widowControl/>
              <w:spacing w:before="0" w:after="0"/>
              <w:jc w:val="center"/>
              <w:rPr>
                <w:rFonts w:ascii="Arial" w:hAnsi="Arial" w:cs="Arial"/>
                <w:sz w:val="20"/>
              </w:rPr>
            </w:pPr>
            <w:r w:rsidRPr="00161BB0">
              <w:rPr>
                <w:rFonts w:ascii="Arial" w:hAnsi="Arial" w:cs="Arial"/>
                <w:color w:val="000000"/>
                <w:sz w:val="20"/>
              </w:rPr>
              <w:t>(ppt)</w:t>
            </w:r>
          </w:p>
        </w:tc>
      </w:tr>
      <w:tr w:rsidR="00FF675F" w:rsidRPr="00161BB0" w14:paraId="30ED4918"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tcPr>
          <w:p w14:paraId="17024BAE" w14:textId="4360004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0.005</w:t>
            </w:r>
          </w:p>
        </w:tc>
        <w:tc>
          <w:tcPr>
            <w:tcW w:w="1170" w:type="dxa"/>
            <w:tcBorders>
              <w:top w:val="single" w:sz="4" w:space="0" w:color="auto"/>
              <w:left w:val="single" w:sz="4" w:space="0" w:color="auto"/>
              <w:bottom w:val="single" w:sz="4" w:space="0" w:color="auto"/>
              <w:right w:val="single" w:sz="4" w:space="0" w:color="auto"/>
            </w:tcBorders>
            <w:noWrap/>
            <w:vAlign w:val="center"/>
          </w:tcPr>
          <w:p w14:paraId="4E1E1E56" w14:textId="54F7826D"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0.37275</w:t>
            </w:r>
          </w:p>
        </w:tc>
        <w:tc>
          <w:tcPr>
            <w:tcW w:w="1890" w:type="dxa"/>
            <w:tcBorders>
              <w:top w:val="single" w:sz="4" w:space="0" w:color="auto"/>
              <w:left w:val="single" w:sz="4" w:space="0" w:color="auto"/>
              <w:bottom w:val="single" w:sz="4" w:space="0" w:color="auto"/>
              <w:right w:val="single" w:sz="4" w:space="0" w:color="auto"/>
            </w:tcBorders>
            <w:noWrap/>
            <w:vAlign w:val="center"/>
          </w:tcPr>
          <w:p w14:paraId="747EB80F" w14:textId="3653793F"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717.5</w:t>
            </w:r>
          </w:p>
        </w:tc>
        <w:tc>
          <w:tcPr>
            <w:tcW w:w="1620" w:type="dxa"/>
            <w:tcBorders>
              <w:top w:val="single" w:sz="4" w:space="0" w:color="auto"/>
              <w:left w:val="single" w:sz="4" w:space="0" w:color="auto"/>
              <w:bottom w:val="single" w:sz="4" w:space="0" w:color="auto"/>
              <w:right w:val="single" w:sz="4" w:space="0" w:color="auto"/>
            </w:tcBorders>
            <w:vAlign w:val="center"/>
          </w:tcPr>
          <w:p w14:paraId="3C680A17" w14:textId="3B5F4412"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0.44</w:t>
            </w:r>
          </w:p>
        </w:tc>
        <w:tc>
          <w:tcPr>
            <w:tcW w:w="1710" w:type="dxa"/>
            <w:tcBorders>
              <w:top w:val="single" w:sz="4" w:space="0" w:color="auto"/>
              <w:left w:val="single" w:sz="4" w:space="0" w:color="auto"/>
              <w:bottom w:val="single" w:sz="4" w:space="0" w:color="auto"/>
              <w:right w:val="single" w:sz="4" w:space="0" w:color="auto"/>
            </w:tcBorders>
            <w:vAlign w:val="center"/>
          </w:tcPr>
          <w:p w14:paraId="7E57EAE5" w14:textId="50C34CBE" w:rsidR="00FF675F" w:rsidRPr="00161BB0" w:rsidRDefault="00FF675F" w:rsidP="00FF675F">
            <w:pPr>
              <w:widowControl/>
              <w:spacing w:before="0" w:after="0"/>
              <w:jc w:val="center"/>
              <w:rPr>
                <w:rFonts w:ascii="Arial" w:hAnsi="Arial" w:cs="Arial"/>
                <w:sz w:val="20"/>
              </w:rPr>
            </w:pPr>
            <w:r w:rsidRPr="00161BB0">
              <w:rPr>
                <w:rFonts w:ascii="Arial" w:hAnsi="Arial" w:cs="Arial"/>
                <w:sz w:val="20"/>
              </w:rPr>
              <w:t>0.39</w:t>
            </w:r>
          </w:p>
        </w:tc>
        <w:tc>
          <w:tcPr>
            <w:tcW w:w="1890" w:type="dxa"/>
            <w:tcBorders>
              <w:top w:val="single" w:sz="4" w:space="0" w:color="auto"/>
              <w:left w:val="single" w:sz="4" w:space="0" w:color="auto"/>
              <w:bottom w:val="single" w:sz="4" w:space="0" w:color="auto"/>
              <w:right w:val="single" w:sz="4" w:space="0" w:color="auto"/>
            </w:tcBorders>
            <w:vAlign w:val="center"/>
          </w:tcPr>
          <w:p w14:paraId="0DDB4B88" w14:textId="6F63E592" w:rsidR="00FF675F" w:rsidRPr="00161BB0" w:rsidRDefault="00FF675F" w:rsidP="00FF675F">
            <w:pPr>
              <w:widowControl/>
              <w:spacing w:before="0" w:after="0"/>
              <w:jc w:val="center"/>
              <w:rPr>
                <w:rFonts w:ascii="Arial" w:hAnsi="Arial" w:cs="Arial"/>
                <w:sz w:val="20"/>
              </w:rPr>
            </w:pPr>
            <w:r w:rsidRPr="00161BB0">
              <w:rPr>
                <w:rFonts w:ascii="Arial" w:hAnsi="Arial" w:cs="Arial"/>
                <w:sz w:val="20"/>
              </w:rPr>
              <w:t>0.35</w:t>
            </w:r>
          </w:p>
        </w:tc>
      </w:tr>
      <w:tr w:rsidR="00FF675F" w:rsidRPr="00161BB0" w14:paraId="36CD7D2C"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4AF54079"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0.01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DB751FA"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0.74550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CD0AC80"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1,412</w:t>
            </w:r>
          </w:p>
        </w:tc>
        <w:tc>
          <w:tcPr>
            <w:tcW w:w="1620" w:type="dxa"/>
            <w:tcBorders>
              <w:top w:val="single" w:sz="4" w:space="0" w:color="auto"/>
              <w:left w:val="single" w:sz="4" w:space="0" w:color="auto"/>
              <w:bottom w:val="single" w:sz="4" w:space="0" w:color="auto"/>
              <w:right w:val="single" w:sz="4" w:space="0" w:color="auto"/>
            </w:tcBorders>
            <w:vAlign w:val="center"/>
          </w:tcPr>
          <w:p w14:paraId="2C768BAF"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0.89</w:t>
            </w:r>
          </w:p>
        </w:tc>
        <w:tc>
          <w:tcPr>
            <w:tcW w:w="1710" w:type="dxa"/>
            <w:tcBorders>
              <w:top w:val="single" w:sz="4" w:space="0" w:color="auto"/>
              <w:left w:val="single" w:sz="4" w:space="0" w:color="auto"/>
              <w:bottom w:val="single" w:sz="4" w:space="0" w:color="auto"/>
              <w:right w:val="single" w:sz="4" w:space="0" w:color="auto"/>
            </w:tcBorders>
            <w:vAlign w:val="center"/>
          </w:tcPr>
          <w:p w14:paraId="5AD9829A"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0.79</w:t>
            </w:r>
          </w:p>
        </w:tc>
        <w:tc>
          <w:tcPr>
            <w:tcW w:w="1890" w:type="dxa"/>
            <w:tcBorders>
              <w:top w:val="single" w:sz="4" w:space="0" w:color="auto"/>
              <w:left w:val="single" w:sz="4" w:space="0" w:color="auto"/>
              <w:bottom w:val="single" w:sz="4" w:space="0" w:color="auto"/>
              <w:right w:val="single" w:sz="4" w:space="0" w:color="auto"/>
            </w:tcBorders>
            <w:vAlign w:val="center"/>
          </w:tcPr>
          <w:p w14:paraId="65743977"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0.71</w:t>
            </w:r>
          </w:p>
        </w:tc>
      </w:tr>
      <w:tr w:rsidR="00FF675F" w:rsidRPr="00161BB0" w14:paraId="62A0B26B"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0447CCE4"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0.02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18BFA61"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1.49100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21133E2"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2,765</w:t>
            </w:r>
          </w:p>
        </w:tc>
        <w:tc>
          <w:tcPr>
            <w:tcW w:w="1620" w:type="dxa"/>
            <w:tcBorders>
              <w:top w:val="single" w:sz="4" w:space="0" w:color="auto"/>
              <w:left w:val="single" w:sz="4" w:space="0" w:color="auto"/>
              <w:bottom w:val="single" w:sz="4" w:space="0" w:color="auto"/>
              <w:right w:val="single" w:sz="4" w:space="0" w:color="auto"/>
            </w:tcBorders>
            <w:vAlign w:val="center"/>
          </w:tcPr>
          <w:p w14:paraId="69001401"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1.8</w:t>
            </w:r>
          </w:p>
        </w:tc>
        <w:tc>
          <w:tcPr>
            <w:tcW w:w="1710" w:type="dxa"/>
            <w:tcBorders>
              <w:top w:val="single" w:sz="4" w:space="0" w:color="auto"/>
              <w:left w:val="single" w:sz="4" w:space="0" w:color="auto"/>
              <w:bottom w:val="single" w:sz="4" w:space="0" w:color="auto"/>
              <w:right w:val="single" w:sz="4" w:space="0" w:color="auto"/>
            </w:tcBorders>
            <w:vAlign w:val="center"/>
          </w:tcPr>
          <w:p w14:paraId="430C5F54"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1.6</w:t>
            </w:r>
          </w:p>
        </w:tc>
        <w:tc>
          <w:tcPr>
            <w:tcW w:w="1890" w:type="dxa"/>
            <w:tcBorders>
              <w:top w:val="single" w:sz="4" w:space="0" w:color="auto"/>
              <w:left w:val="single" w:sz="4" w:space="0" w:color="auto"/>
              <w:bottom w:val="single" w:sz="4" w:space="0" w:color="auto"/>
              <w:right w:val="single" w:sz="4" w:space="0" w:color="auto"/>
            </w:tcBorders>
            <w:vAlign w:val="center"/>
          </w:tcPr>
          <w:p w14:paraId="4CB1F8C0"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1.4</w:t>
            </w:r>
          </w:p>
        </w:tc>
      </w:tr>
      <w:tr w:rsidR="00FF675F" w:rsidRPr="00161BB0" w14:paraId="491019F8"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49E99673"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0.05</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13DA2FB"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3.72750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54A22B8F"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6,667</w:t>
            </w:r>
          </w:p>
        </w:tc>
        <w:tc>
          <w:tcPr>
            <w:tcW w:w="1620" w:type="dxa"/>
            <w:tcBorders>
              <w:top w:val="single" w:sz="4" w:space="0" w:color="auto"/>
              <w:left w:val="single" w:sz="4" w:space="0" w:color="auto"/>
              <w:bottom w:val="single" w:sz="4" w:space="0" w:color="auto"/>
              <w:right w:val="single" w:sz="4" w:space="0" w:color="auto"/>
            </w:tcBorders>
            <w:vAlign w:val="center"/>
          </w:tcPr>
          <w:p w14:paraId="6C6DE583"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4.6</w:t>
            </w:r>
          </w:p>
        </w:tc>
        <w:tc>
          <w:tcPr>
            <w:tcW w:w="1710" w:type="dxa"/>
            <w:tcBorders>
              <w:top w:val="single" w:sz="4" w:space="0" w:color="auto"/>
              <w:left w:val="single" w:sz="4" w:space="0" w:color="auto"/>
              <w:bottom w:val="single" w:sz="4" w:space="0" w:color="auto"/>
              <w:right w:val="single" w:sz="4" w:space="0" w:color="auto"/>
            </w:tcBorders>
            <w:vAlign w:val="center"/>
          </w:tcPr>
          <w:p w14:paraId="4F0AC741"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4.1</w:t>
            </w:r>
          </w:p>
        </w:tc>
        <w:tc>
          <w:tcPr>
            <w:tcW w:w="1890" w:type="dxa"/>
            <w:tcBorders>
              <w:top w:val="single" w:sz="4" w:space="0" w:color="auto"/>
              <w:left w:val="single" w:sz="4" w:space="0" w:color="auto"/>
              <w:bottom w:val="single" w:sz="4" w:space="0" w:color="auto"/>
              <w:right w:val="single" w:sz="4" w:space="0" w:color="auto"/>
            </w:tcBorders>
            <w:vAlign w:val="center"/>
          </w:tcPr>
          <w:p w14:paraId="6B8ADB68"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3.6</w:t>
            </w:r>
          </w:p>
        </w:tc>
      </w:tr>
      <w:tr w:rsidR="00FF675F" w:rsidRPr="00161BB0" w14:paraId="13ACAE62"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09C11C3C"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0.10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064D4CE"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7.45500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4744C6B7"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12,890</w:t>
            </w:r>
          </w:p>
        </w:tc>
        <w:tc>
          <w:tcPr>
            <w:tcW w:w="1620" w:type="dxa"/>
            <w:tcBorders>
              <w:top w:val="single" w:sz="4" w:space="0" w:color="auto"/>
              <w:left w:val="single" w:sz="4" w:space="0" w:color="auto"/>
              <w:bottom w:val="single" w:sz="4" w:space="0" w:color="auto"/>
              <w:right w:val="single" w:sz="4" w:space="0" w:color="auto"/>
            </w:tcBorders>
            <w:vAlign w:val="center"/>
          </w:tcPr>
          <w:p w14:paraId="34883931"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9.4</w:t>
            </w:r>
          </w:p>
        </w:tc>
        <w:tc>
          <w:tcPr>
            <w:tcW w:w="1710" w:type="dxa"/>
            <w:tcBorders>
              <w:top w:val="single" w:sz="4" w:space="0" w:color="auto"/>
              <w:left w:val="single" w:sz="4" w:space="0" w:color="auto"/>
              <w:bottom w:val="single" w:sz="4" w:space="0" w:color="auto"/>
              <w:right w:val="single" w:sz="4" w:space="0" w:color="auto"/>
            </w:tcBorders>
            <w:vAlign w:val="center"/>
          </w:tcPr>
          <w:p w14:paraId="6906D70D" w14:textId="77777777" w:rsidR="00FF675F" w:rsidRPr="00161BB0" w:rsidRDefault="00FF675F" w:rsidP="00FF675F">
            <w:pPr>
              <w:widowControl/>
              <w:spacing w:before="0" w:after="0"/>
              <w:jc w:val="center"/>
              <w:rPr>
                <w:rFonts w:ascii="Arial" w:hAnsi="Arial" w:cs="Arial"/>
                <w:sz w:val="20"/>
              </w:rPr>
            </w:pPr>
            <w:r w:rsidRPr="00161BB0">
              <w:rPr>
                <w:rFonts w:ascii="Arial" w:hAnsi="Arial" w:cs="Arial"/>
                <w:sz w:val="20"/>
              </w:rPr>
              <w:t>8.3</w:t>
            </w:r>
          </w:p>
        </w:tc>
        <w:tc>
          <w:tcPr>
            <w:tcW w:w="1890" w:type="dxa"/>
            <w:tcBorders>
              <w:top w:val="single" w:sz="4" w:space="0" w:color="auto"/>
              <w:left w:val="single" w:sz="4" w:space="0" w:color="auto"/>
              <w:bottom w:val="single" w:sz="4" w:space="0" w:color="auto"/>
              <w:right w:val="single" w:sz="4" w:space="0" w:color="auto"/>
            </w:tcBorders>
            <w:vAlign w:val="center"/>
          </w:tcPr>
          <w:p w14:paraId="46750E26"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7.4</w:t>
            </w:r>
          </w:p>
        </w:tc>
      </w:tr>
      <w:tr w:rsidR="00FF675F" w:rsidRPr="00161BB0" w14:paraId="54E42FDE"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hideMark/>
          </w:tcPr>
          <w:p w14:paraId="62AAB2A0"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99399D6"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14.9100</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E818E4B"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24,800</w:t>
            </w:r>
          </w:p>
        </w:tc>
        <w:tc>
          <w:tcPr>
            <w:tcW w:w="1620" w:type="dxa"/>
            <w:tcBorders>
              <w:top w:val="single" w:sz="4" w:space="0" w:color="auto"/>
              <w:left w:val="single" w:sz="4" w:space="0" w:color="auto"/>
              <w:bottom w:val="single" w:sz="4" w:space="0" w:color="auto"/>
              <w:right w:val="single" w:sz="4" w:space="0" w:color="auto"/>
            </w:tcBorders>
            <w:vAlign w:val="center"/>
          </w:tcPr>
          <w:p w14:paraId="0B3CAE23"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19.1</w:t>
            </w:r>
          </w:p>
        </w:tc>
        <w:tc>
          <w:tcPr>
            <w:tcW w:w="1710" w:type="dxa"/>
            <w:tcBorders>
              <w:top w:val="single" w:sz="4" w:space="0" w:color="auto"/>
              <w:left w:val="single" w:sz="4" w:space="0" w:color="auto"/>
              <w:bottom w:val="single" w:sz="4" w:space="0" w:color="auto"/>
              <w:right w:val="single" w:sz="4" w:space="0" w:color="auto"/>
            </w:tcBorders>
            <w:vAlign w:val="center"/>
          </w:tcPr>
          <w:p w14:paraId="31F134DB"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16.9</w:t>
            </w:r>
          </w:p>
        </w:tc>
        <w:tc>
          <w:tcPr>
            <w:tcW w:w="1890" w:type="dxa"/>
            <w:tcBorders>
              <w:top w:val="single" w:sz="4" w:space="0" w:color="auto"/>
              <w:left w:val="single" w:sz="4" w:space="0" w:color="auto"/>
              <w:bottom w:val="single" w:sz="4" w:space="0" w:color="auto"/>
              <w:right w:val="single" w:sz="4" w:space="0" w:color="auto"/>
            </w:tcBorders>
            <w:vAlign w:val="center"/>
          </w:tcPr>
          <w:p w14:paraId="0D857B9F"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15.1</w:t>
            </w:r>
          </w:p>
        </w:tc>
      </w:tr>
      <w:tr w:rsidR="00FF675F" w:rsidRPr="00161BB0" w14:paraId="34B108F2" w14:textId="77777777" w:rsidTr="00FF675F">
        <w:trPr>
          <w:trHeight w:val="300"/>
        </w:trPr>
        <w:tc>
          <w:tcPr>
            <w:tcW w:w="1260" w:type="dxa"/>
            <w:tcBorders>
              <w:top w:val="single" w:sz="4" w:space="0" w:color="auto"/>
              <w:left w:val="single" w:sz="4" w:space="0" w:color="auto"/>
              <w:bottom w:val="single" w:sz="4" w:space="0" w:color="auto"/>
              <w:right w:val="single" w:sz="4" w:space="0" w:color="auto"/>
            </w:tcBorders>
            <w:noWrap/>
            <w:vAlign w:val="center"/>
          </w:tcPr>
          <w:p w14:paraId="510D3ED3"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0.44</w:t>
            </w:r>
          </w:p>
        </w:tc>
        <w:tc>
          <w:tcPr>
            <w:tcW w:w="1170" w:type="dxa"/>
            <w:tcBorders>
              <w:top w:val="single" w:sz="4" w:space="0" w:color="auto"/>
              <w:left w:val="single" w:sz="4" w:space="0" w:color="auto"/>
              <w:bottom w:val="single" w:sz="4" w:space="0" w:color="auto"/>
              <w:right w:val="single" w:sz="4" w:space="0" w:color="auto"/>
            </w:tcBorders>
            <w:noWrap/>
            <w:vAlign w:val="center"/>
          </w:tcPr>
          <w:p w14:paraId="04300311"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32.4356</w:t>
            </w:r>
          </w:p>
        </w:tc>
        <w:tc>
          <w:tcPr>
            <w:tcW w:w="1890" w:type="dxa"/>
            <w:tcBorders>
              <w:top w:val="single" w:sz="4" w:space="0" w:color="auto"/>
              <w:left w:val="single" w:sz="4" w:space="0" w:color="auto"/>
              <w:bottom w:val="single" w:sz="4" w:space="0" w:color="auto"/>
              <w:right w:val="single" w:sz="4" w:space="0" w:color="auto"/>
            </w:tcBorders>
            <w:noWrap/>
            <w:vAlign w:val="center"/>
          </w:tcPr>
          <w:p w14:paraId="40F2518F"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42,900</w:t>
            </w:r>
          </w:p>
        </w:tc>
        <w:tc>
          <w:tcPr>
            <w:tcW w:w="1620" w:type="dxa"/>
            <w:tcBorders>
              <w:top w:val="single" w:sz="4" w:space="0" w:color="auto"/>
              <w:left w:val="single" w:sz="4" w:space="0" w:color="auto"/>
              <w:bottom w:val="single" w:sz="4" w:space="0" w:color="auto"/>
              <w:right w:val="single" w:sz="4" w:space="0" w:color="auto"/>
            </w:tcBorders>
            <w:vAlign w:val="center"/>
          </w:tcPr>
          <w:p w14:paraId="2B2F9F23"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color w:val="000000"/>
                <w:sz w:val="20"/>
              </w:rPr>
              <w:t>35</w:t>
            </w:r>
          </w:p>
        </w:tc>
        <w:tc>
          <w:tcPr>
            <w:tcW w:w="1710" w:type="dxa"/>
            <w:tcBorders>
              <w:top w:val="single" w:sz="4" w:space="0" w:color="auto"/>
              <w:left w:val="single" w:sz="4" w:space="0" w:color="auto"/>
              <w:bottom w:val="single" w:sz="4" w:space="0" w:color="auto"/>
              <w:right w:val="single" w:sz="4" w:space="0" w:color="auto"/>
            </w:tcBorders>
            <w:vAlign w:val="center"/>
          </w:tcPr>
          <w:p w14:paraId="5CF8C06E"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30.9</w:t>
            </w:r>
          </w:p>
        </w:tc>
        <w:tc>
          <w:tcPr>
            <w:tcW w:w="1890" w:type="dxa"/>
            <w:tcBorders>
              <w:top w:val="single" w:sz="4" w:space="0" w:color="auto"/>
              <w:left w:val="single" w:sz="4" w:space="0" w:color="auto"/>
              <w:bottom w:val="single" w:sz="4" w:space="0" w:color="auto"/>
              <w:right w:val="single" w:sz="4" w:space="0" w:color="auto"/>
            </w:tcBorders>
            <w:vAlign w:val="center"/>
          </w:tcPr>
          <w:p w14:paraId="4DFB1713" w14:textId="77777777" w:rsidR="00FF675F" w:rsidRPr="00161BB0" w:rsidRDefault="00FF675F" w:rsidP="00FF675F">
            <w:pPr>
              <w:widowControl/>
              <w:spacing w:before="0" w:after="0"/>
              <w:jc w:val="center"/>
              <w:rPr>
                <w:rFonts w:ascii="Arial" w:hAnsi="Arial" w:cs="Arial"/>
                <w:color w:val="000000"/>
                <w:sz w:val="20"/>
              </w:rPr>
            </w:pPr>
            <w:r w:rsidRPr="00161BB0">
              <w:rPr>
                <w:rFonts w:ascii="Arial" w:hAnsi="Arial" w:cs="Arial"/>
                <w:sz w:val="20"/>
              </w:rPr>
              <w:t>27.6</w:t>
            </w:r>
          </w:p>
        </w:tc>
      </w:tr>
    </w:tbl>
    <w:p w14:paraId="06B10BFA" w14:textId="77777777" w:rsidR="000F478B" w:rsidRPr="00536E3F" w:rsidRDefault="000E01A8" w:rsidP="004C520D">
      <w:pPr>
        <w:ind w:left="720"/>
        <w:jc w:val="both"/>
        <w:rPr>
          <w:rFonts w:ascii="Arial" w:hAnsi="Arial"/>
          <w:b/>
          <w:sz w:val="16"/>
          <w:szCs w:val="16"/>
          <w:u w:val="single"/>
        </w:rPr>
      </w:pPr>
      <w:r>
        <w:rPr>
          <w:rFonts w:ascii="Arial" w:hAnsi="Arial"/>
          <w:sz w:val="20"/>
        </w:rPr>
        <w:t xml:space="preserve">          </w:t>
      </w:r>
      <w:r w:rsidR="00614EE4">
        <w:rPr>
          <w:rFonts w:ascii="Arial" w:hAnsi="Arial"/>
          <w:sz w:val="20"/>
        </w:rPr>
        <w:t xml:space="preserve">                </w:t>
      </w:r>
      <w:r w:rsidR="00C76417" w:rsidRPr="00536E3F">
        <w:rPr>
          <w:rFonts w:ascii="Arial" w:hAnsi="Arial"/>
          <w:sz w:val="16"/>
          <w:szCs w:val="16"/>
        </w:rPr>
        <w:t>*Diluted to 1 L</w:t>
      </w:r>
    </w:p>
    <w:p w14:paraId="18E4E356" w14:textId="77777777" w:rsidR="001A2ED5" w:rsidRDefault="001A2ED5" w:rsidP="001A2ED5">
      <w:pPr>
        <w:jc w:val="both"/>
        <w:rPr>
          <w:rFonts w:ascii="Arial" w:hAnsi="Arial"/>
          <w:b/>
          <w:sz w:val="20"/>
          <w:u w:val="single"/>
        </w:rPr>
      </w:pPr>
      <w:r>
        <w:rPr>
          <w:rFonts w:ascii="Arial" w:hAnsi="Arial"/>
          <w:b/>
          <w:sz w:val="20"/>
          <w:u w:val="single"/>
        </w:rPr>
        <w:t>C</w:t>
      </w:r>
      <w:r w:rsidRPr="00F61A31">
        <w:rPr>
          <w:rFonts w:ascii="Arial" w:hAnsi="Arial"/>
          <w:b/>
          <w:sz w:val="20"/>
          <w:u w:val="single"/>
        </w:rPr>
        <w:t>alibration:</w:t>
      </w:r>
    </w:p>
    <w:p w14:paraId="1FF22134" w14:textId="77777777" w:rsidR="001A2ED5" w:rsidRPr="0045650B" w:rsidRDefault="001A2ED5" w:rsidP="00E90A21">
      <w:pPr>
        <w:ind w:left="720" w:hanging="720"/>
        <w:jc w:val="both"/>
        <w:rPr>
          <w:rFonts w:ascii="Arial" w:hAnsi="Arial"/>
          <w:sz w:val="20"/>
        </w:rPr>
      </w:pPr>
      <w:r w:rsidRPr="00F61A31">
        <w:rPr>
          <w:rFonts w:ascii="Arial" w:hAnsi="Arial"/>
          <w:sz w:val="20"/>
        </w:rPr>
        <w:t>1.</w:t>
      </w:r>
      <w:r w:rsidRPr="00F61A31">
        <w:rPr>
          <w:rFonts w:ascii="Arial" w:hAnsi="Arial"/>
          <w:sz w:val="20"/>
        </w:rPr>
        <w:tab/>
      </w:r>
      <w:r w:rsidRPr="00BE3A1A">
        <w:rPr>
          <w:rFonts w:ascii="Arial" w:hAnsi="Arial"/>
          <w:sz w:val="20"/>
        </w:rPr>
        <w:t>Instruments are to be calibrated according to the manufacturer’s calibration procedure prior to analysis of samples each day compliance monitoring is performed. For most meters, this is a one-</w:t>
      </w:r>
      <w:r w:rsidR="00E90A21">
        <w:rPr>
          <w:rFonts w:ascii="Arial" w:hAnsi="Arial"/>
          <w:sz w:val="20"/>
        </w:rPr>
        <w:t>standard</w:t>
      </w:r>
      <w:r w:rsidR="00E90A21" w:rsidRPr="00BE3A1A">
        <w:rPr>
          <w:rFonts w:ascii="Arial" w:hAnsi="Arial"/>
          <w:sz w:val="20"/>
        </w:rPr>
        <w:t xml:space="preserve"> </w:t>
      </w:r>
      <w:r w:rsidRPr="00BE3A1A">
        <w:rPr>
          <w:rFonts w:ascii="Arial" w:hAnsi="Arial"/>
          <w:sz w:val="20"/>
        </w:rPr>
        <w:t>calibration.</w:t>
      </w:r>
    </w:p>
    <w:p w14:paraId="26F07BE5" w14:textId="77777777" w:rsidR="001A2ED5" w:rsidRDefault="001A2ED5" w:rsidP="3268EEB3">
      <w:pPr>
        <w:ind w:left="720" w:hanging="720"/>
        <w:jc w:val="both"/>
        <w:rPr>
          <w:rFonts w:ascii="Arial" w:hAnsi="Arial"/>
          <w:sz w:val="20"/>
        </w:rPr>
      </w:pPr>
      <w:r w:rsidRPr="3268EEB3">
        <w:rPr>
          <w:rFonts w:ascii="Arial" w:hAnsi="Arial"/>
          <w:sz w:val="20"/>
        </w:rPr>
        <w:t>2.</w:t>
      </w:r>
      <w:r w:rsidRPr="00F61A31">
        <w:rPr>
          <w:rFonts w:ascii="Arial" w:hAnsi="Arial"/>
          <w:sz w:val="20"/>
        </w:rPr>
        <w:tab/>
      </w:r>
      <w:r w:rsidRPr="3268EEB3">
        <w:rPr>
          <w:rFonts w:ascii="Arial" w:hAnsi="Arial"/>
          <w:sz w:val="20"/>
        </w:rPr>
        <w:t xml:space="preserve">Thoroughly rinse </w:t>
      </w:r>
      <w:r w:rsidR="00921807">
        <w:rPr>
          <w:rFonts w:ascii="Arial" w:hAnsi="Arial"/>
          <w:sz w:val="20"/>
        </w:rPr>
        <w:t xml:space="preserve">the probe </w:t>
      </w:r>
      <w:r w:rsidRPr="3268EEB3">
        <w:rPr>
          <w:rFonts w:ascii="Arial" w:hAnsi="Arial"/>
          <w:sz w:val="20"/>
        </w:rPr>
        <w:t xml:space="preserve">with </w:t>
      </w:r>
      <w:r w:rsidR="001B2039">
        <w:rPr>
          <w:rFonts w:ascii="Arial" w:hAnsi="Arial"/>
          <w:sz w:val="20"/>
        </w:rPr>
        <w:t>one or more</w:t>
      </w:r>
      <w:r w:rsidRPr="3268EEB3">
        <w:rPr>
          <w:rFonts w:ascii="Arial" w:hAnsi="Arial"/>
          <w:sz w:val="20"/>
        </w:rPr>
        <w:t xml:space="preserve"> portions </w:t>
      </w:r>
      <w:r w:rsidR="00664DCF">
        <w:rPr>
          <w:rFonts w:ascii="Arial" w:hAnsi="Arial"/>
          <w:sz w:val="20"/>
        </w:rPr>
        <w:t xml:space="preserve">(three recommended) </w:t>
      </w:r>
      <w:r w:rsidRPr="3268EEB3">
        <w:rPr>
          <w:rFonts w:ascii="Arial" w:hAnsi="Arial"/>
          <w:sz w:val="20"/>
        </w:rPr>
        <w:t xml:space="preserve">of </w:t>
      </w:r>
      <w:r w:rsidR="00A70CB2" w:rsidRPr="3268EEB3">
        <w:rPr>
          <w:rFonts w:ascii="Arial" w:hAnsi="Arial"/>
          <w:sz w:val="20"/>
        </w:rPr>
        <w:t xml:space="preserve">the standards </w:t>
      </w:r>
      <w:r w:rsidRPr="3268EEB3">
        <w:rPr>
          <w:rFonts w:ascii="Arial" w:hAnsi="Arial"/>
          <w:sz w:val="20"/>
        </w:rPr>
        <w:t>prior</w:t>
      </w:r>
      <w:r w:rsidR="00A70CB2" w:rsidRPr="3268EEB3">
        <w:rPr>
          <w:rFonts w:ascii="Arial" w:hAnsi="Arial"/>
          <w:sz w:val="20"/>
        </w:rPr>
        <w:t xml:space="preserve"> to calibration and calibration verification</w:t>
      </w:r>
      <w:r w:rsidRPr="3268EEB3">
        <w:rPr>
          <w:rFonts w:ascii="Arial" w:hAnsi="Arial"/>
          <w:sz w:val="20"/>
        </w:rPr>
        <w:t xml:space="preserve">. </w:t>
      </w:r>
    </w:p>
    <w:p w14:paraId="72CDB5EA" w14:textId="77777777" w:rsidR="001A2ED5" w:rsidRPr="00F61A31" w:rsidRDefault="001A2ED5" w:rsidP="001A2ED5">
      <w:pPr>
        <w:ind w:left="720" w:hanging="720"/>
        <w:jc w:val="both"/>
        <w:rPr>
          <w:rFonts w:ascii="Arial" w:hAnsi="Arial"/>
          <w:sz w:val="20"/>
        </w:rPr>
      </w:pPr>
      <w:r>
        <w:rPr>
          <w:rFonts w:ascii="Arial" w:hAnsi="Arial"/>
          <w:sz w:val="20"/>
        </w:rPr>
        <w:t>3.</w:t>
      </w:r>
      <w:r>
        <w:rPr>
          <w:rFonts w:ascii="Arial" w:hAnsi="Arial"/>
          <w:sz w:val="20"/>
        </w:rPr>
        <w:tab/>
      </w:r>
      <w:r w:rsidRPr="00F61A31">
        <w:rPr>
          <w:rFonts w:ascii="Arial" w:hAnsi="Arial"/>
          <w:sz w:val="20"/>
        </w:rPr>
        <w:t xml:space="preserve">Analyze and document a </w:t>
      </w:r>
      <w:r w:rsidR="00023B8F">
        <w:rPr>
          <w:rFonts w:ascii="Arial" w:hAnsi="Arial"/>
          <w:sz w:val="20"/>
        </w:rPr>
        <w:t>second</w:t>
      </w:r>
      <w:r w:rsidR="009B1BEE">
        <w:rPr>
          <w:rFonts w:ascii="Arial" w:hAnsi="Arial"/>
          <w:sz w:val="20"/>
        </w:rPr>
        <w:t xml:space="preserve">-source </w:t>
      </w:r>
      <w:r w:rsidRPr="00F61A31">
        <w:rPr>
          <w:rFonts w:ascii="Arial" w:hAnsi="Arial"/>
          <w:sz w:val="20"/>
        </w:rPr>
        <w:t xml:space="preserve">calibration verification </w:t>
      </w:r>
      <w:r w:rsidR="00E90A21" w:rsidRPr="00F61A31">
        <w:rPr>
          <w:rFonts w:ascii="Arial" w:hAnsi="Arial"/>
          <w:sz w:val="20"/>
        </w:rPr>
        <w:t>check</w:t>
      </w:r>
      <w:r w:rsidR="00E90A21">
        <w:rPr>
          <w:rFonts w:ascii="Arial" w:hAnsi="Arial"/>
          <w:sz w:val="20"/>
        </w:rPr>
        <w:t>-</w:t>
      </w:r>
      <w:r w:rsidRPr="00F61A31">
        <w:rPr>
          <w:rFonts w:ascii="Arial" w:hAnsi="Arial"/>
          <w:sz w:val="20"/>
        </w:rPr>
        <w:t>standard</w:t>
      </w:r>
      <w:r>
        <w:rPr>
          <w:rFonts w:ascii="Arial" w:hAnsi="Arial"/>
          <w:sz w:val="20"/>
        </w:rPr>
        <w:t xml:space="preserve"> prior to </w:t>
      </w:r>
      <w:r w:rsidR="00473BD3">
        <w:rPr>
          <w:rFonts w:ascii="Arial" w:hAnsi="Arial"/>
          <w:sz w:val="20"/>
        </w:rPr>
        <w:t xml:space="preserve">compliance </w:t>
      </w:r>
      <w:r>
        <w:rPr>
          <w:rFonts w:ascii="Arial" w:hAnsi="Arial"/>
          <w:sz w:val="20"/>
        </w:rPr>
        <w:t>sample analysis</w:t>
      </w:r>
      <w:r w:rsidRPr="00F61A31">
        <w:rPr>
          <w:rFonts w:ascii="Arial" w:hAnsi="Arial"/>
          <w:sz w:val="20"/>
        </w:rPr>
        <w:t xml:space="preserve">. It is recommended that this standard </w:t>
      </w:r>
      <w:r w:rsidR="00D7598B">
        <w:rPr>
          <w:rFonts w:ascii="Arial" w:hAnsi="Arial"/>
          <w:sz w:val="20"/>
        </w:rPr>
        <w:t>value</w:t>
      </w:r>
      <w:r w:rsidR="00FD0EEC">
        <w:rPr>
          <w:rFonts w:ascii="Arial" w:hAnsi="Arial"/>
          <w:sz w:val="20"/>
        </w:rPr>
        <w:t xml:space="preserve"> </w:t>
      </w:r>
      <w:proofErr w:type="gramStart"/>
      <w:r w:rsidR="00EF1332">
        <w:rPr>
          <w:rFonts w:ascii="Arial" w:hAnsi="Arial"/>
          <w:sz w:val="20"/>
        </w:rPr>
        <w:t>approximate</w:t>
      </w:r>
      <w:proofErr w:type="gramEnd"/>
      <w:r>
        <w:rPr>
          <w:rFonts w:ascii="Arial" w:hAnsi="Arial"/>
          <w:sz w:val="20"/>
        </w:rPr>
        <w:t xml:space="preserve"> the expected range of sample values measured</w:t>
      </w:r>
      <w:r w:rsidRPr="00F61A31">
        <w:rPr>
          <w:rFonts w:ascii="Arial" w:hAnsi="Arial"/>
          <w:sz w:val="20"/>
        </w:rPr>
        <w:t>.</w:t>
      </w:r>
      <w:r w:rsidR="005564D9">
        <w:rPr>
          <w:rFonts w:ascii="Arial" w:hAnsi="Arial"/>
          <w:sz w:val="20"/>
        </w:rPr>
        <w:t xml:space="preserve"> </w:t>
      </w:r>
      <w:r w:rsidR="00C14A4A">
        <w:rPr>
          <w:rFonts w:ascii="Arial" w:hAnsi="Arial"/>
          <w:sz w:val="20"/>
        </w:rPr>
        <w:t>If t</w:t>
      </w:r>
      <w:r w:rsidR="00B82BF7">
        <w:rPr>
          <w:rFonts w:ascii="Arial" w:hAnsi="Arial"/>
          <w:sz w:val="20"/>
        </w:rPr>
        <w:t xml:space="preserve">he standard </w:t>
      </w:r>
      <w:r w:rsidR="00E6592B">
        <w:rPr>
          <w:rFonts w:ascii="Arial" w:hAnsi="Arial"/>
          <w:sz w:val="20"/>
        </w:rPr>
        <w:t xml:space="preserve">concentration </w:t>
      </w:r>
      <w:r w:rsidR="00C14A4A">
        <w:rPr>
          <w:rFonts w:ascii="Arial" w:hAnsi="Arial"/>
          <w:sz w:val="20"/>
        </w:rPr>
        <w:t>is a</w:t>
      </w:r>
      <w:r w:rsidR="00B82BF7">
        <w:rPr>
          <w:rFonts w:ascii="Arial" w:hAnsi="Arial"/>
          <w:sz w:val="20"/>
        </w:rPr>
        <w:t>t the reporting limit</w:t>
      </w:r>
      <w:r w:rsidR="00C14A4A">
        <w:rPr>
          <w:rFonts w:ascii="Arial" w:hAnsi="Arial"/>
          <w:sz w:val="20"/>
        </w:rPr>
        <w:t xml:space="preserve">, </w:t>
      </w:r>
      <w:r w:rsidR="001F0859">
        <w:rPr>
          <w:rFonts w:ascii="Arial" w:hAnsi="Arial"/>
          <w:sz w:val="20"/>
        </w:rPr>
        <w:t>this would satisfy the requirement to verify the reporting limit quarterly</w:t>
      </w:r>
      <w:r w:rsidR="00B82BF7">
        <w:rPr>
          <w:rFonts w:ascii="Arial" w:hAnsi="Arial"/>
          <w:sz w:val="20"/>
        </w:rPr>
        <w:t>.</w:t>
      </w:r>
      <w:r w:rsidRPr="00F61A31">
        <w:rPr>
          <w:rFonts w:ascii="Arial" w:hAnsi="Arial"/>
          <w:sz w:val="20"/>
        </w:rPr>
        <w:t xml:space="preserve"> </w:t>
      </w:r>
    </w:p>
    <w:p w14:paraId="58C8B4E9" w14:textId="77777777" w:rsidR="001A2ED5" w:rsidRDefault="001A2ED5" w:rsidP="001031C9">
      <w:pPr>
        <w:spacing w:after="0"/>
        <w:ind w:left="720" w:hanging="720"/>
        <w:jc w:val="both"/>
        <w:rPr>
          <w:rFonts w:ascii="Arial" w:hAnsi="Arial"/>
          <w:sz w:val="20"/>
        </w:rPr>
      </w:pPr>
      <w:r>
        <w:rPr>
          <w:rFonts w:ascii="Arial" w:hAnsi="Arial"/>
          <w:sz w:val="20"/>
        </w:rPr>
        <w:t>4.</w:t>
      </w:r>
      <w:r>
        <w:rPr>
          <w:rFonts w:ascii="Arial" w:hAnsi="Arial"/>
          <w:sz w:val="20"/>
        </w:rPr>
        <w:tab/>
      </w:r>
      <w:r w:rsidRPr="00F61A31">
        <w:rPr>
          <w:rFonts w:ascii="Arial" w:hAnsi="Arial"/>
          <w:sz w:val="20"/>
        </w:rPr>
        <w:t xml:space="preserve">The value obtained </w:t>
      </w:r>
      <w:r>
        <w:rPr>
          <w:rFonts w:ascii="Arial" w:hAnsi="Arial"/>
          <w:sz w:val="20"/>
        </w:rPr>
        <w:t>for</w:t>
      </w:r>
      <w:r w:rsidRPr="00F61A31">
        <w:rPr>
          <w:rFonts w:ascii="Arial" w:hAnsi="Arial"/>
          <w:sz w:val="20"/>
        </w:rPr>
        <w:t xml:space="preserve"> the calibration </w:t>
      </w:r>
      <w:r>
        <w:rPr>
          <w:rFonts w:ascii="Arial" w:hAnsi="Arial"/>
          <w:sz w:val="20"/>
        </w:rPr>
        <w:t xml:space="preserve">verification </w:t>
      </w:r>
      <w:r w:rsidR="00E90A21" w:rsidRPr="00F61A31">
        <w:rPr>
          <w:rFonts w:ascii="Arial" w:hAnsi="Arial"/>
          <w:sz w:val="20"/>
        </w:rPr>
        <w:t>check</w:t>
      </w:r>
      <w:r w:rsidR="00E90A21">
        <w:rPr>
          <w:rFonts w:ascii="Arial" w:hAnsi="Arial"/>
          <w:sz w:val="20"/>
        </w:rPr>
        <w:t>-</w:t>
      </w:r>
      <w:r w:rsidRPr="00F61A31">
        <w:rPr>
          <w:rFonts w:ascii="Arial" w:hAnsi="Arial"/>
          <w:sz w:val="20"/>
        </w:rPr>
        <w:t xml:space="preserve">standard must read within </w:t>
      </w:r>
      <w:r w:rsidR="00A26997">
        <w:rPr>
          <w:rFonts w:ascii="Arial" w:hAnsi="Arial" w:cs="Arial"/>
          <w:sz w:val="20"/>
        </w:rPr>
        <w:t>±</w:t>
      </w:r>
      <w:r w:rsidRPr="00F61A31">
        <w:rPr>
          <w:rFonts w:ascii="Arial" w:hAnsi="Arial"/>
          <w:sz w:val="20"/>
        </w:rPr>
        <w:t xml:space="preserve">10% of the true value of the </w:t>
      </w:r>
      <w:r>
        <w:rPr>
          <w:rFonts w:ascii="Arial" w:hAnsi="Arial"/>
          <w:sz w:val="20"/>
        </w:rPr>
        <w:t xml:space="preserve">calibration verification </w:t>
      </w:r>
      <w:r w:rsidRPr="00F61A31">
        <w:rPr>
          <w:rFonts w:ascii="Arial" w:hAnsi="Arial"/>
          <w:sz w:val="20"/>
        </w:rPr>
        <w:t xml:space="preserve">check standard. If the obtained value is outside of the </w:t>
      </w:r>
      <w:r w:rsidRPr="00F61A31">
        <w:rPr>
          <w:rFonts w:ascii="Arial" w:hAnsi="Arial" w:cs="Arial"/>
          <w:sz w:val="20"/>
        </w:rPr>
        <w:t>±</w:t>
      </w:r>
      <w:r w:rsidRPr="00F61A31">
        <w:rPr>
          <w:rFonts w:ascii="Arial" w:hAnsi="Arial"/>
          <w:sz w:val="20"/>
        </w:rPr>
        <w:t>10% range, corrective action must be taken.</w:t>
      </w:r>
    </w:p>
    <w:p w14:paraId="31AD9794" w14:textId="77777777" w:rsidR="001031C9" w:rsidRDefault="001031C9" w:rsidP="001031C9">
      <w:pPr>
        <w:spacing w:before="0" w:after="0"/>
        <w:ind w:left="720" w:hanging="720"/>
        <w:jc w:val="both"/>
        <w:rPr>
          <w:rFonts w:ascii="Arial" w:hAnsi="Arial"/>
          <w:b/>
          <w:sz w:val="20"/>
          <w:u w:val="single"/>
        </w:rPr>
      </w:pPr>
    </w:p>
    <w:p w14:paraId="4571BC06" w14:textId="07E9DC1A" w:rsidR="0083535D" w:rsidRPr="00D97454" w:rsidRDefault="0083535D" w:rsidP="001031C9">
      <w:pPr>
        <w:spacing w:before="0"/>
        <w:ind w:left="720" w:hanging="720"/>
        <w:jc w:val="both"/>
        <w:rPr>
          <w:rFonts w:ascii="Arial" w:hAnsi="Arial"/>
          <w:b/>
          <w:sz w:val="20"/>
          <w:u w:val="single"/>
        </w:rPr>
      </w:pPr>
      <w:r w:rsidRPr="00D97454">
        <w:rPr>
          <w:rFonts w:ascii="Arial" w:hAnsi="Arial"/>
          <w:b/>
          <w:sz w:val="20"/>
          <w:u w:val="single"/>
        </w:rPr>
        <w:t>Analysis:</w:t>
      </w:r>
    </w:p>
    <w:p w14:paraId="37470760" w14:textId="77777777" w:rsidR="0062456D" w:rsidRPr="00C36F04" w:rsidRDefault="00084429" w:rsidP="00C36F04">
      <w:pPr>
        <w:pStyle w:val="ListParagraph"/>
        <w:numPr>
          <w:ilvl w:val="0"/>
          <w:numId w:val="3"/>
        </w:numPr>
        <w:ind w:left="360"/>
        <w:contextualSpacing w:val="0"/>
        <w:jc w:val="both"/>
        <w:rPr>
          <w:rFonts w:ascii="Arial" w:hAnsi="Arial"/>
          <w:sz w:val="20"/>
        </w:rPr>
      </w:pPr>
      <w:r>
        <w:rPr>
          <w:rFonts w:ascii="Arial" w:hAnsi="Arial"/>
          <w:sz w:val="20"/>
        </w:rPr>
        <w:t>Thoroughly rinse probe with one or more portions of sample.</w:t>
      </w:r>
    </w:p>
    <w:p w14:paraId="3AF2B582" w14:textId="5371D48B" w:rsidR="0062456D" w:rsidRPr="00C36F04" w:rsidRDefault="007A5FCC" w:rsidP="00C36F04">
      <w:pPr>
        <w:pStyle w:val="ListParagraph"/>
        <w:numPr>
          <w:ilvl w:val="0"/>
          <w:numId w:val="3"/>
        </w:numPr>
        <w:ind w:left="360"/>
        <w:contextualSpacing w:val="0"/>
        <w:jc w:val="both"/>
        <w:rPr>
          <w:rFonts w:ascii="Arial" w:hAnsi="Arial"/>
          <w:sz w:val="20"/>
        </w:rPr>
      </w:pPr>
      <w:r>
        <w:rPr>
          <w:rFonts w:ascii="Arial" w:hAnsi="Arial"/>
          <w:sz w:val="20"/>
        </w:rPr>
        <w:t xml:space="preserve">Measure </w:t>
      </w:r>
      <w:r w:rsidR="00BF03B8">
        <w:rPr>
          <w:rFonts w:ascii="Arial" w:hAnsi="Arial"/>
          <w:sz w:val="20"/>
        </w:rPr>
        <w:t>S</w:t>
      </w:r>
      <w:r>
        <w:rPr>
          <w:rFonts w:ascii="Arial" w:hAnsi="Arial"/>
          <w:sz w:val="20"/>
        </w:rPr>
        <w:t xml:space="preserve">alinity of sample according to </w:t>
      </w:r>
      <w:r w:rsidR="00BF03B8">
        <w:rPr>
          <w:rFonts w:ascii="Arial" w:hAnsi="Arial"/>
          <w:sz w:val="20"/>
        </w:rPr>
        <w:t>S</w:t>
      </w:r>
      <w:r w:rsidR="00AD3091">
        <w:rPr>
          <w:rFonts w:ascii="Arial" w:hAnsi="Arial"/>
          <w:sz w:val="20"/>
        </w:rPr>
        <w:t>alinity meter</w:t>
      </w:r>
      <w:r w:rsidR="00222063">
        <w:rPr>
          <w:rFonts w:ascii="Arial" w:hAnsi="Arial"/>
          <w:sz w:val="20"/>
        </w:rPr>
        <w:t xml:space="preserve"> manufacturer’s instructions.</w:t>
      </w:r>
    </w:p>
    <w:p w14:paraId="0C2A0895" w14:textId="49E6C180" w:rsidR="0062456D" w:rsidRPr="00D97454" w:rsidRDefault="00222063" w:rsidP="00613224">
      <w:pPr>
        <w:pStyle w:val="ListParagraph"/>
        <w:numPr>
          <w:ilvl w:val="0"/>
          <w:numId w:val="3"/>
        </w:numPr>
        <w:spacing w:after="0"/>
        <w:ind w:left="360"/>
        <w:contextualSpacing w:val="0"/>
        <w:jc w:val="both"/>
        <w:rPr>
          <w:rFonts w:ascii="Arial" w:hAnsi="Arial"/>
          <w:sz w:val="20"/>
        </w:rPr>
      </w:pPr>
      <w:r>
        <w:rPr>
          <w:rFonts w:ascii="Arial" w:hAnsi="Arial"/>
          <w:sz w:val="20"/>
        </w:rPr>
        <w:t xml:space="preserve">Document </w:t>
      </w:r>
      <w:r w:rsidR="00BF03B8">
        <w:rPr>
          <w:rFonts w:ascii="Arial" w:hAnsi="Arial"/>
          <w:sz w:val="20"/>
        </w:rPr>
        <w:t>S</w:t>
      </w:r>
      <w:r w:rsidR="00B95355">
        <w:rPr>
          <w:rFonts w:ascii="Arial" w:hAnsi="Arial"/>
          <w:sz w:val="20"/>
        </w:rPr>
        <w:t xml:space="preserve">alinity </w:t>
      </w:r>
      <w:r>
        <w:rPr>
          <w:rFonts w:ascii="Arial" w:hAnsi="Arial"/>
          <w:sz w:val="20"/>
        </w:rPr>
        <w:t>results.</w:t>
      </w:r>
    </w:p>
    <w:p w14:paraId="6D10F625" w14:textId="77777777" w:rsidR="001031C9" w:rsidRDefault="001031C9" w:rsidP="001031C9">
      <w:pPr>
        <w:spacing w:before="0" w:after="0"/>
        <w:jc w:val="both"/>
        <w:rPr>
          <w:rFonts w:ascii="Arial" w:hAnsi="Arial"/>
          <w:b/>
          <w:sz w:val="20"/>
          <w:u w:val="single"/>
        </w:rPr>
      </w:pPr>
    </w:p>
    <w:p w14:paraId="3756F8E7" w14:textId="0BB2FFEE" w:rsidR="001A2ED5" w:rsidRPr="00F61A31" w:rsidRDefault="001A2ED5" w:rsidP="001031C9">
      <w:pPr>
        <w:spacing w:before="0"/>
        <w:jc w:val="both"/>
        <w:rPr>
          <w:rFonts w:ascii="Arial" w:hAnsi="Arial"/>
          <w:b/>
          <w:sz w:val="20"/>
          <w:u w:val="single"/>
        </w:rPr>
      </w:pPr>
      <w:r w:rsidRPr="00F61A31">
        <w:rPr>
          <w:rFonts w:ascii="Arial" w:hAnsi="Arial"/>
          <w:b/>
          <w:sz w:val="20"/>
          <w:u w:val="single"/>
        </w:rPr>
        <w:t>Documentation:</w:t>
      </w:r>
    </w:p>
    <w:p w14:paraId="1E978D70" w14:textId="77777777" w:rsidR="001A2ED5" w:rsidRPr="00F61A31" w:rsidRDefault="001A2ED5" w:rsidP="001A2ED5">
      <w:pPr>
        <w:suppressAutoHyphens/>
        <w:jc w:val="both"/>
        <w:rPr>
          <w:rFonts w:ascii="Arial" w:hAnsi="Arial" w:cs="Arial"/>
          <w:sz w:val="20"/>
        </w:rPr>
      </w:pPr>
      <w:r w:rsidRPr="00F61A31">
        <w:rPr>
          <w:rFonts w:ascii="Arial" w:hAnsi="Arial" w:cs="Arial"/>
          <w:sz w:val="20"/>
        </w:rPr>
        <w:t xml:space="preserve">The following must be </w:t>
      </w:r>
      <w:proofErr w:type="gramStart"/>
      <w:r w:rsidRPr="00F61A31">
        <w:rPr>
          <w:rFonts w:ascii="Arial" w:hAnsi="Arial" w:cs="Arial"/>
          <w:sz w:val="20"/>
        </w:rPr>
        <w:t xml:space="preserve">documented </w:t>
      </w:r>
      <w:r w:rsidRPr="00BE3A1A">
        <w:rPr>
          <w:rFonts w:ascii="Arial" w:hAnsi="Arial" w:cs="Arial"/>
          <w:sz w:val="20"/>
        </w:rPr>
        <w:t>in</w:t>
      </w:r>
      <w:proofErr w:type="gramEnd"/>
      <w:r w:rsidRPr="00BE3A1A">
        <w:rPr>
          <w:rFonts w:ascii="Arial" w:hAnsi="Arial" w:cs="Arial"/>
          <w:sz w:val="20"/>
        </w:rPr>
        <w:t xml:space="preserve"> indelible ink</w:t>
      </w:r>
      <w:r>
        <w:rPr>
          <w:rFonts w:ascii="Arial" w:hAnsi="Arial" w:cs="Arial"/>
          <w:sz w:val="20"/>
        </w:rPr>
        <w:t xml:space="preserve"> </w:t>
      </w:r>
      <w:r w:rsidRPr="00F61A31">
        <w:rPr>
          <w:rFonts w:ascii="Arial" w:hAnsi="Arial" w:cs="Arial"/>
          <w:sz w:val="20"/>
        </w:rPr>
        <w:t>whenev</w:t>
      </w:r>
      <w:r w:rsidR="007C62BE">
        <w:rPr>
          <w:rFonts w:ascii="Arial" w:hAnsi="Arial" w:cs="Arial"/>
          <w:sz w:val="20"/>
        </w:rPr>
        <w:t>er sample analysis is performed:</w:t>
      </w:r>
    </w:p>
    <w:p w14:paraId="3719BB29" w14:textId="51758EC9" w:rsidR="001A2ED5" w:rsidRPr="001E60B2" w:rsidRDefault="001A2ED5" w:rsidP="009F5085">
      <w:pPr>
        <w:widowControl/>
        <w:numPr>
          <w:ilvl w:val="0"/>
          <w:numId w:val="4"/>
        </w:numPr>
        <w:suppressAutoHyphens/>
        <w:spacing w:before="0" w:after="0"/>
        <w:ind w:left="360"/>
        <w:jc w:val="both"/>
        <w:rPr>
          <w:rFonts w:ascii="Arial" w:hAnsi="Arial" w:cs="Arial"/>
          <w:spacing w:val="-3"/>
          <w:sz w:val="20"/>
          <w:lang w:eastAsia="zh-CN"/>
        </w:rPr>
      </w:pPr>
      <w:r w:rsidRPr="001E60B2">
        <w:rPr>
          <w:rFonts w:ascii="Arial" w:hAnsi="Arial" w:cs="Arial"/>
          <w:spacing w:val="-3"/>
          <w:sz w:val="20"/>
          <w:lang w:eastAsia="zh-CN"/>
        </w:rPr>
        <w:t>Date a</w:t>
      </w:r>
      <w:r w:rsidR="007C62BE">
        <w:rPr>
          <w:rFonts w:ascii="Arial" w:hAnsi="Arial" w:cs="Arial"/>
          <w:spacing w:val="-3"/>
          <w:sz w:val="20"/>
          <w:lang w:eastAsia="zh-CN"/>
        </w:rPr>
        <w:t>nd time of sample collection</w:t>
      </w:r>
      <w:r w:rsidR="002217E8">
        <w:rPr>
          <w:rFonts w:ascii="Arial" w:hAnsi="Arial" w:cs="Arial"/>
          <w:spacing w:val="-3"/>
          <w:sz w:val="20"/>
          <w:lang w:eastAsia="zh-CN"/>
        </w:rPr>
        <w:t xml:space="preserve"> </w:t>
      </w:r>
    </w:p>
    <w:p w14:paraId="712DD395" w14:textId="221E3C51" w:rsidR="001A2ED5" w:rsidRPr="001E60B2" w:rsidRDefault="001A2ED5" w:rsidP="009F5085">
      <w:pPr>
        <w:widowControl/>
        <w:numPr>
          <w:ilvl w:val="0"/>
          <w:numId w:val="4"/>
        </w:numPr>
        <w:suppressAutoHyphens/>
        <w:spacing w:before="0" w:after="0"/>
        <w:ind w:left="360"/>
        <w:jc w:val="both"/>
        <w:rPr>
          <w:rFonts w:ascii="Arial" w:hAnsi="Arial" w:cs="Arial"/>
          <w:spacing w:val="-3"/>
          <w:sz w:val="20"/>
          <w:lang w:eastAsia="zh-CN"/>
        </w:rPr>
      </w:pPr>
      <w:r w:rsidRPr="001E60B2">
        <w:rPr>
          <w:rFonts w:ascii="Arial" w:hAnsi="Arial" w:cs="Arial"/>
          <w:spacing w:val="-3"/>
          <w:sz w:val="20"/>
          <w:lang w:eastAsia="zh-CN"/>
        </w:rPr>
        <w:t>Date of sample analysis</w:t>
      </w:r>
      <w:r>
        <w:rPr>
          <w:rFonts w:ascii="Arial" w:hAnsi="Arial" w:cs="Arial"/>
          <w:spacing w:val="-3"/>
          <w:sz w:val="20"/>
          <w:lang w:eastAsia="zh-CN"/>
        </w:rPr>
        <w:t xml:space="preserve"> to verify the </w:t>
      </w:r>
      <w:r w:rsidR="00940C10">
        <w:rPr>
          <w:rFonts w:ascii="Arial" w:hAnsi="Arial" w:cs="Arial"/>
          <w:spacing w:val="-3"/>
          <w:sz w:val="20"/>
          <w:lang w:eastAsia="zh-CN"/>
        </w:rPr>
        <w:t>28-day</w:t>
      </w:r>
      <w:r>
        <w:rPr>
          <w:rFonts w:ascii="Arial" w:hAnsi="Arial" w:cs="Arial"/>
          <w:spacing w:val="-3"/>
          <w:sz w:val="20"/>
          <w:lang w:eastAsia="zh-CN"/>
        </w:rPr>
        <w:t xml:space="preserve"> holding time is met</w:t>
      </w:r>
      <w:r w:rsidRPr="007C3F31">
        <w:rPr>
          <w:rFonts w:ascii="Arial" w:hAnsi="Arial" w:cs="Arial"/>
          <w:spacing w:val="-3"/>
          <w:sz w:val="20"/>
          <w:lang w:eastAsia="zh-CN"/>
        </w:rPr>
        <w:t xml:space="preserve"> </w:t>
      </w:r>
    </w:p>
    <w:p w14:paraId="061AE41B" w14:textId="7B91DC7D" w:rsidR="001A2ED5" w:rsidRDefault="002231C6" w:rsidP="009F5085">
      <w:pPr>
        <w:widowControl/>
        <w:numPr>
          <w:ilvl w:val="0"/>
          <w:numId w:val="4"/>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Permitted facility</w:t>
      </w:r>
      <w:r w:rsidRPr="002C5FD1">
        <w:t xml:space="preserve"> </w:t>
      </w:r>
      <w:r w:rsidR="002C5FD1" w:rsidRPr="002C5FD1">
        <w:rPr>
          <w:rFonts w:ascii="Arial" w:hAnsi="Arial" w:cs="Arial"/>
          <w:spacing w:val="-3"/>
          <w:sz w:val="20"/>
          <w:lang w:eastAsia="zh-CN"/>
        </w:rPr>
        <w:t>name</w:t>
      </w:r>
      <w:r w:rsidR="00F601D6">
        <w:rPr>
          <w:rFonts w:ascii="Arial" w:hAnsi="Arial" w:cs="Arial"/>
          <w:spacing w:val="-3"/>
          <w:sz w:val="20"/>
          <w:lang w:eastAsia="zh-CN"/>
        </w:rPr>
        <w:t xml:space="preserve"> or permit number</w:t>
      </w:r>
      <w:r w:rsidR="002C5FD1" w:rsidRPr="002C5FD1">
        <w:rPr>
          <w:rFonts w:ascii="Arial" w:hAnsi="Arial" w:cs="Arial"/>
          <w:spacing w:val="-3"/>
          <w:sz w:val="20"/>
          <w:lang w:eastAsia="zh-CN"/>
        </w:rPr>
        <w:t>,</w:t>
      </w:r>
      <w:r w:rsidR="00F601D6">
        <w:rPr>
          <w:rFonts w:ascii="Arial" w:hAnsi="Arial" w:cs="Arial"/>
          <w:spacing w:val="-3"/>
          <w:sz w:val="20"/>
          <w:lang w:eastAsia="zh-CN"/>
        </w:rPr>
        <w:t xml:space="preserve"> and</w:t>
      </w:r>
      <w:r w:rsidR="002C5FD1" w:rsidRPr="002C5FD1">
        <w:rPr>
          <w:rFonts w:ascii="Arial" w:hAnsi="Arial" w:cs="Arial"/>
          <w:spacing w:val="-3"/>
          <w:sz w:val="20"/>
          <w:lang w:eastAsia="zh-CN"/>
        </w:rPr>
        <w:t xml:space="preserve"> sample site (ID or location)</w:t>
      </w:r>
    </w:p>
    <w:p w14:paraId="50ADA5B7" w14:textId="0C47E88A" w:rsidR="001A2ED5" w:rsidRPr="001E60B2" w:rsidRDefault="001A2ED5" w:rsidP="009F5085">
      <w:pPr>
        <w:widowControl/>
        <w:numPr>
          <w:ilvl w:val="0"/>
          <w:numId w:val="4"/>
        </w:numPr>
        <w:suppressAutoHyphens/>
        <w:spacing w:before="0" w:after="0"/>
        <w:ind w:left="360"/>
        <w:jc w:val="both"/>
        <w:rPr>
          <w:rFonts w:ascii="Arial" w:hAnsi="Arial" w:cs="Arial"/>
          <w:spacing w:val="-3"/>
          <w:sz w:val="20"/>
          <w:lang w:eastAsia="zh-CN"/>
        </w:rPr>
      </w:pPr>
      <w:r w:rsidRPr="000F75E1">
        <w:rPr>
          <w:rFonts w:ascii="Arial" w:hAnsi="Arial" w:cs="Arial"/>
          <w:spacing w:val="-3"/>
          <w:sz w:val="20"/>
          <w:lang w:eastAsia="zh-CN"/>
        </w:rPr>
        <w:t xml:space="preserve">Collector’s/analyst’s name </w:t>
      </w:r>
      <w:r w:rsidRPr="00BE3A1A">
        <w:rPr>
          <w:rFonts w:ascii="Arial" w:hAnsi="Arial" w:cs="Arial"/>
          <w:spacing w:val="-3"/>
          <w:sz w:val="20"/>
          <w:lang w:eastAsia="zh-CN"/>
        </w:rPr>
        <w:t>or initials</w:t>
      </w:r>
    </w:p>
    <w:p w14:paraId="30BB4961" w14:textId="40B4B152" w:rsidR="001A2ED5" w:rsidRPr="001E60B2" w:rsidRDefault="001A2ED5" w:rsidP="009F5085">
      <w:pPr>
        <w:widowControl/>
        <w:numPr>
          <w:ilvl w:val="0"/>
          <w:numId w:val="4"/>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True v</w:t>
      </w:r>
      <w:r w:rsidRPr="001E60B2">
        <w:rPr>
          <w:rFonts w:ascii="Arial" w:hAnsi="Arial" w:cs="Arial"/>
          <w:spacing w:val="-3"/>
          <w:sz w:val="20"/>
          <w:lang w:eastAsia="zh-CN"/>
        </w:rPr>
        <w:t xml:space="preserve">alue of </w:t>
      </w:r>
      <w:r>
        <w:rPr>
          <w:rFonts w:ascii="Arial" w:hAnsi="Arial" w:cs="Arial"/>
          <w:spacing w:val="-3"/>
          <w:sz w:val="20"/>
          <w:lang w:eastAsia="zh-CN"/>
        </w:rPr>
        <w:t xml:space="preserve">the </w:t>
      </w:r>
      <w:r w:rsidRPr="001E60B2">
        <w:rPr>
          <w:rFonts w:ascii="Arial" w:hAnsi="Arial" w:cs="Arial"/>
          <w:spacing w:val="-3"/>
          <w:sz w:val="20"/>
          <w:lang w:eastAsia="zh-CN"/>
        </w:rPr>
        <w:t>standard used for calibration</w:t>
      </w:r>
    </w:p>
    <w:p w14:paraId="1BFAD74C" w14:textId="745A8742" w:rsidR="001A2ED5" w:rsidRPr="0006162E" w:rsidRDefault="001A2ED5" w:rsidP="009F5085">
      <w:pPr>
        <w:widowControl/>
        <w:numPr>
          <w:ilvl w:val="0"/>
          <w:numId w:val="4"/>
        </w:numPr>
        <w:suppressAutoHyphens/>
        <w:spacing w:before="0" w:after="0"/>
        <w:ind w:left="360"/>
        <w:jc w:val="both"/>
        <w:rPr>
          <w:rFonts w:ascii="Arial" w:hAnsi="Arial" w:cs="Arial"/>
          <w:spacing w:val="-3"/>
          <w:sz w:val="20"/>
          <w:lang w:eastAsia="zh-CN"/>
        </w:rPr>
      </w:pPr>
      <w:r w:rsidRPr="717DFF15">
        <w:rPr>
          <w:rFonts w:ascii="Arial" w:hAnsi="Arial" w:cs="Arial"/>
          <w:spacing w:val="-3"/>
          <w:sz w:val="20"/>
          <w:lang w:eastAsia="zh-CN"/>
        </w:rPr>
        <w:t>True value of the calibration verification check</w:t>
      </w:r>
      <w:r w:rsidR="00565EC5" w:rsidRPr="717DFF15">
        <w:rPr>
          <w:rFonts w:ascii="Arial" w:hAnsi="Arial" w:cs="Arial"/>
          <w:spacing w:val="-3"/>
          <w:sz w:val="20"/>
          <w:lang w:eastAsia="zh-CN"/>
        </w:rPr>
        <w:t>-</w:t>
      </w:r>
      <w:r w:rsidRPr="717DFF15">
        <w:rPr>
          <w:rFonts w:ascii="Arial" w:hAnsi="Arial" w:cs="Arial"/>
          <w:spacing w:val="-3"/>
          <w:sz w:val="20"/>
          <w:lang w:eastAsia="zh-CN"/>
        </w:rPr>
        <w:t>standard</w:t>
      </w:r>
    </w:p>
    <w:p w14:paraId="012235E9" w14:textId="591FD22F" w:rsidR="001A2ED5" w:rsidRPr="0006162E" w:rsidRDefault="001A2ED5" w:rsidP="009F5085">
      <w:pPr>
        <w:widowControl/>
        <w:numPr>
          <w:ilvl w:val="0"/>
          <w:numId w:val="4"/>
        </w:numPr>
        <w:suppressAutoHyphens/>
        <w:spacing w:before="0" w:after="0"/>
        <w:ind w:left="360"/>
        <w:jc w:val="both"/>
        <w:rPr>
          <w:rFonts w:ascii="Arial" w:hAnsi="Arial" w:cs="Arial"/>
          <w:spacing w:val="-3"/>
          <w:sz w:val="20"/>
          <w:lang w:eastAsia="zh-CN"/>
        </w:rPr>
      </w:pPr>
      <w:r w:rsidRPr="717DFF15">
        <w:rPr>
          <w:rFonts w:ascii="Arial" w:hAnsi="Arial" w:cs="Arial"/>
          <w:spacing w:val="-3"/>
          <w:sz w:val="20"/>
          <w:lang w:eastAsia="zh-CN"/>
        </w:rPr>
        <w:t>Value obtained for the check</w:t>
      </w:r>
      <w:r w:rsidR="00565EC5" w:rsidRPr="717DFF15">
        <w:rPr>
          <w:rFonts w:ascii="Arial" w:hAnsi="Arial" w:cs="Arial"/>
          <w:spacing w:val="-3"/>
          <w:sz w:val="20"/>
          <w:lang w:eastAsia="zh-CN"/>
        </w:rPr>
        <w:t>-</w:t>
      </w:r>
      <w:r w:rsidRPr="717DFF15">
        <w:rPr>
          <w:rFonts w:ascii="Arial" w:hAnsi="Arial" w:cs="Arial"/>
          <w:spacing w:val="-3"/>
          <w:sz w:val="20"/>
          <w:lang w:eastAsia="zh-CN"/>
        </w:rPr>
        <w:t xml:space="preserve">standard </w:t>
      </w:r>
    </w:p>
    <w:p w14:paraId="187AE112" w14:textId="60A4DCE4" w:rsidR="001A2ED5" w:rsidRDefault="001A2ED5" w:rsidP="009F5085">
      <w:pPr>
        <w:widowControl/>
        <w:numPr>
          <w:ilvl w:val="0"/>
          <w:numId w:val="4"/>
        </w:numPr>
        <w:suppressAutoHyphens/>
        <w:spacing w:before="0" w:after="0"/>
        <w:ind w:left="360"/>
        <w:jc w:val="both"/>
        <w:rPr>
          <w:rFonts w:ascii="Arial" w:hAnsi="Arial" w:cs="Arial"/>
          <w:spacing w:val="-3"/>
          <w:sz w:val="20"/>
          <w:lang w:eastAsia="zh-CN"/>
        </w:rPr>
      </w:pPr>
      <w:r w:rsidRPr="00BE3A1A">
        <w:rPr>
          <w:rFonts w:ascii="Arial" w:hAnsi="Arial" w:cs="Arial"/>
          <w:spacing w:val="-3"/>
          <w:sz w:val="20"/>
          <w:lang w:eastAsia="zh-CN"/>
        </w:rPr>
        <w:t xml:space="preserve">True value </w:t>
      </w:r>
      <w:r w:rsidR="00A525EA">
        <w:rPr>
          <w:rFonts w:ascii="Arial" w:hAnsi="Arial" w:cs="Arial"/>
          <w:spacing w:val="-3"/>
          <w:sz w:val="20"/>
          <w:lang w:eastAsia="zh-CN"/>
        </w:rPr>
        <w:t>and value obtained for the post-</w:t>
      </w:r>
      <w:r w:rsidRPr="00BE3A1A">
        <w:rPr>
          <w:rFonts w:ascii="Arial" w:hAnsi="Arial" w:cs="Arial"/>
          <w:spacing w:val="-3"/>
          <w:sz w:val="20"/>
          <w:lang w:eastAsia="zh-CN"/>
        </w:rPr>
        <w:t>analysis calibra</w:t>
      </w:r>
      <w:r w:rsidR="00B01B2D">
        <w:rPr>
          <w:rFonts w:ascii="Arial" w:hAnsi="Arial" w:cs="Arial"/>
          <w:spacing w:val="-3"/>
          <w:sz w:val="20"/>
          <w:lang w:eastAsia="zh-CN"/>
        </w:rPr>
        <w:t>tion verification(s)</w:t>
      </w:r>
      <w:r w:rsidR="00EB1D4D">
        <w:rPr>
          <w:rFonts w:ascii="Arial" w:hAnsi="Arial" w:cs="Arial"/>
          <w:spacing w:val="-3"/>
          <w:sz w:val="20"/>
          <w:lang w:eastAsia="zh-CN"/>
        </w:rPr>
        <w:t>,</w:t>
      </w:r>
      <w:r w:rsidR="00AE5B96">
        <w:rPr>
          <w:rFonts w:ascii="Arial" w:hAnsi="Arial" w:cs="Arial"/>
          <w:spacing w:val="-3"/>
          <w:sz w:val="20"/>
          <w:lang w:eastAsia="zh-CN"/>
        </w:rPr>
        <w:t xml:space="preserve"> when</w:t>
      </w:r>
      <w:r w:rsidR="00EB1D4D">
        <w:rPr>
          <w:rFonts w:ascii="Arial" w:hAnsi="Arial" w:cs="Arial"/>
          <w:spacing w:val="-3"/>
          <w:sz w:val="20"/>
          <w:lang w:eastAsia="zh-CN"/>
        </w:rPr>
        <w:t xml:space="preserve"> applicable</w:t>
      </w:r>
    </w:p>
    <w:p w14:paraId="21E7471A" w14:textId="31BA74CE" w:rsidR="00741F4E" w:rsidRDefault="0029056C" w:rsidP="00AC5ABB">
      <w:pPr>
        <w:widowControl/>
        <w:numPr>
          <w:ilvl w:val="0"/>
          <w:numId w:val="4"/>
        </w:numPr>
        <w:suppressAutoHyphens/>
        <w:spacing w:before="0" w:after="0"/>
        <w:ind w:left="360"/>
        <w:jc w:val="both"/>
        <w:rPr>
          <w:rFonts w:ascii="Arial" w:hAnsi="Arial" w:cs="Arial"/>
          <w:spacing w:val="-3"/>
          <w:sz w:val="20"/>
          <w:lang w:eastAsia="zh-CN"/>
        </w:rPr>
      </w:pPr>
      <w:r>
        <w:rPr>
          <w:rFonts w:ascii="Arial" w:hAnsi="Arial" w:cs="Arial"/>
          <w:spacing w:val="-3"/>
          <w:sz w:val="20"/>
          <w:lang w:eastAsia="zh-CN"/>
        </w:rPr>
        <w:t>Q</w:t>
      </w:r>
      <w:r w:rsidR="00741F4E">
        <w:rPr>
          <w:rFonts w:ascii="Arial" w:hAnsi="Arial" w:cs="Arial"/>
          <w:spacing w:val="-3"/>
          <w:sz w:val="20"/>
          <w:lang w:eastAsia="zh-CN"/>
        </w:rPr>
        <w:t xml:space="preserve">uality control assessments </w:t>
      </w:r>
    </w:p>
    <w:p w14:paraId="3D193693" w14:textId="229AA637" w:rsidR="00FF1A67" w:rsidRDefault="00FF1A67" w:rsidP="009F5085">
      <w:pPr>
        <w:widowControl/>
        <w:numPr>
          <w:ilvl w:val="0"/>
          <w:numId w:val="4"/>
        </w:numPr>
        <w:suppressAutoHyphens/>
        <w:spacing w:before="0" w:after="0"/>
        <w:ind w:left="360" w:hanging="450"/>
        <w:jc w:val="both"/>
        <w:rPr>
          <w:rFonts w:ascii="Arial" w:hAnsi="Arial" w:cs="Arial"/>
          <w:spacing w:val="-3"/>
          <w:sz w:val="20"/>
          <w:lang w:eastAsia="zh-CN"/>
        </w:rPr>
      </w:pPr>
      <w:r w:rsidRPr="00FF1A67">
        <w:rPr>
          <w:rFonts w:ascii="Arial" w:hAnsi="Arial" w:cs="Arial"/>
          <w:spacing w:val="-3"/>
          <w:sz w:val="20"/>
          <w:lang w:eastAsia="zh-CN"/>
        </w:rPr>
        <w:t>Indication of when the post-analysis calibration verification was performed (e.g., time of analysis, end-of-day analysis, etc.)</w:t>
      </w:r>
    </w:p>
    <w:p w14:paraId="0B4F6BE0" w14:textId="573FEAD7" w:rsidR="000D58A5" w:rsidRDefault="00E81286" w:rsidP="009F5085">
      <w:pPr>
        <w:widowControl/>
        <w:numPr>
          <w:ilvl w:val="0"/>
          <w:numId w:val="4"/>
        </w:numPr>
        <w:suppressAutoHyphens/>
        <w:spacing w:before="0" w:after="0"/>
        <w:ind w:left="360" w:hanging="450"/>
        <w:jc w:val="both"/>
        <w:rPr>
          <w:rFonts w:ascii="Arial" w:hAnsi="Arial" w:cs="Arial"/>
          <w:spacing w:val="-3"/>
          <w:sz w:val="20"/>
          <w:lang w:eastAsia="zh-CN"/>
        </w:rPr>
      </w:pPr>
      <w:r>
        <w:rPr>
          <w:rFonts w:ascii="Arial" w:hAnsi="Arial" w:cs="Arial"/>
          <w:spacing w:val="-3"/>
          <w:sz w:val="20"/>
          <w:lang w:eastAsia="zh-CN"/>
        </w:rPr>
        <w:t>The final value to be reported</w:t>
      </w:r>
    </w:p>
    <w:p w14:paraId="00EA30AB" w14:textId="4A21282D" w:rsidR="004E40F3" w:rsidRDefault="00FF1A67" w:rsidP="009F5085">
      <w:pPr>
        <w:widowControl/>
        <w:numPr>
          <w:ilvl w:val="0"/>
          <w:numId w:val="4"/>
        </w:numPr>
        <w:suppressAutoHyphens/>
        <w:spacing w:before="0" w:after="0"/>
        <w:ind w:left="360" w:hanging="450"/>
        <w:jc w:val="both"/>
        <w:rPr>
          <w:rFonts w:ascii="Arial" w:hAnsi="Arial" w:cs="Arial"/>
          <w:spacing w:val="-3"/>
          <w:sz w:val="20"/>
          <w:lang w:eastAsia="zh-CN"/>
        </w:rPr>
      </w:pPr>
      <w:r>
        <w:rPr>
          <w:rFonts w:ascii="Arial" w:hAnsi="Arial" w:cs="Arial"/>
          <w:spacing w:val="-3"/>
          <w:sz w:val="20"/>
          <w:lang w:eastAsia="zh-CN"/>
        </w:rPr>
        <w:t>Units of measure</w:t>
      </w:r>
      <w:r w:rsidR="009F304F">
        <w:rPr>
          <w:rFonts w:ascii="Arial" w:hAnsi="Arial" w:cs="Arial"/>
          <w:spacing w:val="-3"/>
          <w:sz w:val="20"/>
          <w:lang w:eastAsia="zh-CN"/>
        </w:rPr>
        <w:t xml:space="preserve"> (ppt)</w:t>
      </w:r>
    </w:p>
    <w:p w14:paraId="14D16058" w14:textId="5F588E5C" w:rsidR="001A2ED5" w:rsidRDefault="001A2ED5" w:rsidP="009F5085">
      <w:pPr>
        <w:widowControl/>
        <w:numPr>
          <w:ilvl w:val="0"/>
          <w:numId w:val="4"/>
        </w:numPr>
        <w:suppressAutoHyphens/>
        <w:spacing w:before="0" w:after="0"/>
        <w:ind w:left="360" w:hanging="450"/>
        <w:jc w:val="both"/>
        <w:rPr>
          <w:rFonts w:ascii="Arial" w:hAnsi="Arial" w:cs="Arial"/>
          <w:spacing w:val="-3"/>
          <w:sz w:val="20"/>
          <w:lang w:eastAsia="zh-CN"/>
        </w:rPr>
      </w:pPr>
      <w:r w:rsidRPr="00F61A31">
        <w:rPr>
          <w:rFonts w:ascii="Arial" w:hAnsi="Arial" w:cs="Arial"/>
          <w:spacing w:val="-3"/>
          <w:sz w:val="20"/>
          <w:lang w:eastAsia="zh-CN"/>
        </w:rPr>
        <w:t>Traceability for chemicals, reagents, standards and consumables</w:t>
      </w:r>
    </w:p>
    <w:p w14:paraId="3F69DD08" w14:textId="747BA3D4" w:rsidR="001A2ED5" w:rsidRPr="00BE3A1A" w:rsidRDefault="00CD5910" w:rsidP="009F5085">
      <w:pPr>
        <w:widowControl/>
        <w:numPr>
          <w:ilvl w:val="0"/>
          <w:numId w:val="4"/>
        </w:numPr>
        <w:suppressAutoHyphens/>
        <w:spacing w:before="0" w:after="0"/>
        <w:ind w:left="360" w:hanging="450"/>
        <w:jc w:val="both"/>
        <w:rPr>
          <w:rFonts w:ascii="Arial" w:hAnsi="Arial" w:cs="Arial"/>
          <w:spacing w:val="-3"/>
          <w:sz w:val="20"/>
          <w:lang w:eastAsia="zh-CN"/>
        </w:rPr>
      </w:pPr>
      <w:r>
        <w:rPr>
          <w:rFonts w:ascii="Arial" w:hAnsi="Arial" w:cs="Arial"/>
          <w:spacing w:val="-3"/>
          <w:sz w:val="20"/>
          <w:lang w:eastAsia="zh-CN"/>
        </w:rPr>
        <w:t>Unique i</w:t>
      </w:r>
      <w:r w:rsidR="001A2ED5" w:rsidRPr="00BE3A1A">
        <w:rPr>
          <w:rFonts w:ascii="Arial" w:hAnsi="Arial" w:cs="Arial"/>
          <w:spacing w:val="-3"/>
          <w:sz w:val="20"/>
          <w:lang w:eastAsia="zh-CN"/>
        </w:rPr>
        <w:t>nstrument identification</w:t>
      </w:r>
      <w:r w:rsidR="002C5FD1">
        <w:rPr>
          <w:rFonts w:ascii="Arial" w:hAnsi="Arial" w:cs="Arial"/>
          <w:spacing w:val="-3"/>
          <w:sz w:val="20"/>
          <w:lang w:eastAsia="zh-CN"/>
        </w:rPr>
        <w:t xml:space="preserve"> (serial number preferred)</w:t>
      </w:r>
    </w:p>
    <w:p w14:paraId="5B5161EB" w14:textId="1941FAC5" w:rsidR="001A2ED5" w:rsidRDefault="001A2ED5" w:rsidP="009F5085">
      <w:pPr>
        <w:widowControl/>
        <w:numPr>
          <w:ilvl w:val="0"/>
          <w:numId w:val="4"/>
        </w:numPr>
        <w:suppressAutoHyphens/>
        <w:spacing w:before="0" w:after="0"/>
        <w:ind w:left="360" w:hanging="450"/>
        <w:jc w:val="both"/>
        <w:rPr>
          <w:rFonts w:ascii="Arial" w:hAnsi="Arial" w:cs="Arial"/>
          <w:spacing w:val="-3"/>
          <w:sz w:val="20"/>
          <w:lang w:eastAsia="zh-CN"/>
        </w:rPr>
      </w:pPr>
      <w:r w:rsidRPr="00BE3A1A">
        <w:rPr>
          <w:rFonts w:ascii="Arial" w:hAnsi="Arial" w:cs="Arial"/>
          <w:spacing w:val="-3"/>
          <w:sz w:val="20"/>
          <w:lang w:eastAsia="zh-CN"/>
        </w:rPr>
        <w:t>Parameter analyzed</w:t>
      </w:r>
    </w:p>
    <w:p w14:paraId="5C266D01" w14:textId="133E1EAD" w:rsidR="00FF1A67" w:rsidRPr="00BE3A1A" w:rsidRDefault="00FF1A67" w:rsidP="009F5085">
      <w:pPr>
        <w:widowControl/>
        <w:numPr>
          <w:ilvl w:val="0"/>
          <w:numId w:val="4"/>
        </w:numPr>
        <w:suppressAutoHyphens/>
        <w:spacing w:before="0" w:after="0"/>
        <w:ind w:left="360" w:hanging="450"/>
        <w:jc w:val="both"/>
        <w:rPr>
          <w:rFonts w:ascii="Arial" w:hAnsi="Arial" w:cs="Arial"/>
          <w:spacing w:val="-3"/>
          <w:sz w:val="20"/>
          <w:lang w:eastAsia="zh-CN"/>
        </w:rPr>
      </w:pPr>
      <w:r>
        <w:rPr>
          <w:rFonts w:ascii="Arial" w:hAnsi="Arial" w:cs="Arial"/>
          <w:spacing w:val="-3"/>
          <w:sz w:val="20"/>
          <w:lang w:eastAsia="zh-CN"/>
        </w:rPr>
        <w:t>Method reference</w:t>
      </w:r>
    </w:p>
    <w:p w14:paraId="4930AA23" w14:textId="512B94C9" w:rsidR="001A2ED5" w:rsidRPr="00BE3A1A" w:rsidRDefault="001A2ED5" w:rsidP="009F5085">
      <w:pPr>
        <w:widowControl/>
        <w:numPr>
          <w:ilvl w:val="0"/>
          <w:numId w:val="4"/>
        </w:numPr>
        <w:suppressAutoHyphens/>
        <w:spacing w:before="0" w:after="0"/>
        <w:ind w:left="360" w:hanging="450"/>
        <w:jc w:val="both"/>
        <w:rPr>
          <w:rFonts w:ascii="Arial" w:hAnsi="Arial" w:cs="Arial"/>
          <w:spacing w:val="-3"/>
          <w:sz w:val="20"/>
          <w:lang w:eastAsia="zh-CN"/>
        </w:rPr>
      </w:pPr>
      <w:r w:rsidRPr="00BE3A1A">
        <w:rPr>
          <w:rFonts w:ascii="Arial" w:hAnsi="Arial" w:cs="Arial"/>
          <w:spacing w:val="-3"/>
          <w:sz w:val="20"/>
          <w:lang w:eastAsia="zh-CN"/>
        </w:rPr>
        <w:t>Data qualifiers, when necessary</w:t>
      </w:r>
    </w:p>
    <w:p w14:paraId="1892FE92" w14:textId="77777777" w:rsidR="00536E3F" w:rsidRDefault="00536E3F" w:rsidP="001D533D">
      <w:pPr>
        <w:widowControl/>
        <w:suppressAutoHyphens/>
        <w:spacing w:before="0" w:after="0"/>
        <w:jc w:val="both"/>
        <w:rPr>
          <w:rFonts w:ascii="Arial" w:hAnsi="Arial" w:cs="Arial"/>
          <w:spacing w:val="-3"/>
          <w:sz w:val="20"/>
        </w:rPr>
      </w:pPr>
    </w:p>
    <w:p w14:paraId="1C0F80B2" w14:textId="1A416B3D" w:rsidR="005447E8" w:rsidRDefault="005447E8" w:rsidP="001D533D">
      <w:pPr>
        <w:widowControl/>
        <w:suppressAutoHyphens/>
        <w:spacing w:before="0" w:after="0"/>
        <w:jc w:val="both"/>
        <w:rPr>
          <w:rFonts w:ascii="Arial" w:hAnsi="Arial" w:cs="Arial"/>
          <w:spacing w:val="-3"/>
          <w:sz w:val="20"/>
        </w:rPr>
      </w:pPr>
      <w:r w:rsidRPr="00986580">
        <w:rPr>
          <w:rFonts w:ascii="Arial" w:hAnsi="Arial" w:cs="Arial"/>
          <w:spacing w:val="-3"/>
          <w:sz w:val="20"/>
        </w:rPr>
        <w:t xml:space="preserve">Refer to </w:t>
      </w:r>
      <w:hyperlink r:id="rId11" w:history="1">
        <w:r w:rsidRPr="004D663C">
          <w:rPr>
            <w:rStyle w:val="Hyperlink"/>
            <w:rFonts w:ascii="Arial" w:hAnsi="Arial" w:cs="Arial"/>
            <w:spacing w:val="-3"/>
            <w:sz w:val="20"/>
          </w:rPr>
          <w:t>https://www.deq.nc.gov/about/divisions/water-resources/water-sciences/chemistry-laboratory/laboratory-certification-branch/field-approved-procedures-and-technical-assistance</w:t>
        </w:r>
      </w:hyperlink>
      <w:r w:rsidRPr="00986580">
        <w:rPr>
          <w:rFonts w:ascii="Arial" w:hAnsi="Arial" w:cs="Arial"/>
          <w:spacing w:val="-3"/>
          <w:sz w:val="20"/>
        </w:rPr>
        <w:t xml:space="preserve"> for additional </w:t>
      </w:r>
      <w:r>
        <w:rPr>
          <w:rFonts w:ascii="Arial" w:hAnsi="Arial" w:cs="Arial"/>
          <w:spacing w:val="-3"/>
          <w:sz w:val="20"/>
        </w:rPr>
        <w:t>resources.</w:t>
      </w:r>
    </w:p>
    <w:p w14:paraId="6A4EFD37" w14:textId="77777777" w:rsidR="001C4683" w:rsidRDefault="001C4683" w:rsidP="001D533D">
      <w:pPr>
        <w:widowControl/>
        <w:suppressAutoHyphens/>
        <w:spacing w:before="0" w:after="0"/>
        <w:jc w:val="both"/>
        <w:rPr>
          <w:rFonts w:ascii="Arial" w:hAnsi="Arial" w:cs="Arial"/>
          <w:spacing w:val="-3"/>
          <w:sz w:val="20"/>
        </w:rPr>
      </w:pPr>
    </w:p>
    <w:p w14:paraId="69264F6A" w14:textId="7B27EEA2" w:rsidR="006D129E" w:rsidRDefault="004350C6" w:rsidP="001D533D">
      <w:pPr>
        <w:widowControl/>
        <w:suppressAutoHyphens/>
        <w:spacing w:before="0" w:after="0"/>
        <w:jc w:val="both"/>
        <w:rPr>
          <w:rFonts w:ascii="Arial" w:hAnsi="Arial" w:cs="Arial"/>
          <w:spacing w:val="-3"/>
          <w:sz w:val="20"/>
          <w:lang w:eastAsia="zh-CN"/>
        </w:rPr>
      </w:pPr>
      <w:r>
        <w:rPr>
          <w:rFonts w:ascii="Arial" w:hAnsi="Arial" w:cs="Arial"/>
          <w:spacing w:val="-3"/>
          <w:sz w:val="20"/>
          <w:lang w:eastAsia="zh-CN"/>
        </w:rPr>
        <w:t>Ref:</w:t>
      </w:r>
      <w:r w:rsidR="001D533D">
        <w:rPr>
          <w:rFonts w:ascii="Arial" w:hAnsi="Arial" w:cs="Arial"/>
          <w:spacing w:val="-3"/>
          <w:sz w:val="20"/>
          <w:lang w:eastAsia="zh-CN"/>
        </w:rPr>
        <w:t xml:space="preserve"> </w:t>
      </w:r>
      <w:r>
        <w:rPr>
          <w:rFonts w:ascii="Arial" w:hAnsi="Arial" w:cs="Arial"/>
          <w:spacing w:val="-3"/>
          <w:sz w:val="20"/>
          <w:lang w:eastAsia="zh-CN"/>
        </w:rPr>
        <w:t>S</w:t>
      </w:r>
      <w:r w:rsidR="00BB5414">
        <w:rPr>
          <w:rFonts w:ascii="Arial" w:hAnsi="Arial" w:cs="Arial"/>
          <w:spacing w:val="-3"/>
          <w:sz w:val="20"/>
          <w:lang w:eastAsia="zh-CN"/>
        </w:rPr>
        <w:t>tandard Methods 2520 B-20</w:t>
      </w:r>
      <w:r w:rsidR="00E125C6">
        <w:rPr>
          <w:rFonts w:ascii="Arial" w:hAnsi="Arial" w:cs="Arial"/>
          <w:spacing w:val="-3"/>
          <w:sz w:val="20"/>
          <w:lang w:eastAsia="zh-CN"/>
        </w:rPr>
        <w:t>2</w:t>
      </w:r>
      <w:r w:rsidR="00BB5414">
        <w:rPr>
          <w:rFonts w:ascii="Arial" w:hAnsi="Arial" w:cs="Arial"/>
          <w:spacing w:val="-3"/>
          <w:sz w:val="20"/>
          <w:lang w:eastAsia="zh-CN"/>
        </w:rPr>
        <w:t>1</w:t>
      </w:r>
      <w:r w:rsidR="001B165E">
        <w:rPr>
          <w:rFonts w:ascii="Arial" w:hAnsi="Arial" w:cs="Arial"/>
          <w:spacing w:val="-3"/>
          <w:sz w:val="20"/>
          <w:lang w:eastAsia="zh-CN"/>
        </w:rPr>
        <w:t xml:space="preserve"> and</w:t>
      </w:r>
      <w:r w:rsidR="00BB5414">
        <w:rPr>
          <w:rFonts w:ascii="Arial" w:hAnsi="Arial" w:cs="Arial"/>
          <w:spacing w:val="-3"/>
          <w:sz w:val="20"/>
          <w:lang w:eastAsia="zh-CN"/>
        </w:rPr>
        <w:t xml:space="preserve"> </w:t>
      </w:r>
      <w:r w:rsidR="001A2ED5" w:rsidRPr="009D0771">
        <w:rPr>
          <w:rFonts w:ascii="Arial" w:hAnsi="Arial" w:cs="Arial"/>
          <w:spacing w:val="-3"/>
          <w:sz w:val="20"/>
          <w:lang w:eastAsia="zh-CN"/>
        </w:rPr>
        <w:t>Standard Methods 2510 B</w:t>
      </w:r>
      <w:r w:rsidR="00D3725D">
        <w:rPr>
          <w:rFonts w:ascii="Arial" w:hAnsi="Arial" w:cs="Arial"/>
          <w:spacing w:val="-3"/>
          <w:sz w:val="20"/>
          <w:lang w:eastAsia="zh-CN"/>
        </w:rPr>
        <w:t>-</w:t>
      </w:r>
      <w:r w:rsidR="001A2ED5">
        <w:rPr>
          <w:rFonts w:ascii="Arial" w:hAnsi="Arial" w:cs="Arial"/>
          <w:spacing w:val="-3"/>
          <w:sz w:val="20"/>
          <w:lang w:eastAsia="zh-CN"/>
        </w:rPr>
        <w:t>20</w:t>
      </w:r>
      <w:r w:rsidR="00E125C6">
        <w:rPr>
          <w:rFonts w:ascii="Arial" w:hAnsi="Arial" w:cs="Arial"/>
          <w:spacing w:val="-3"/>
          <w:sz w:val="20"/>
          <w:lang w:eastAsia="zh-CN"/>
        </w:rPr>
        <w:t>2</w:t>
      </w:r>
      <w:r w:rsidR="001A2ED5">
        <w:rPr>
          <w:rFonts w:ascii="Arial" w:hAnsi="Arial" w:cs="Arial"/>
          <w:spacing w:val="-3"/>
          <w:sz w:val="20"/>
          <w:lang w:eastAsia="zh-CN"/>
        </w:rPr>
        <w:t>1</w:t>
      </w:r>
    </w:p>
    <w:sectPr w:rsidR="006D129E" w:rsidSect="00BC30BF">
      <w:headerReference w:type="default" r:id="rId12"/>
      <w:footerReference w:type="default" r:id="rId13"/>
      <w:footerReference w:type="first" r:id="rId14"/>
      <w:pgSz w:w="12240" w:h="15840" w:code="1"/>
      <w:pgMar w:top="432" w:right="720" w:bottom="576" w:left="720" w:header="144"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7C53" w14:textId="77777777" w:rsidR="00471040" w:rsidRDefault="00471040">
      <w:pPr>
        <w:spacing w:before="0" w:after="0"/>
      </w:pPr>
      <w:r>
        <w:separator/>
      </w:r>
    </w:p>
  </w:endnote>
  <w:endnote w:type="continuationSeparator" w:id="0">
    <w:p w14:paraId="5F60FE08" w14:textId="77777777" w:rsidR="00471040" w:rsidRDefault="00471040">
      <w:pPr>
        <w:spacing w:before="0" w:after="0"/>
      </w:pPr>
      <w:r>
        <w:continuationSeparator/>
      </w:r>
    </w:p>
  </w:endnote>
  <w:endnote w:type="continuationNotice" w:id="1">
    <w:p w14:paraId="052F4145" w14:textId="77777777" w:rsidR="00471040" w:rsidRDefault="004710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698047"/>
      <w:docPartObj>
        <w:docPartGallery w:val="Page Numbers (Bottom of Page)"/>
        <w:docPartUnique/>
      </w:docPartObj>
    </w:sdtPr>
    <w:sdtEndPr>
      <w:rPr>
        <w:rFonts w:ascii="Arial" w:hAnsi="Arial" w:cs="Arial"/>
        <w:noProof/>
        <w:sz w:val="8"/>
        <w:szCs w:val="4"/>
      </w:rPr>
    </w:sdtEndPr>
    <w:sdtContent>
      <w:p w14:paraId="5812C37A" w14:textId="76DD0F7E" w:rsidR="0010194E" w:rsidRPr="00BE1DBE" w:rsidRDefault="00BE1DBE" w:rsidP="00BE1DBE">
        <w:pPr>
          <w:pStyle w:val="Footer"/>
          <w:tabs>
            <w:tab w:val="clear" w:pos="4320"/>
            <w:tab w:val="clear" w:pos="8640"/>
            <w:tab w:val="right" w:pos="10800"/>
          </w:tabs>
          <w:rPr>
            <w:rFonts w:ascii="Arial" w:hAnsi="Arial" w:cs="Arial"/>
            <w:sz w:val="16"/>
            <w:szCs w:val="16"/>
          </w:rPr>
        </w:pPr>
        <w:r w:rsidRPr="00D35CEC">
          <w:rPr>
            <w:rFonts w:ascii="Arial" w:hAnsi="Arial" w:cs="Arial"/>
            <w:sz w:val="16"/>
            <w:szCs w:val="16"/>
          </w:rPr>
          <w:t>Rev</w:t>
        </w:r>
        <w:r>
          <w:rPr>
            <w:rFonts w:ascii="Arial" w:hAnsi="Arial" w:cs="Arial"/>
            <w:sz w:val="16"/>
            <w:szCs w:val="16"/>
          </w:rPr>
          <w:t xml:space="preserve">ised </w:t>
        </w:r>
        <w:r w:rsidR="005D6277">
          <w:rPr>
            <w:rFonts w:ascii="Arial" w:hAnsi="Arial" w:cs="Arial"/>
            <w:sz w:val="16"/>
            <w:szCs w:val="16"/>
          </w:rPr>
          <w:t>12/17/2025</w:t>
        </w:r>
        <w:r>
          <w:rPr>
            <w:rFonts w:ascii="Arial" w:hAnsi="Arial" w:cs="Arial"/>
            <w:sz w:val="16"/>
            <w:szCs w:val="16"/>
          </w:rPr>
          <w:tab/>
          <w:t xml:space="preserve"> Page </w:t>
        </w:r>
        <w:r w:rsidRPr="00BE1DBE">
          <w:rPr>
            <w:rFonts w:ascii="Arial" w:hAnsi="Arial" w:cs="Arial"/>
            <w:sz w:val="16"/>
            <w:szCs w:val="12"/>
          </w:rPr>
          <w:fldChar w:fldCharType="begin"/>
        </w:r>
        <w:r w:rsidRPr="00BE1DBE">
          <w:rPr>
            <w:rFonts w:ascii="Arial" w:hAnsi="Arial" w:cs="Arial"/>
            <w:sz w:val="16"/>
            <w:szCs w:val="12"/>
          </w:rPr>
          <w:instrText xml:space="preserve"> PAGE   \* MERGEFORMAT </w:instrText>
        </w:r>
        <w:r w:rsidRPr="00BE1DBE">
          <w:rPr>
            <w:rFonts w:ascii="Arial" w:hAnsi="Arial" w:cs="Arial"/>
            <w:sz w:val="16"/>
            <w:szCs w:val="12"/>
          </w:rPr>
          <w:fldChar w:fldCharType="separate"/>
        </w:r>
        <w:r w:rsidRPr="00BE1DBE">
          <w:rPr>
            <w:rFonts w:ascii="Arial" w:hAnsi="Arial" w:cs="Arial"/>
            <w:noProof/>
            <w:sz w:val="16"/>
            <w:szCs w:val="12"/>
          </w:rPr>
          <w:t>2</w:t>
        </w:r>
        <w:r w:rsidRPr="00BE1DBE">
          <w:rPr>
            <w:rFonts w:ascii="Arial" w:hAnsi="Arial" w:cs="Arial"/>
            <w:noProof/>
            <w:sz w:val="16"/>
            <w:szCs w:val="12"/>
          </w:rPr>
          <w:fldChar w:fldCharType="end"/>
        </w:r>
        <w:r>
          <w:rPr>
            <w:rFonts w:ascii="Arial" w:hAnsi="Arial" w:cs="Arial"/>
            <w:noProof/>
            <w:sz w:val="16"/>
            <w:szCs w:val="12"/>
          </w:rPr>
          <w:t xml:space="preserve"> of </w:t>
        </w:r>
        <w:r w:rsidR="005C62FB">
          <w:rPr>
            <w:rFonts w:ascii="Arial" w:hAnsi="Arial" w:cs="Arial"/>
            <w:noProof/>
            <w:sz w:val="16"/>
            <w:szCs w:val="12"/>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58007"/>
      <w:docPartObj>
        <w:docPartGallery w:val="Page Numbers (Bottom of Page)"/>
        <w:docPartUnique/>
      </w:docPartObj>
    </w:sdtPr>
    <w:sdtEndPr>
      <w:rPr>
        <w:rFonts w:ascii="Arial" w:hAnsi="Arial" w:cs="Arial"/>
        <w:noProof/>
        <w:sz w:val="8"/>
        <w:szCs w:val="4"/>
      </w:rPr>
    </w:sdtEndPr>
    <w:sdtContent>
      <w:p w14:paraId="5804C26A" w14:textId="7F95076C" w:rsidR="00EA44B6" w:rsidRPr="00EA44B6" w:rsidRDefault="00EA44B6" w:rsidP="00EA44B6">
        <w:pPr>
          <w:pStyle w:val="Footer"/>
          <w:tabs>
            <w:tab w:val="clear" w:pos="4320"/>
            <w:tab w:val="clear" w:pos="8640"/>
            <w:tab w:val="right" w:pos="10800"/>
          </w:tabs>
          <w:rPr>
            <w:rFonts w:ascii="Arial" w:hAnsi="Arial" w:cs="Arial"/>
            <w:sz w:val="16"/>
            <w:szCs w:val="16"/>
          </w:rPr>
        </w:pPr>
        <w:r w:rsidRPr="00D35CEC">
          <w:rPr>
            <w:rFonts w:ascii="Arial" w:hAnsi="Arial" w:cs="Arial"/>
            <w:sz w:val="16"/>
            <w:szCs w:val="16"/>
          </w:rPr>
          <w:t>Rev</w:t>
        </w:r>
        <w:r>
          <w:rPr>
            <w:rFonts w:ascii="Arial" w:hAnsi="Arial" w:cs="Arial"/>
            <w:sz w:val="16"/>
            <w:szCs w:val="16"/>
          </w:rPr>
          <w:t xml:space="preserve">ised </w:t>
        </w:r>
        <w:r w:rsidR="00DA302A">
          <w:rPr>
            <w:rFonts w:ascii="Arial" w:hAnsi="Arial" w:cs="Arial"/>
            <w:sz w:val="16"/>
            <w:szCs w:val="16"/>
          </w:rPr>
          <w:t>12/17/2025</w:t>
        </w:r>
        <w:r>
          <w:rPr>
            <w:rFonts w:ascii="Arial" w:hAnsi="Arial" w:cs="Arial"/>
            <w:sz w:val="16"/>
            <w:szCs w:val="16"/>
          </w:rPr>
          <w:tab/>
          <w:t xml:space="preserve"> Page </w:t>
        </w:r>
        <w:r w:rsidRPr="00BE1DBE">
          <w:rPr>
            <w:rFonts w:ascii="Arial" w:hAnsi="Arial" w:cs="Arial"/>
            <w:sz w:val="16"/>
            <w:szCs w:val="12"/>
          </w:rPr>
          <w:fldChar w:fldCharType="begin"/>
        </w:r>
        <w:r w:rsidRPr="00BE1DBE">
          <w:rPr>
            <w:rFonts w:ascii="Arial" w:hAnsi="Arial" w:cs="Arial"/>
            <w:sz w:val="16"/>
            <w:szCs w:val="12"/>
          </w:rPr>
          <w:instrText xml:space="preserve"> PAGE   \* MERGEFORMAT </w:instrText>
        </w:r>
        <w:r w:rsidRPr="00BE1DBE">
          <w:rPr>
            <w:rFonts w:ascii="Arial" w:hAnsi="Arial" w:cs="Arial"/>
            <w:sz w:val="16"/>
            <w:szCs w:val="12"/>
          </w:rPr>
          <w:fldChar w:fldCharType="separate"/>
        </w:r>
        <w:r>
          <w:rPr>
            <w:rFonts w:ascii="Arial" w:hAnsi="Arial" w:cs="Arial"/>
            <w:sz w:val="16"/>
            <w:szCs w:val="12"/>
          </w:rPr>
          <w:t>2</w:t>
        </w:r>
        <w:r w:rsidRPr="00BE1DBE">
          <w:rPr>
            <w:rFonts w:ascii="Arial" w:hAnsi="Arial" w:cs="Arial"/>
            <w:noProof/>
            <w:sz w:val="16"/>
            <w:szCs w:val="12"/>
          </w:rPr>
          <w:fldChar w:fldCharType="end"/>
        </w:r>
        <w:r>
          <w:rPr>
            <w:rFonts w:ascii="Arial" w:hAnsi="Arial" w:cs="Arial"/>
            <w:noProof/>
            <w:sz w:val="16"/>
            <w:szCs w:val="12"/>
          </w:rPr>
          <w:t xml:space="preserve"> of </w:t>
        </w:r>
        <w:r w:rsidR="005C62FB">
          <w:rPr>
            <w:rFonts w:ascii="Arial" w:hAnsi="Arial" w:cs="Arial"/>
            <w:noProof/>
            <w:sz w:val="16"/>
            <w:szCs w:val="12"/>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6BBA" w14:textId="77777777" w:rsidR="00471040" w:rsidRDefault="00471040">
      <w:pPr>
        <w:spacing w:before="0" w:after="0"/>
      </w:pPr>
      <w:r>
        <w:separator/>
      </w:r>
    </w:p>
  </w:footnote>
  <w:footnote w:type="continuationSeparator" w:id="0">
    <w:p w14:paraId="696C3290" w14:textId="77777777" w:rsidR="00471040" w:rsidRDefault="00471040">
      <w:pPr>
        <w:spacing w:before="0" w:after="0"/>
      </w:pPr>
      <w:r>
        <w:continuationSeparator/>
      </w:r>
    </w:p>
  </w:footnote>
  <w:footnote w:type="continuationNotice" w:id="1">
    <w:p w14:paraId="08ABD77F" w14:textId="77777777" w:rsidR="00471040" w:rsidRDefault="004710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71EA" w14:textId="0F213CF7" w:rsidR="0081290F" w:rsidRPr="0081290F" w:rsidRDefault="0081290F">
    <w:pPr>
      <w:pStyle w:val="Header"/>
      <w:rPr>
        <w:rFonts w:ascii="Arial" w:hAnsi="Arial" w:cs="Arial"/>
        <w:sz w:val="16"/>
        <w:szCs w:val="12"/>
      </w:rPr>
    </w:pPr>
    <w:r w:rsidRPr="0081290F">
      <w:rPr>
        <w:rFonts w:ascii="Arial" w:hAnsi="Arial" w:cs="Arial"/>
        <w:sz w:val="16"/>
        <w:szCs w:val="12"/>
      </w:rPr>
      <w:t>Approved Procedure for the Analysis of Salinity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6302E"/>
    <w:multiLevelType w:val="hybridMultilevel"/>
    <w:tmpl w:val="4014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E6C3B"/>
    <w:multiLevelType w:val="hybridMultilevel"/>
    <w:tmpl w:val="F5C4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7668F"/>
    <w:multiLevelType w:val="hybridMultilevel"/>
    <w:tmpl w:val="2C1ED54A"/>
    <w:lvl w:ilvl="0" w:tplc="8A36B76C">
      <w:start w:val="1"/>
      <w:numFmt w:val="decimal"/>
      <w:lvlText w:val="%1."/>
      <w:lvlJc w:val="left"/>
      <w:pPr>
        <w:ind w:left="540" w:hanging="48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A825404"/>
    <w:multiLevelType w:val="hybridMultilevel"/>
    <w:tmpl w:val="D19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266353">
    <w:abstractNumId w:val="0"/>
  </w:num>
  <w:num w:numId="2" w16cid:durableId="1418553376">
    <w:abstractNumId w:val="2"/>
  </w:num>
  <w:num w:numId="3" w16cid:durableId="573467542">
    <w:abstractNumId w:val="1"/>
  </w:num>
  <w:num w:numId="4" w16cid:durableId="1066226123">
    <w:abstractNumId w:val="4"/>
  </w:num>
  <w:num w:numId="5" w16cid:durableId="30300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D5"/>
    <w:rsid w:val="00000116"/>
    <w:rsid w:val="00000D85"/>
    <w:rsid w:val="00001E84"/>
    <w:rsid w:val="00002218"/>
    <w:rsid w:val="00002A92"/>
    <w:rsid w:val="000052A9"/>
    <w:rsid w:val="000055A3"/>
    <w:rsid w:val="000063ED"/>
    <w:rsid w:val="0001043A"/>
    <w:rsid w:val="00011C9F"/>
    <w:rsid w:val="00014227"/>
    <w:rsid w:val="00014DF3"/>
    <w:rsid w:val="00015090"/>
    <w:rsid w:val="0001546C"/>
    <w:rsid w:val="000162DE"/>
    <w:rsid w:val="00020D0F"/>
    <w:rsid w:val="000210DE"/>
    <w:rsid w:val="000216C4"/>
    <w:rsid w:val="0002185E"/>
    <w:rsid w:val="00023B8F"/>
    <w:rsid w:val="00023C05"/>
    <w:rsid w:val="00024B26"/>
    <w:rsid w:val="00027392"/>
    <w:rsid w:val="000302EB"/>
    <w:rsid w:val="00030B82"/>
    <w:rsid w:val="00031074"/>
    <w:rsid w:val="00031250"/>
    <w:rsid w:val="00034EBC"/>
    <w:rsid w:val="00035A8F"/>
    <w:rsid w:val="0003618C"/>
    <w:rsid w:val="000363BC"/>
    <w:rsid w:val="00040EB9"/>
    <w:rsid w:val="000411F4"/>
    <w:rsid w:val="00041456"/>
    <w:rsid w:val="0004204C"/>
    <w:rsid w:val="000420CC"/>
    <w:rsid w:val="0004398D"/>
    <w:rsid w:val="00044AD4"/>
    <w:rsid w:val="000506FD"/>
    <w:rsid w:val="00050EF1"/>
    <w:rsid w:val="00051B36"/>
    <w:rsid w:val="00052755"/>
    <w:rsid w:val="00053DEF"/>
    <w:rsid w:val="00055369"/>
    <w:rsid w:val="0005549B"/>
    <w:rsid w:val="00055802"/>
    <w:rsid w:val="000565A6"/>
    <w:rsid w:val="00057D73"/>
    <w:rsid w:val="000629EF"/>
    <w:rsid w:val="00063CF2"/>
    <w:rsid w:val="00070612"/>
    <w:rsid w:val="000724BD"/>
    <w:rsid w:val="00072C1F"/>
    <w:rsid w:val="0007497E"/>
    <w:rsid w:val="00080CE4"/>
    <w:rsid w:val="0008148C"/>
    <w:rsid w:val="0008331F"/>
    <w:rsid w:val="00083517"/>
    <w:rsid w:val="00084429"/>
    <w:rsid w:val="000877DD"/>
    <w:rsid w:val="00092BC7"/>
    <w:rsid w:val="000A28FF"/>
    <w:rsid w:val="000A7EB8"/>
    <w:rsid w:val="000B0499"/>
    <w:rsid w:val="000B12D7"/>
    <w:rsid w:val="000B5CF4"/>
    <w:rsid w:val="000B6DEB"/>
    <w:rsid w:val="000C21E2"/>
    <w:rsid w:val="000C671B"/>
    <w:rsid w:val="000C67FF"/>
    <w:rsid w:val="000D1108"/>
    <w:rsid w:val="000D196F"/>
    <w:rsid w:val="000D1E35"/>
    <w:rsid w:val="000D33E1"/>
    <w:rsid w:val="000D46B2"/>
    <w:rsid w:val="000D58A5"/>
    <w:rsid w:val="000D6658"/>
    <w:rsid w:val="000E01A8"/>
    <w:rsid w:val="000E3290"/>
    <w:rsid w:val="000E4685"/>
    <w:rsid w:val="000E54BE"/>
    <w:rsid w:val="000E5684"/>
    <w:rsid w:val="000E584F"/>
    <w:rsid w:val="000E6CF0"/>
    <w:rsid w:val="000E7A6C"/>
    <w:rsid w:val="000F0C6D"/>
    <w:rsid w:val="000F0CB2"/>
    <w:rsid w:val="000F478B"/>
    <w:rsid w:val="00101399"/>
    <w:rsid w:val="0010194E"/>
    <w:rsid w:val="001031C9"/>
    <w:rsid w:val="00103FB3"/>
    <w:rsid w:val="00105352"/>
    <w:rsid w:val="00106DA3"/>
    <w:rsid w:val="00110D79"/>
    <w:rsid w:val="0011238B"/>
    <w:rsid w:val="0011264A"/>
    <w:rsid w:val="001133DF"/>
    <w:rsid w:val="0011362F"/>
    <w:rsid w:val="00113694"/>
    <w:rsid w:val="00115E58"/>
    <w:rsid w:val="00120C02"/>
    <w:rsid w:val="001219F9"/>
    <w:rsid w:val="00122C0D"/>
    <w:rsid w:val="00124241"/>
    <w:rsid w:val="00124B24"/>
    <w:rsid w:val="00125A1F"/>
    <w:rsid w:val="00127876"/>
    <w:rsid w:val="00130564"/>
    <w:rsid w:val="00131470"/>
    <w:rsid w:val="00134672"/>
    <w:rsid w:val="00134CF9"/>
    <w:rsid w:val="001357E4"/>
    <w:rsid w:val="00135EE9"/>
    <w:rsid w:val="001363E7"/>
    <w:rsid w:val="00140F84"/>
    <w:rsid w:val="001426BF"/>
    <w:rsid w:val="00142DC5"/>
    <w:rsid w:val="001443CB"/>
    <w:rsid w:val="00145241"/>
    <w:rsid w:val="00146B8D"/>
    <w:rsid w:val="00147E04"/>
    <w:rsid w:val="001503F4"/>
    <w:rsid w:val="00151F19"/>
    <w:rsid w:val="00152040"/>
    <w:rsid w:val="00152586"/>
    <w:rsid w:val="001528CD"/>
    <w:rsid w:val="00153888"/>
    <w:rsid w:val="00161031"/>
    <w:rsid w:val="00161349"/>
    <w:rsid w:val="00161BB0"/>
    <w:rsid w:val="001626F2"/>
    <w:rsid w:val="00163012"/>
    <w:rsid w:val="00164173"/>
    <w:rsid w:val="0016468B"/>
    <w:rsid w:val="001661BD"/>
    <w:rsid w:val="001750C4"/>
    <w:rsid w:val="00175233"/>
    <w:rsid w:val="00177389"/>
    <w:rsid w:val="001777D2"/>
    <w:rsid w:val="001830F8"/>
    <w:rsid w:val="0019067C"/>
    <w:rsid w:val="00190EBF"/>
    <w:rsid w:val="0019228B"/>
    <w:rsid w:val="001932AF"/>
    <w:rsid w:val="00196CF3"/>
    <w:rsid w:val="00197083"/>
    <w:rsid w:val="00197AE4"/>
    <w:rsid w:val="001A2ED5"/>
    <w:rsid w:val="001A55DC"/>
    <w:rsid w:val="001A6EF1"/>
    <w:rsid w:val="001B165E"/>
    <w:rsid w:val="001B2039"/>
    <w:rsid w:val="001B69B3"/>
    <w:rsid w:val="001B7B71"/>
    <w:rsid w:val="001B7C0F"/>
    <w:rsid w:val="001C0098"/>
    <w:rsid w:val="001C0E93"/>
    <w:rsid w:val="001C2263"/>
    <w:rsid w:val="001C34BB"/>
    <w:rsid w:val="001C36CA"/>
    <w:rsid w:val="001C39F3"/>
    <w:rsid w:val="001C4683"/>
    <w:rsid w:val="001C5A90"/>
    <w:rsid w:val="001C74A6"/>
    <w:rsid w:val="001D3D6C"/>
    <w:rsid w:val="001D4993"/>
    <w:rsid w:val="001D533D"/>
    <w:rsid w:val="001D5370"/>
    <w:rsid w:val="001E0BC7"/>
    <w:rsid w:val="001E7814"/>
    <w:rsid w:val="001F0859"/>
    <w:rsid w:val="001F1289"/>
    <w:rsid w:val="001F1C84"/>
    <w:rsid w:val="001F41D0"/>
    <w:rsid w:val="001F6B0E"/>
    <w:rsid w:val="001F6E87"/>
    <w:rsid w:val="001F71CD"/>
    <w:rsid w:val="001F7BC5"/>
    <w:rsid w:val="001F7D15"/>
    <w:rsid w:val="001F7FE4"/>
    <w:rsid w:val="00201E4F"/>
    <w:rsid w:val="00202433"/>
    <w:rsid w:val="00203A9F"/>
    <w:rsid w:val="00205649"/>
    <w:rsid w:val="00206339"/>
    <w:rsid w:val="002068D2"/>
    <w:rsid w:val="00206EC9"/>
    <w:rsid w:val="00207037"/>
    <w:rsid w:val="002120EE"/>
    <w:rsid w:val="002140AC"/>
    <w:rsid w:val="00214A0B"/>
    <w:rsid w:val="00216038"/>
    <w:rsid w:val="00216D2D"/>
    <w:rsid w:val="00217B70"/>
    <w:rsid w:val="00217C9E"/>
    <w:rsid w:val="00220DCE"/>
    <w:rsid w:val="002213C7"/>
    <w:rsid w:val="002217E8"/>
    <w:rsid w:val="00222063"/>
    <w:rsid w:val="002231C6"/>
    <w:rsid w:val="00225299"/>
    <w:rsid w:val="00231F5D"/>
    <w:rsid w:val="00231FE2"/>
    <w:rsid w:val="00234FE2"/>
    <w:rsid w:val="00235999"/>
    <w:rsid w:val="00236738"/>
    <w:rsid w:val="002416F3"/>
    <w:rsid w:val="002439DE"/>
    <w:rsid w:val="0024672E"/>
    <w:rsid w:val="00246858"/>
    <w:rsid w:val="002472A6"/>
    <w:rsid w:val="002505C8"/>
    <w:rsid w:val="00251A78"/>
    <w:rsid w:val="0025228C"/>
    <w:rsid w:val="00253AB7"/>
    <w:rsid w:val="0025646B"/>
    <w:rsid w:val="002570DB"/>
    <w:rsid w:val="00260941"/>
    <w:rsid w:val="00261554"/>
    <w:rsid w:val="0026311C"/>
    <w:rsid w:val="00264214"/>
    <w:rsid w:val="00264264"/>
    <w:rsid w:val="00266281"/>
    <w:rsid w:val="00266754"/>
    <w:rsid w:val="00266BC1"/>
    <w:rsid w:val="002679E3"/>
    <w:rsid w:val="00270269"/>
    <w:rsid w:val="00272F24"/>
    <w:rsid w:val="00273335"/>
    <w:rsid w:val="00273925"/>
    <w:rsid w:val="0027725A"/>
    <w:rsid w:val="00277C62"/>
    <w:rsid w:val="00280505"/>
    <w:rsid w:val="002825BC"/>
    <w:rsid w:val="00284321"/>
    <w:rsid w:val="0029008A"/>
    <w:rsid w:val="0029056C"/>
    <w:rsid w:val="002917B5"/>
    <w:rsid w:val="00293DED"/>
    <w:rsid w:val="00294DED"/>
    <w:rsid w:val="002950C1"/>
    <w:rsid w:val="00295B0F"/>
    <w:rsid w:val="002A11C4"/>
    <w:rsid w:val="002A1F25"/>
    <w:rsid w:val="002A6845"/>
    <w:rsid w:val="002B13DE"/>
    <w:rsid w:val="002B1B97"/>
    <w:rsid w:val="002B1BCA"/>
    <w:rsid w:val="002B2DE0"/>
    <w:rsid w:val="002B3022"/>
    <w:rsid w:val="002B43BC"/>
    <w:rsid w:val="002B6ED9"/>
    <w:rsid w:val="002C0743"/>
    <w:rsid w:val="002C1995"/>
    <w:rsid w:val="002C5FD1"/>
    <w:rsid w:val="002C643C"/>
    <w:rsid w:val="002D0AF5"/>
    <w:rsid w:val="002D2129"/>
    <w:rsid w:val="002D53C7"/>
    <w:rsid w:val="002E1359"/>
    <w:rsid w:val="002E1517"/>
    <w:rsid w:val="002E381C"/>
    <w:rsid w:val="002E3AB8"/>
    <w:rsid w:val="002F030D"/>
    <w:rsid w:val="002F49F3"/>
    <w:rsid w:val="002F4DF7"/>
    <w:rsid w:val="002F574D"/>
    <w:rsid w:val="002F7025"/>
    <w:rsid w:val="002F78EB"/>
    <w:rsid w:val="003020EF"/>
    <w:rsid w:val="003071B0"/>
    <w:rsid w:val="00310359"/>
    <w:rsid w:val="003118A2"/>
    <w:rsid w:val="00314A16"/>
    <w:rsid w:val="00317F83"/>
    <w:rsid w:val="003202A9"/>
    <w:rsid w:val="00320C00"/>
    <w:rsid w:val="003242BD"/>
    <w:rsid w:val="003259E9"/>
    <w:rsid w:val="003259F1"/>
    <w:rsid w:val="00326013"/>
    <w:rsid w:val="003266FD"/>
    <w:rsid w:val="0032691D"/>
    <w:rsid w:val="003269EB"/>
    <w:rsid w:val="00332A68"/>
    <w:rsid w:val="00332D65"/>
    <w:rsid w:val="00336BCB"/>
    <w:rsid w:val="0034125E"/>
    <w:rsid w:val="0034175B"/>
    <w:rsid w:val="0034417D"/>
    <w:rsid w:val="00344E25"/>
    <w:rsid w:val="0034547A"/>
    <w:rsid w:val="003456AD"/>
    <w:rsid w:val="003461D4"/>
    <w:rsid w:val="003466C1"/>
    <w:rsid w:val="00350296"/>
    <w:rsid w:val="003515AF"/>
    <w:rsid w:val="00352A5A"/>
    <w:rsid w:val="00353830"/>
    <w:rsid w:val="00354BF4"/>
    <w:rsid w:val="0035779B"/>
    <w:rsid w:val="0036101C"/>
    <w:rsid w:val="00364CCD"/>
    <w:rsid w:val="00365F66"/>
    <w:rsid w:val="0036642C"/>
    <w:rsid w:val="003724F2"/>
    <w:rsid w:val="00372DE8"/>
    <w:rsid w:val="00375237"/>
    <w:rsid w:val="00376B82"/>
    <w:rsid w:val="0038558F"/>
    <w:rsid w:val="0038751D"/>
    <w:rsid w:val="00392C47"/>
    <w:rsid w:val="003A0155"/>
    <w:rsid w:val="003A26B4"/>
    <w:rsid w:val="003A3A36"/>
    <w:rsid w:val="003A5D37"/>
    <w:rsid w:val="003A6DD8"/>
    <w:rsid w:val="003A72C2"/>
    <w:rsid w:val="003B169F"/>
    <w:rsid w:val="003B18CD"/>
    <w:rsid w:val="003B2887"/>
    <w:rsid w:val="003B68A5"/>
    <w:rsid w:val="003B7351"/>
    <w:rsid w:val="003B7C50"/>
    <w:rsid w:val="003C090A"/>
    <w:rsid w:val="003C2471"/>
    <w:rsid w:val="003C500F"/>
    <w:rsid w:val="003C5349"/>
    <w:rsid w:val="003C6018"/>
    <w:rsid w:val="003D0280"/>
    <w:rsid w:val="003D1703"/>
    <w:rsid w:val="003D5223"/>
    <w:rsid w:val="003E3F46"/>
    <w:rsid w:val="003E5E15"/>
    <w:rsid w:val="003E7215"/>
    <w:rsid w:val="003F1A84"/>
    <w:rsid w:val="003F30C4"/>
    <w:rsid w:val="003F3AED"/>
    <w:rsid w:val="003F4468"/>
    <w:rsid w:val="003F7361"/>
    <w:rsid w:val="003F7B9A"/>
    <w:rsid w:val="004007A0"/>
    <w:rsid w:val="004008EF"/>
    <w:rsid w:val="00400BF2"/>
    <w:rsid w:val="004013BC"/>
    <w:rsid w:val="00401809"/>
    <w:rsid w:val="00403BD7"/>
    <w:rsid w:val="00403DB7"/>
    <w:rsid w:val="004049C9"/>
    <w:rsid w:val="0040742D"/>
    <w:rsid w:val="004103D9"/>
    <w:rsid w:val="00413B59"/>
    <w:rsid w:val="00413C52"/>
    <w:rsid w:val="004157A4"/>
    <w:rsid w:val="004168FB"/>
    <w:rsid w:val="00417336"/>
    <w:rsid w:val="00420700"/>
    <w:rsid w:val="00423664"/>
    <w:rsid w:val="00423754"/>
    <w:rsid w:val="00423A35"/>
    <w:rsid w:val="004251B8"/>
    <w:rsid w:val="00425557"/>
    <w:rsid w:val="004306BC"/>
    <w:rsid w:val="00430E05"/>
    <w:rsid w:val="004310E7"/>
    <w:rsid w:val="004339EE"/>
    <w:rsid w:val="004350C6"/>
    <w:rsid w:val="00436FBC"/>
    <w:rsid w:val="004419BC"/>
    <w:rsid w:val="00441D15"/>
    <w:rsid w:val="004456E0"/>
    <w:rsid w:val="00445903"/>
    <w:rsid w:val="00445AE5"/>
    <w:rsid w:val="0044778D"/>
    <w:rsid w:val="00451E5D"/>
    <w:rsid w:val="00451ED8"/>
    <w:rsid w:val="004523B6"/>
    <w:rsid w:val="004575D4"/>
    <w:rsid w:val="004604CB"/>
    <w:rsid w:val="0046214C"/>
    <w:rsid w:val="00462196"/>
    <w:rsid w:val="004630BA"/>
    <w:rsid w:val="0046550C"/>
    <w:rsid w:val="00466FCF"/>
    <w:rsid w:val="00467774"/>
    <w:rsid w:val="00471040"/>
    <w:rsid w:val="00472C46"/>
    <w:rsid w:val="00473BD3"/>
    <w:rsid w:val="00474A07"/>
    <w:rsid w:val="0047645A"/>
    <w:rsid w:val="004767C4"/>
    <w:rsid w:val="004802BB"/>
    <w:rsid w:val="004811D7"/>
    <w:rsid w:val="00485AAA"/>
    <w:rsid w:val="00491AF4"/>
    <w:rsid w:val="00493469"/>
    <w:rsid w:val="00497B16"/>
    <w:rsid w:val="004A2AF2"/>
    <w:rsid w:val="004A2D70"/>
    <w:rsid w:val="004A4955"/>
    <w:rsid w:val="004B4258"/>
    <w:rsid w:val="004B4C1B"/>
    <w:rsid w:val="004B4E96"/>
    <w:rsid w:val="004B5458"/>
    <w:rsid w:val="004B635B"/>
    <w:rsid w:val="004B6DC1"/>
    <w:rsid w:val="004B7EB9"/>
    <w:rsid w:val="004C145F"/>
    <w:rsid w:val="004C14E8"/>
    <w:rsid w:val="004C1CF5"/>
    <w:rsid w:val="004C37F7"/>
    <w:rsid w:val="004C520D"/>
    <w:rsid w:val="004C53BC"/>
    <w:rsid w:val="004C68F9"/>
    <w:rsid w:val="004C6D67"/>
    <w:rsid w:val="004C73CD"/>
    <w:rsid w:val="004D08C4"/>
    <w:rsid w:val="004D2E74"/>
    <w:rsid w:val="004D358D"/>
    <w:rsid w:val="004D42A8"/>
    <w:rsid w:val="004D4CC6"/>
    <w:rsid w:val="004E16D9"/>
    <w:rsid w:val="004E2686"/>
    <w:rsid w:val="004E32F0"/>
    <w:rsid w:val="004E40F3"/>
    <w:rsid w:val="004E4E28"/>
    <w:rsid w:val="004E50BC"/>
    <w:rsid w:val="004E7A05"/>
    <w:rsid w:val="004E7B6A"/>
    <w:rsid w:val="004F0526"/>
    <w:rsid w:val="004F29D6"/>
    <w:rsid w:val="004F3F9E"/>
    <w:rsid w:val="004F66B1"/>
    <w:rsid w:val="004F77BE"/>
    <w:rsid w:val="00501513"/>
    <w:rsid w:val="00502972"/>
    <w:rsid w:val="00503D5C"/>
    <w:rsid w:val="005045A5"/>
    <w:rsid w:val="0050489A"/>
    <w:rsid w:val="0050499B"/>
    <w:rsid w:val="0050780C"/>
    <w:rsid w:val="005143C5"/>
    <w:rsid w:val="005145AF"/>
    <w:rsid w:val="00514B5E"/>
    <w:rsid w:val="0051579F"/>
    <w:rsid w:val="0052106F"/>
    <w:rsid w:val="00521155"/>
    <w:rsid w:val="00522159"/>
    <w:rsid w:val="005235B5"/>
    <w:rsid w:val="00523A2B"/>
    <w:rsid w:val="005246B2"/>
    <w:rsid w:val="00525402"/>
    <w:rsid w:val="0052676C"/>
    <w:rsid w:val="00527492"/>
    <w:rsid w:val="00531C57"/>
    <w:rsid w:val="0053504B"/>
    <w:rsid w:val="00536E3F"/>
    <w:rsid w:val="00537243"/>
    <w:rsid w:val="005447E8"/>
    <w:rsid w:val="00546465"/>
    <w:rsid w:val="00547EF3"/>
    <w:rsid w:val="005535FD"/>
    <w:rsid w:val="00553D87"/>
    <w:rsid w:val="00555E31"/>
    <w:rsid w:val="005564D9"/>
    <w:rsid w:val="00557051"/>
    <w:rsid w:val="005647A4"/>
    <w:rsid w:val="00565EC5"/>
    <w:rsid w:val="00565FED"/>
    <w:rsid w:val="005660A6"/>
    <w:rsid w:val="00566649"/>
    <w:rsid w:val="00566B9C"/>
    <w:rsid w:val="005672A3"/>
    <w:rsid w:val="00571DF5"/>
    <w:rsid w:val="00572430"/>
    <w:rsid w:val="005727DE"/>
    <w:rsid w:val="00581DF7"/>
    <w:rsid w:val="00581F55"/>
    <w:rsid w:val="00583B30"/>
    <w:rsid w:val="00584B29"/>
    <w:rsid w:val="00584E92"/>
    <w:rsid w:val="00585482"/>
    <w:rsid w:val="00587ED8"/>
    <w:rsid w:val="005929F3"/>
    <w:rsid w:val="00593517"/>
    <w:rsid w:val="00593959"/>
    <w:rsid w:val="00594713"/>
    <w:rsid w:val="005947D3"/>
    <w:rsid w:val="00594B72"/>
    <w:rsid w:val="00594ED0"/>
    <w:rsid w:val="00594EFE"/>
    <w:rsid w:val="00595651"/>
    <w:rsid w:val="00597139"/>
    <w:rsid w:val="005A0566"/>
    <w:rsid w:val="005A0E93"/>
    <w:rsid w:val="005A51E1"/>
    <w:rsid w:val="005A59A8"/>
    <w:rsid w:val="005B5A94"/>
    <w:rsid w:val="005C2938"/>
    <w:rsid w:val="005C3238"/>
    <w:rsid w:val="005C38D7"/>
    <w:rsid w:val="005C4153"/>
    <w:rsid w:val="005C512F"/>
    <w:rsid w:val="005C62FB"/>
    <w:rsid w:val="005C7B3C"/>
    <w:rsid w:val="005D1051"/>
    <w:rsid w:val="005D6277"/>
    <w:rsid w:val="005D6E3D"/>
    <w:rsid w:val="005D7CC4"/>
    <w:rsid w:val="005D7E52"/>
    <w:rsid w:val="005E0234"/>
    <w:rsid w:val="005E0478"/>
    <w:rsid w:val="005E11E7"/>
    <w:rsid w:val="005E18DB"/>
    <w:rsid w:val="005E1A31"/>
    <w:rsid w:val="005E3549"/>
    <w:rsid w:val="005E38A6"/>
    <w:rsid w:val="005E3B9D"/>
    <w:rsid w:val="005E6458"/>
    <w:rsid w:val="005E704B"/>
    <w:rsid w:val="005F0D33"/>
    <w:rsid w:val="005F34F4"/>
    <w:rsid w:val="00600D75"/>
    <w:rsid w:val="00602647"/>
    <w:rsid w:val="00606022"/>
    <w:rsid w:val="00607979"/>
    <w:rsid w:val="00607D64"/>
    <w:rsid w:val="006125E9"/>
    <w:rsid w:val="00612EBC"/>
    <w:rsid w:val="00613224"/>
    <w:rsid w:val="006134DC"/>
    <w:rsid w:val="00614EE4"/>
    <w:rsid w:val="006159E6"/>
    <w:rsid w:val="006164D1"/>
    <w:rsid w:val="00616F0F"/>
    <w:rsid w:val="0062032C"/>
    <w:rsid w:val="006205C8"/>
    <w:rsid w:val="00623931"/>
    <w:rsid w:val="0062456D"/>
    <w:rsid w:val="006249E3"/>
    <w:rsid w:val="00626AA4"/>
    <w:rsid w:val="006302C0"/>
    <w:rsid w:val="00630B0F"/>
    <w:rsid w:val="00630D1F"/>
    <w:rsid w:val="00633BDC"/>
    <w:rsid w:val="006345DD"/>
    <w:rsid w:val="00634C9A"/>
    <w:rsid w:val="006350F9"/>
    <w:rsid w:val="00637DAF"/>
    <w:rsid w:val="006420D9"/>
    <w:rsid w:val="0064324B"/>
    <w:rsid w:val="0064339A"/>
    <w:rsid w:val="00643588"/>
    <w:rsid w:val="006457C7"/>
    <w:rsid w:val="006511E4"/>
    <w:rsid w:val="00654BC6"/>
    <w:rsid w:val="00655765"/>
    <w:rsid w:val="00657C8E"/>
    <w:rsid w:val="00662289"/>
    <w:rsid w:val="0066242C"/>
    <w:rsid w:val="00663F51"/>
    <w:rsid w:val="00664DCF"/>
    <w:rsid w:val="00666627"/>
    <w:rsid w:val="00670C80"/>
    <w:rsid w:val="006713CF"/>
    <w:rsid w:val="00671D62"/>
    <w:rsid w:val="00672D7B"/>
    <w:rsid w:val="0067446B"/>
    <w:rsid w:val="00677893"/>
    <w:rsid w:val="006778B8"/>
    <w:rsid w:val="0068159F"/>
    <w:rsid w:val="0068563C"/>
    <w:rsid w:val="00686F9B"/>
    <w:rsid w:val="0068709E"/>
    <w:rsid w:val="00687A41"/>
    <w:rsid w:val="00690AF6"/>
    <w:rsid w:val="0069273C"/>
    <w:rsid w:val="006940C4"/>
    <w:rsid w:val="00694B0B"/>
    <w:rsid w:val="006A1604"/>
    <w:rsid w:val="006A1C85"/>
    <w:rsid w:val="006A3256"/>
    <w:rsid w:val="006A4FAD"/>
    <w:rsid w:val="006A5A3A"/>
    <w:rsid w:val="006B033A"/>
    <w:rsid w:val="006B297A"/>
    <w:rsid w:val="006B32FA"/>
    <w:rsid w:val="006B38C2"/>
    <w:rsid w:val="006B465B"/>
    <w:rsid w:val="006B4DE5"/>
    <w:rsid w:val="006B56BE"/>
    <w:rsid w:val="006B7793"/>
    <w:rsid w:val="006C2781"/>
    <w:rsid w:val="006C5A01"/>
    <w:rsid w:val="006D129E"/>
    <w:rsid w:val="006D164C"/>
    <w:rsid w:val="006E1935"/>
    <w:rsid w:val="006E2B1A"/>
    <w:rsid w:val="006E5169"/>
    <w:rsid w:val="006E54F4"/>
    <w:rsid w:val="006E58DF"/>
    <w:rsid w:val="006F390A"/>
    <w:rsid w:val="006F3EB3"/>
    <w:rsid w:val="006F4E1A"/>
    <w:rsid w:val="006F55E9"/>
    <w:rsid w:val="006F56DA"/>
    <w:rsid w:val="006F56EF"/>
    <w:rsid w:val="006F6E5D"/>
    <w:rsid w:val="0070141C"/>
    <w:rsid w:val="00704ADF"/>
    <w:rsid w:val="007054B8"/>
    <w:rsid w:val="007114AB"/>
    <w:rsid w:val="00711DDB"/>
    <w:rsid w:val="00711F39"/>
    <w:rsid w:val="00712537"/>
    <w:rsid w:val="007129CE"/>
    <w:rsid w:val="00716194"/>
    <w:rsid w:val="007163C9"/>
    <w:rsid w:val="00716FC1"/>
    <w:rsid w:val="00720ADC"/>
    <w:rsid w:val="007214C2"/>
    <w:rsid w:val="00723EE9"/>
    <w:rsid w:val="0072578E"/>
    <w:rsid w:val="00726980"/>
    <w:rsid w:val="0073092C"/>
    <w:rsid w:val="00731AFD"/>
    <w:rsid w:val="007322A2"/>
    <w:rsid w:val="00733AFA"/>
    <w:rsid w:val="007342F1"/>
    <w:rsid w:val="00736B08"/>
    <w:rsid w:val="00736CB2"/>
    <w:rsid w:val="00736E33"/>
    <w:rsid w:val="007370F5"/>
    <w:rsid w:val="00741F4E"/>
    <w:rsid w:val="00742100"/>
    <w:rsid w:val="00742235"/>
    <w:rsid w:val="00742B2C"/>
    <w:rsid w:val="00744287"/>
    <w:rsid w:val="007445F6"/>
    <w:rsid w:val="0074725A"/>
    <w:rsid w:val="00747983"/>
    <w:rsid w:val="00747A16"/>
    <w:rsid w:val="00747C29"/>
    <w:rsid w:val="00751BC1"/>
    <w:rsid w:val="0075286F"/>
    <w:rsid w:val="00755CFC"/>
    <w:rsid w:val="007658E1"/>
    <w:rsid w:val="00765DC4"/>
    <w:rsid w:val="00766C7A"/>
    <w:rsid w:val="00766EB7"/>
    <w:rsid w:val="0076725E"/>
    <w:rsid w:val="00773C52"/>
    <w:rsid w:val="00773F0D"/>
    <w:rsid w:val="007752CE"/>
    <w:rsid w:val="00775510"/>
    <w:rsid w:val="007803BC"/>
    <w:rsid w:val="00783170"/>
    <w:rsid w:val="007846C3"/>
    <w:rsid w:val="00784DB8"/>
    <w:rsid w:val="00786E9D"/>
    <w:rsid w:val="007874E1"/>
    <w:rsid w:val="00787D97"/>
    <w:rsid w:val="00793CAE"/>
    <w:rsid w:val="007975AA"/>
    <w:rsid w:val="007A0327"/>
    <w:rsid w:val="007A1B27"/>
    <w:rsid w:val="007A3086"/>
    <w:rsid w:val="007A39A3"/>
    <w:rsid w:val="007A5FCC"/>
    <w:rsid w:val="007A6250"/>
    <w:rsid w:val="007A630E"/>
    <w:rsid w:val="007B1850"/>
    <w:rsid w:val="007B3649"/>
    <w:rsid w:val="007B481B"/>
    <w:rsid w:val="007B56C2"/>
    <w:rsid w:val="007B574E"/>
    <w:rsid w:val="007B6F8E"/>
    <w:rsid w:val="007B763F"/>
    <w:rsid w:val="007B7809"/>
    <w:rsid w:val="007C015C"/>
    <w:rsid w:val="007C14BA"/>
    <w:rsid w:val="007C30D3"/>
    <w:rsid w:val="007C34BA"/>
    <w:rsid w:val="007C5148"/>
    <w:rsid w:val="007C5545"/>
    <w:rsid w:val="007C56BF"/>
    <w:rsid w:val="007C62BE"/>
    <w:rsid w:val="007D0128"/>
    <w:rsid w:val="007D0142"/>
    <w:rsid w:val="007D0E00"/>
    <w:rsid w:val="007D283B"/>
    <w:rsid w:val="007D2AC5"/>
    <w:rsid w:val="007D2C74"/>
    <w:rsid w:val="007D2F2D"/>
    <w:rsid w:val="007E174C"/>
    <w:rsid w:val="007E1DA9"/>
    <w:rsid w:val="007E1EFF"/>
    <w:rsid w:val="007E2CD6"/>
    <w:rsid w:val="007E3894"/>
    <w:rsid w:val="007E457C"/>
    <w:rsid w:val="007E4E7C"/>
    <w:rsid w:val="007E6C43"/>
    <w:rsid w:val="007F167B"/>
    <w:rsid w:val="007F1724"/>
    <w:rsid w:val="007F2710"/>
    <w:rsid w:val="007F28FE"/>
    <w:rsid w:val="007F44D9"/>
    <w:rsid w:val="007F4AE7"/>
    <w:rsid w:val="007F5190"/>
    <w:rsid w:val="007F5498"/>
    <w:rsid w:val="007F6919"/>
    <w:rsid w:val="007F6DDE"/>
    <w:rsid w:val="00804487"/>
    <w:rsid w:val="008074EC"/>
    <w:rsid w:val="0081290F"/>
    <w:rsid w:val="00812AC4"/>
    <w:rsid w:val="00812CB8"/>
    <w:rsid w:val="008141BC"/>
    <w:rsid w:val="00815B62"/>
    <w:rsid w:val="00815FC0"/>
    <w:rsid w:val="00817426"/>
    <w:rsid w:val="0082087E"/>
    <w:rsid w:val="008234FF"/>
    <w:rsid w:val="00823CE4"/>
    <w:rsid w:val="008247D0"/>
    <w:rsid w:val="00824E70"/>
    <w:rsid w:val="008257E2"/>
    <w:rsid w:val="00826108"/>
    <w:rsid w:val="00826922"/>
    <w:rsid w:val="00826DD0"/>
    <w:rsid w:val="00826F50"/>
    <w:rsid w:val="008331A2"/>
    <w:rsid w:val="0083321E"/>
    <w:rsid w:val="008346F8"/>
    <w:rsid w:val="008350CB"/>
    <w:rsid w:val="0083535D"/>
    <w:rsid w:val="008355C2"/>
    <w:rsid w:val="00835B9C"/>
    <w:rsid w:val="008361FB"/>
    <w:rsid w:val="0084128D"/>
    <w:rsid w:val="008426EC"/>
    <w:rsid w:val="00843786"/>
    <w:rsid w:val="00844BA0"/>
    <w:rsid w:val="008470B7"/>
    <w:rsid w:val="00847A06"/>
    <w:rsid w:val="0085095B"/>
    <w:rsid w:val="00854782"/>
    <w:rsid w:val="0085598A"/>
    <w:rsid w:val="008561FB"/>
    <w:rsid w:val="00856B6A"/>
    <w:rsid w:val="0086037F"/>
    <w:rsid w:val="00860679"/>
    <w:rsid w:val="00862BBC"/>
    <w:rsid w:val="00865609"/>
    <w:rsid w:val="00865A7D"/>
    <w:rsid w:val="00865DEA"/>
    <w:rsid w:val="00873B78"/>
    <w:rsid w:val="00875FB0"/>
    <w:rsid w:val="00876E86"/>
    <w:rsid w:val="00877438"/>
    <w:rsid w:val="008774D0"/>
    <w:rsid w:val="0088059A"/>
    <w:rsid w:val="00884206"/>
    <w:rsid w:val="00884325"/>
    <w:rsid w:val="00884A7D"/>
    <w:rsid w:val="00884DD2"/>
    <w:rsid w:val="008867BB"/>
    <w:rsid w:val="00886C54"/>
    <w:rsid w:val="008871A3"/>
    <w:rsid w:val="00890539"/>
    <w:rsid w:val="00891CDB"/>
    <w:rsid w:val="00893764"/>
    <w:rsid w:val="00894BD1"/>
    <w:rsid w:val="00894F29"/>
    <w:rsid w:val="008951BB"/>
    <w:rsid w:val="00897351"/>
    <w:rsid w:val="00897375"/>
    <w:rsid w:val="008A0506"/>
    <w:rsid w:val="008A1045"/>
    <w:rsid w:val="008A1CBB"/>
    <w:rsid w:val="008A1CF4"/>
    <w:rsid w:val="008A2A85"/>
    <w:rsid w:val="008A54DB"/>
    <w:rsid w:val="008A5ADE"/>
    <w:rsid w:val="008B263F"/>
    <w:rsid w:val="008B2797"/>
    <w:rsid w:val="008B42FC"/>
    <w:rsid w:val="008B4B34"/>
    <w:rsid w:val="008B61EA"/>
    <w:rsid w:val="008B627B"/>
    <w:rsid w:val="008B7E03"/>
    <w:rsid w:val="008C12F9"/>
    <w:rsid w:val="008C2B24"/>
    <w:rsid w:val="008C33C4"/>
    <w:rsid w:val="008C54E9"/>
    <w:rsid w:val="008C6306"/>
    <w:rsid w:val="008C7C4C"/>
    <w:rsid w:val="008D280E"/>
    <w:rsid w:val="008D3864"/>
    <w:rsid w:val="008D3C6E"/>
    <w:rsid w:val="008D3CE1"/>
    <w:rsid w:val="008D3D5A"/>
    <w:rsid w:val="008D6180"/>
    <w:rsid w:val="008D647A"/>
    <w:rsid w:val="008D7035"/>
    <w:rsid w:val="008D7A0B"/>
    <w:rsid w:val="008D7E3C"/>
    <w:rsid w:val="008E074A"/>
    <w:rsid w:val="008E214E"/>
    <w:rsid w:val="008E2D98"/>
    <w:rsid w:val="008E458E"/>
    <w:rsid w:val="008E4C41"/>
    <w:rsid w:val="008F03E7"/>
    <w:rsid w:val="008F09F5"/>
    <w:rsid w:val="008F1FA5"/>
    <w:rsid w:val="008F2613"/>
    <w:rsid w:val="008F4778"/>
    <w:rsid w:val="008F4B3D"/>
    <w:rsid w:val="008F54F1"/>
    <w:rsid w:val="008F7780"/>
    <w:rsid w:val="00900F48"/>
    <w:rsid w:val="00905288"/>
    <w:rsid w:val="00906325"/>
    <w:rsid w:val="00906466"/>
    <w:rsid w:val="00906632"/>
    <w:rsid w:val="00906C8B"/>
    <w:rsid w:val="00910657"/>
    <w:rsid w:val="00911AE3"/>
    <w:rsid w:val="00914EF3"/>
    <w:rsid w:val="00915370"/>
    <w:rsid w:val="00917386"/>
    <w:rsid w:val="00921807"/>
    <w:rsid w:val="00921DAF"/>
    <w:rsid w:val="00923F30"/>
    <w:rsid w:val="0092506F"/>
    <w:rsid w:val="009330C1"/>
    <w:rsid w:val="009340EC"/>
    <w:rsid w:val="00940C10"/>
    <w:rsid w:val="00942AC0"/>
    <w:rsid w:val="00952C2B"/>
    <w:rsid w:val="00953924"/>
    <w:rsid w:val="00953940"/>
    <w:rsid w:val="00953F0B"/>
    <w:rsid w:val="00954041"/>
    <w:rsid w:val="00954CEC"/>
    <w:rsid w:val="00956099"/>
    <w:rsid w:val="00956901"/>
    <w:rsid w:val="0095714C"/>
    <w:rsid w:val="00957154"/>
    <w:rsid w:val="009639FE"/>
    <w:rsid w:val="00965301"/>
    <w:rsid w:val="0096646E"/>
    <w:rsid w:val="00966530"/>
    <w:rsid w:val="009713E7"/>
    <w:rsid w:val="00973862"/>
    <w:rsid w:val="009748BE"/>
    <w:rsid w:val="0097543B"/>
    <w:rsid w:val="00975C26"/>
    <w:rsid w:val="009761BC"/>
    <w:rsid w:val="00976B99"/>
    <w:rsid w:val="009837C0"/>
    <w:rsid w:val="00983F64"/>
    <w:rsid w:val="009843D7"/>
    <w:rsid w:val="009859B5"/>
    <w:rsid w:val="00986875"/>
    <w:rsid w:val="00986909"/>
    <w:rsid w:val="009876A8"/>
    <w:rsid w:val="0098779B"/>
    <w:rsid w:val="00990EC7"/>
    <w:rsid w:val="00990EE0"/>
    <w:rsid w:val="00991780"/>
    <w:rsid w:val="009925BF"/>
    <w:rsid w:val="00993AAF"/>
    <w:rsid w:val="00994C72"/>
    <w:rsid w:val="00995A24"/>
    <w:rsid w:val="00996182"/>
    <w:rsid w:val="00997A91"/>
    <w:rsid w:val="009A220E"/>
    <w:rsid w:val="009A2B06"/>
    <w:rsid w:val="009A3D9D"/>
    <w:rsid w:val="009B08E7"/>
    <w:rsid w:val="009B19E3"/>
    <w:rsid w:val="009B1BEE"/>
    <w:rsid w:val="009B222B"/>
    <w:rsid w:val="009B247A"/>
    <w:rsid w:val="009B2CA0"/>
    <w:rsid w:val="009B3037"/>
    <w:rsid w:val="009B5FA3"/>
    <w:rsid w:val="009B6491"/>
    <w:rsid w:val="009C1D8A"/>
    <w:rsid w:val="009C2458"/>
    <w:rsid w:val="009C38CA"/>
    <w:rsid w:val="009C3ADF"/>
    <w:rsid w:val="009C3B5A"/>
    <w:rsid w:val="009C61DE"/>
    <w:rsid w:val="009C66D5"/>
    <w:rsid w:val="009D04AF"/>
    <w:rsid w:val="009D1267"/>
    <w:rsid w:val="009D25B9"/>
    <w:rsid w:val="009D42EA"/>
    <w:rsid w:val="009D4D24"/>
    <w:rsid w:val="009D4E12"/>
    <w:rsid w:val="009E18DD"/>
    <w:rsid w:val="009E6290"/>
    <w:rsid w:val="009F0D39"/>
    <w:rsid w:val="009F1EF1"/>
    <w:rsid w:val="009F304F"/>
    <w:rsid w:val="009F5085"/>
    <w:rsid w:val="009F697B"/>
    <w:rsid w:val="009F79D0"/>
    <w:rsid w:val="009F7AD4"/>
    <w:rsid w:val="00A0351E"/>
    <w:rsid w:val="00A045AF"/>
    <w:rsid w:val="00A04C5B"/>
    <w:rsid w:val="00A05714"/>
    <w:rsid w:val="00A11472"/>
    <w:rsid w:val="00A11FCE"/>
    <w:rsid w:val="00A125EC"/>
    <w:rsid w:val="00A138B1"/>
    <w:rsid w:val="00A13A6F"/>
    <w:rsid w:val="00A13E64"/>
    <w:rsid w:val="00A14E82"/>
    <w:rsid w:val="00A154F9"/>
    <w:rsid w:val="00A15C28"/>
    <w:rsid w:val="00A16911"/>
    <w:rsid w:val="00A17A3E"/>
    <w:rsid w:val="00A2060A"/>
    <w:rsid w:val="00A24465"/>
    <w:rsid w:val="00A26997"/>
    <w:rsid w:val="00A270E7"/>
    <w:rsid w:val="00A27B7B"/>
    <w:rsid w:val="00A30BAF"/>
    <w:rsid w:val="00A33EA9"/>
    <w:rsid w:val="00A34C27"/>
    <w:rsid w:val="00A36FB6"/>
    <w:rsid w:val="00A40570"/>
    <w:rsid w:val="00A41817"/>
    <w:rsid w:val="00A426FB"/>
    <w:rsid w:val="00A43180"/>
    <w:rsid w:val="00A46769"/>
    <w:rsid w:val="00A47EC6"/>
    <w:rsid w:val="00A50A68"/>
    <w:rsid w:val="00A525EA"/>
    <w:rsid w:val="00A527BF"/>
    <w:rsid w:val="00A54283"/>
    <w:rsid w:val="00A564C5"/>
    <w:rsid w:val="00A60A90"/>
    <w:rsid w:val="00A62F56"/>
    <w:rsid w:val="00A64A40"/>
    <w:rsid w:val="00A6578D"/>
    <w:rsid w:val="00A70CB2"/>
    <w:rsid w:val="00A7246C"/>
    <w:rsid w:val="00A732CC"/>
    <w:rsid w:val="00A74BCF"/>
    <w:rsid w:val="00A7551B"/>
    <w:rsid w:val="00A76119"/>
    <w:rsid w:val="00A7725B"/>
    <w:rsid w:val="00A773A5"/>
    <w:rsid w:val="00A7754C"/>
    <w:rsid w:val="00A8181D"/>
    <w:rsid w:val="00A8192A"/>
    <w:rsid w:val="00A820D0"/>
    <w:rsid w:val="00A83FF5"/>
    <w:rsid w:val="00A84C34"/>
    <w:rsid w:val="00A850F0"/>
    <w:rsid w:val="00A85332"/>
    <w:rsid w:val="00A8669C"/>
    <w:rsid w:val="00A877A0"/>
    <w:rsid w:val="00A91203"/>
    <w:rsid w:val="00A91E16"/>
    <w:rsid w:val="00A92240"/>
    <w:rsid w:val="00A924F1"/>
    <w:rsid w:val="00A92724"/>
    <w:rsid w:val="00A930D2"/>
    <w:rsid w:val="00A937C9"/>
    <w:rsid w:val="00A94D82"/>
    <w:rsid w:val="00A94E61"/>
    <w:rsid w:val="00A963D2"/>
    <w:rsid w:val="00AA034B"/>
    <w:rsid w:val="00AA07FD"/>
    <w:rsid w:val="00AA37B9"/>
    <w:rsid w:val="00AA7F60"/>
    <w:rsid w:val="00AB233D"/>
    <w:rsid w:val="00AB24E1"/>
    <w:rsid w:val="00AB525D"/>
    <w:rsid w:val="00AC225A"/>
    <w:rsid w:val="00AC3D73"/>
    <w:rsid w:val="00AC5ABB"/>
    <w:rsid w:val="00AD3091"/>
    <w:rsid w:val="00AD31AC"/>
    <w:rsid w:val="00AD493C"/>
    <w:rsid w:val="00AD49F7"/>
    <w:rsid w:val="00AD4E68"/>
    <w:rsid w:val="00AD4E9B"/>
    <w:rsid w:val="00AD601E"/>
    <w:rsid w:val="00AD6597"/>
    <w:rsid w:val="00AE0222"/>
    <w:rsid w:val="00AE0EA0"/>
    <w:rsid w:val="00AE14B0"/>
    <w:rsid w:val="00AE25A2"/>
    <w:rsid w:val="00AE32E2"/>
    <w:rsid w:val="00AE3951"/>
    <w:rsid w:val="00AE3D57"/>
    <w:rsid w:val="00AE5B96"/>
    <w:rsid w:val="00AE70C4"/>
    <w:rsid w:val="00AF02E1"/>
    <w:rsid w:val="00AF2D50"/>
    <w:rsid w:val="00AF7870"/>
    <w:rsid w:val="00B015F5"/>
    <w:rsid w:val="00B01B2D"/>
    <w:rsid w:val="00B0307F"/>
    <w:rsid w:val="00B03729"/>
    <w:rsid w:val="00B0418F"/>
    <w:rsid w:val="00B05710"/>
    <w:rsid w:val="00B05BC6"/>
    <w:rsid w:val="00B117D6"/>
    <w:rsid w:val="00B12AD0"/>
    <w:rsid w:val="00B14307"/>
    <w:rsid w:val="00B160C4"/>
    <w:rsid w:val="00B16887"/>
    <w:rsid w:val="00B205CB"/>
    <w:rsid w:val="00B20CAD"/>
    <w:rsid w:val="00B20E10"/>
    <w:rsid w:val="00B21BC1"/>
    <w:rsid w:val="00B2685C"/>
    <w:rsid w:val="00B307DF"/>
    <w:rsid w:val="00B32E81"/>
    <w:rsid w:val="00B35358"/>
    <w:rsid w:val="00B371E7"/>
    <w:rsid w:val="00B377E7"/>
    <w:rsid w:val="00B440B6"/>
    <w:rsid w:val="00B45171"/>
    <w:rsid w:val="00B46AC8"/>
    <w:rsid w:val="00B46ED6"/>
    <w:rsid w:val="00B46FD7"/>
    <w:rsid w:val="00B47971"/>
    <w:rsid w:val="00B50C7B"/>
    <w:rsid w:val="00B50F89"/>
    <w:rsid w:val="00B524C9"/>
    <w:rsid w:val="00B54321"/>
    <w:rsid w:val="00B543FC"/>
    <w:rsid w:val="00B5636E"/>
    <w:rsid w:val="00B61832"/>
    <w:rsid w:val="00B61C5B"/>
    <w:rsid w:val="00B64509"/>
    <w:rsid w:val="00B64E73"/>
    <w:rsid w:val="00B65E69"/>
    <w:rsid w:val="00B671EE"/>
    <w:rsid w:val="00B67794"/>
    <w:rsid w:val="00B70AD8"/>
    <w:rsid w:val="00B726F3"/>
    <w:rsid w:val="00B73CFF"/>
    <w:rsid w:val="00B74407"/>
    <w:rsid w:val="00B74B84"/>
    <w:rsid w:val="00B75852"/>
    <w:rsid w:val="00B80A96"/>
    <w:rsid w:val="00B80D3C"/>
    <w:rsid w:val="00B81E76"/>
    <w:rsid w:val="00B81F00"/>
    <w:rsid w:val="00B82BF7"/>
    <w:rsid w:val="00B83119"/>
    <w:rsid w:val="00B84518"/>
    <w:rsid w:val="00B8542A"/>
    <w:rsid w:val="00B8704E"/>
    <w:rsid w:val="00B87D5E"/>
    <w:rsid w:val="00B92D7F"/>
    <w:rsid w:val="00B93323"/>
    <w:rsid w:val="00B95355"/>
    <w:rsid w:val="00B96820"/>
    <w:rsid w:val="00BA0FD2"/>
    <w:rsid w:val="00BA1272"/>
    <w:rsid w:val="00BA163B"/>
    <w:rsid w:val="00BA260B"/>
    <w:rsid w:val="00BA3358"/>
    <w:rsid w:val="00BA50E1"/>
    <w:rsid w:val="00BA7ACB"/>
    <w:rsid w:val="00BB0DF1"/>
    <w:rsid w:val="00BB13E2"/>
    <w:rsid w:val="00BB140E"/>
    <w:rsid w:val="00BB31C8"/>
    <w:rsid w:val="00BB3287"/>
    <w:rsid w:val="00BB3B51"/>
    <w:rsid w:val="00BB41B2"/>
    <w:rsid w:val="00BB4ADD"/>
    <w:rsid w:val="00BB5414"/>
    <w:rsid w:val="00BB6551"/>
    <w:rsid w:val="00BB7BDB"/>
    <w:rsid w:val="00BC054B"/>
    <w:rsid w:val="00BC30BF"/>
    <w:rsid w:val="00BC3131"/>
    <w:rsid w:val="00BC3161"/>
    <w:rsid w:val="00BC6220"/>
    <w:rsid w:val="00BD04EA"/>
    <w:rsid w:val="00BD4E94"/>
    <w:rsid w:val="00BD7DE8"/>
    <w:rsid w:val="00BE1DBE"/>
    <w:rsid w:val="00BE3C84"/>
    <w:rsid w:val="00BE3FB5"/>
    <w:rsid w:val="00BE41E0"/>
    <w:rsid w:val="00BE5326"/>
    <w:rsid w:val="00BE61DD"/>
    <w:rsid w:val="00BE7877"/>
    <w:rsid w:val="00BF03B8"/>
    <w:rsid w:val="00BF1C38"/>
    <w:rsid w:val="00BF31B5"/>
    <w:rsid w:val="00BF44B0"/>
    <w:rsid w:val="00C01CE1"/>
    <w:rsid w:val="00C0516E"/>
    <w:rsid w:val="00C10FA9"/>
    <w:rsid w:val="00C119C6"/>
    <w:rsid w:val="00C12B1C"/>
    <w:rsid w:val="00C14A4A"/>
    <w:rsid w:val="00C14BFD"/>
    <w:rsid w:val="00C15BF6"/>
    <w:rsid w:val="00C179D0"/>
    <w:rsid w:val="00C21852"/>
    <w:rsid w:val="00C23332"/>
    <w:rsid w:val="00C24838"/>
    <w:rsid w:val="00C3034D"/>
    <w:rsid w:val="00C3422E"/>
    <w:rsid w:val="00C36F04"/>
    <w:rsid w:val="00C37CFF"/>
    <w:rsid w:val="00C42841"/>
    <w:rsid w:val="00C43A37"/>
    <w:rsid w:val="00C45E5D"/>
    <w:rsid w:val="00C45E84"/>
    <w:rsid w:val="00C463BC"/>
    <w:rsid w:val="00C46BB2"/>
    <w:rsid w:val="00C47536"/>
    <w:rsid w:val="00C55071"/>
    <w:rsid w:val="00C600E3"/>
    <w:rsid w:val="00C64F04"/>
    <w:rsid w:val="00C70158"/>
    <w:rsid w:val="00C71180"/>
    <w:rsid w:val="00C726B2"/>
    <w:rsid w:val="00C72DF7"/>
    <w:rsid w:val="00C73409"/>
    <w:rsid w:val="00C76417"/>
    <w:rsid w:val="00C775AB"/>
    <w:rsid w:val="00C80C8A"/>
    <w:rsid w:val="00C812B5"/>
    <w:rsid w:val="00C83729"/>
    <w:rsid w:val="00C85056"/>
    <w:rsid w:val="00C85F3E"/>
    <w:rsid w:val="00C8606A"/>
    <w:rsid w:val="00C9067F"/>
    <w:rsid w:val="00C947A1"/>
    <w:rsid w:val="00C950BF"/>
    <w:rsid w:val="00C96DAB"/>
    <w:rsid w:val="00CA22B2"/>
    <w:rsid w:val="00CA2E34"/>
    <w:rsid w:val="00CA37FC"/>
    <w:rsid w:val="00CA4474"/>
    <w:rsid w:val="00CA4732"/>
    <w:rsid w:val="00CA5253"/>
    <w:rsid w:val="00CA6DA6"/>
    <w:rsid w:val="00CA78FA"/>
    <w:rsid w:val="00CA7BBC"/>
    <w:rsid w:val="00CB2CDC"/>
    <w:rsid w:val="00CB4B87"/>
    <w:rsid w:val="00CB64FE"/>
    <w:rsid w:val="00CB7377"/>
    <w:rsid w:val="00CC0083"/>
    <w:rsid w:val="00CC01FE"/>
    <w:rsid w:val="00CC2A2C"/>
    <w:rsid w:val="00CC2CAE"/>
    <w:rsid w:val="00CC45A8"/>
    <w:rsid w:val="00CC5501"/>
    <w:rsid w:val="00CC59FC"/>
    <w:rsid w:val="00CC6402"/>
    <w:rsid w:val="00CD0114"/>
    <w:rsid w:val="00CD21BE"/>
    <w:rsid w:val="00CD2A9F"/>
    <w:rsid w:val="00CD5910"/>
    <w:rsid w:val="00CD6605"/>
    <w:rsid w:val="00CE07B0"/>
    <w:rsid w:val="00CE0E9C"/>
    <w:rsid w:val="00CE1B13"/>
    <w:rsid w:val="00CE4062"/>
    <w:rsid w:val="00CE4BBB"/>
    <w:rsid w:val="00CE5F13"/>
    <w:rsid w:val="00CE6BDF"/>
    <w:rsid w:val="00CF124C"/>
    <w:rsid w:val="00CF1B88"/>
    <w:rsid w:val="00CF29A1"/>
    <w:rsid w:val="00CF2B67"/>
    <w:rsid w:val="00CF3B85"/>
    <w:rsid w:val="00CF4AE8"/>
    <w:rsid w:val="00D00F14"/>
    <w:rsid w:val="00D01AB7"/>
    <w:rsid w:val="00D051E9"/>
    <w:rsid w:val="00D06416"/>
    <w:rsid w:val="00D0732A"/>
    <w:rsid w:val="00D07B24"/>
    <w:rsid w:val="00D10C2F"/>
    <w:rsid w:val="00D11C8B"/>
    <w:rsid w:val="00D131C1"/>
    <w:rsid w:val="00D15699"/>
    <w:rsid w:val="00D21240"/>
    <w:rsid w:val="00D2281B"/>
    <w:rsid w:val="00D22C53"/>
    <w:rsid w:val="00D24594"/>
    <w:rsid w:val="00D24859"/>
    <w:rsid w:val="00D2488D"/>
    <w:rsid w:val="00D26C1B"/>
    <w:rsid w:val="00D26CB3"/>
    <w:rsid w:val="00D27E21"/>
    <w:rsid w:val="00D307BF"/>
    <w:rsid w:val="00D33BCD"/>
    <w:rsid w:val="00D34DC3"/>
    <w:rsid w:val="00D35A19"/>
    <w:rsid w:val="00D3725D"/>
    <w:rsid w:val="00D37590"/>
    <w:rsid w:val="00D375FD"/>
    <w:rsid w:val="00D40042"/>
    <w:rsid w:val="00D401D8"/>
    <w:rsid w:val="00D41354"/>
    <w:rsid w:val="00D4379D"/>
    <w:rsid w:val="00D43889"/>
    <w:rsid w:val="00D4439F"/>
    <w:rsid w:val="00D44CD8"/>
    <w:rsid w:val="00D5169B"/>
    <w:rsid w:val="00D53F9B"/>
    <w:rsid w:val="00D54931"/>
    <w:rsid w:val="00D54B52"/>
    <w:rsid w:val="00D56B91"/>
    <w:rsid w:val="00D56D22"/>
    <w:rsid w:val="00D57D2B"/>
    <w:rsid w:val="00D60CA2"/>
    <w:rsid w:val="00D61446"/>
    <w:rsid w:val="00D62C06"/>
    <w:rsid w:val="00D630DE"/>
    <w:rsid w:val="00D63581"/>
    <w:rsid w:val="00D644A2"/>
    <w:rsid w:val="00D64D40"/>
    <w:rsid w:val="00D6582C"/>
    <w:rsid w:val="00D70323"/>
    <w:rsid w:val="00D7598B"/>
    <w:rsid w:val="00D75BF4"/>
    <w:rsid w:val="00D76F6F"/>
    <w:rsid w:val="00D7704E"/>
    <w:rsid w:val="00D77442"/>
    <w:rsid w:val="00D77E8D"/>
    <w:rsid w:val="00D80F68"/>
    <w:rsid w:val="00D82EE0"/>
    <w:rsid w:val="00D84F00"/>
    <w:rsid w:val="00D85D87"/>
    <w:rsid w:val="00D861F9"/>
    <w:rsid w:val="00D8629D"/>
    <w:rsid w:val="00D900B5"/>
    <w:rsid w:val="00D91430"/>
    <w:rsid w:val="00D925ED"/>
    <w:rsid w:val="00D97249"/>
    <w:rsid w:val="00D97454"/>
    <w:rsid w:val="00DA302A"/>
    <w:rsid w:val="00DA50A6"/>
    <w:rsid w:val="00DB4DE0"/>
    <w:rsid w:val="00DB5E59"/>
    <w:rsid w:val="00DB6049"/>
    <w:rsid w:val="00DB7B1C"/>
    <w:rsid w:val="00DC05EE"/>
    <w:rsid w:val="00DC09F8"/>
    <w:rsid w:val="00DC5DF6"/>
    <w:rsid w:val="00DC7F89"/>
    <w:rsid w:val="00DD09DE"/>
    <w:rsid w:val="00DD1332"/>
    <w:rsid w:val="00DD193C"/>
    <w:rsid w:val="00DD279F"/>
    <w:rsid w:val="00DD4AF7"/>
    <w:rsid w:val="00DD4F8E"/>
    <w:rsid w:val="00DE119B"/>
    <w:rsid w:val="00DE2F3B"/>
    <w:rsid w:val="00DF01DA"/>
    <w:rsid w:val="00DF058F"/>
    <w:rsid w:val="00DF0DD3"/>
    <w:rsid w:val="00DF18F1"/>
    <w:rsid w:val="00DF2E27"/>
    <w:rsid w:val="00DF4912"/>
    <w:rsid w:val="00DF4DF6"/>
    <w:rsid w:val="00DF6C2E"/>
    <w:rsid w:val="00DF7F7B"/>
    <w:rsid w:val="00E0426D"/>
    <w:rsid w:val="00E05798"/>
    <w:rsid w:val="00E05CA5"/>
    <w:rsid w:val="00E125C6"/>
    <w:rsid w:val="00E12627"/>
    <w:rsid w:val="00E15C76"/>
    <w:rsid w:val="00E173AF"/>
    <w:rsid w:val="00E174DE"/>
    <w:rsid w:val="00E17720"/>
    <w:rsid w:val="00E17A05"/>
    <w:rsid w:val="00E17F56"/>
    <w:rsid w:val="00E22B07"/>
    <w:rsid w:val="00E2485B"/>
    <w:rsid w:val="00E25389"/>
    <w:rsid w:val="00E270CF"/>
    <w:rsid w:val="00E27169"/>
    <w:rsid w:val="00E27239"/>
    <w:rsid w:val="00E30377"/>
    <w:rsid w:val="00E316B8"/>
    <w:rsid w:val="00E326DF"/>
    <w:rsid w:val="00E3450B"/>
    <w:rsid w:val="00E34B43"/>
    <w:rsid w:val="00E35AC8"/>
    <w:rsid w:val="00E368C5"/>
    <w:rsid w:val="00E37331"/>
    <w:rsid w:val="00E37BE3"/>
    <w:rsid w:val="00E401BF"/>
    <w:rsid w:val="00E4711D"/>
    <w:rsid w:val="00E476D6"/>
    <w:rsid w:val="00E476EE"/>
    <w:rsid w:val="00E5279B"/>
    <w:rsid w:val="00E56B92"/>
    <w:rsid w:val="00E600A8"/>
    <w:rsid w:val="00E6226D"/>
    <w:rsid w:val="00E6592B"/>
    <w:rsid w:val="00E65FE3"/>
    <w:rsid w:val="00E71EC1"/>
    <w:rsid w:val="00E7547B"/>
    <w:rsid w:val="00E774A0"/>
    <w:rsid w:val="00E775A5"/>
    <w:rsid w:val="00E8084C"/>
    <w:rsid w:val="00E81286"/>
    <w:rsid w:val="00E8422F"/>
    <w:rsid w:val="00E86B82"/>
    <w:rsid w:val="00E90A21"/>
    <w:rsid w:val="00E92660"/>
    <w:rsid w:val="00E94B34"/>
    <w:rsid w:val="00E9512F"/>
    <w:rsid w:val="00E960C8"/>
    <w:rsid w:val="00E962B9"/>
    <w:rsid w:val="00EA1632"/>
    <w:rsid w:val="00EA2A4C"/>
    <w:rsid w:val="00EA2CDF"/>
    <w:rsid w:val="00EA31B6"/>
    <w:rsid w:val="00EA44B6"/>
    <w:rsid w:val="00EA4C46"/>
    <w:rsid w:val="00EA6523"/>
    <w:rsid w:val="00EB1A45"/>
    <w:rsid w:val="00EB1D4D"/>
    <w:rsid w:val="00EB20B5"/>
    <w:rsid w:val="00EB2432"/>
    <w:rsid w:val="00EB39E4"/>
    <w:rsid w:val="00EB717F"/>
    <w:rsid w:val="00EC2295"/>
    <w:rsid w:val="00EC5A87"/>
    <w:rsid w:val="00EC73E7"/>
    <w:rsid w:val="00ED0511"/>
    <w:rsid w:val="00ED0854"/>
    <w:rsid w:val="00ED2D19"/>
    <w:rsid w:val="00ED380C"/>
    <w:rsid w:val="00ED3EA6"/>
    <w:rsid w:val="00ED549F"/>
    <w:rsid w:val="00ED5591"/>
    <w:rsid w:val="00ED56C5"/>
    <w:rsid w:val="00EE3B7F"/>
    <w:rsid w:val="00EE51FE"/>
    <w:rsid w:val="00EE61CF"/>
    <w:rsid w:val="00EE66BB"/>
    <w:rsid w:val="00EF0438"/>
    <w:rsid w:val="00EF0996"/>
    <w:rsid w:val="00EF1332"/>
    <w:rsid w:val="00EF2895"/>
    <w:rsid w:val="00EF71A5"/>
    <w:rsid w:val="00F00680"/>
    <w:rsid w:val="00F01351"/>
    <w:rsid w:val="00F047E7"/>
    <w:rsid w:val="00F101DA"/>
    <w:rsid w:val="00F101DF"/>
    <w:rsid w:val="00F11261"/>
    <w:rsid w:val="00F118F1"/>
    <w:rsid w:val="00F12764"/>
    <w:rsid w:val="00F12902"/>
    <w:rsid w:val="00F1292A"/>
    <w:rsid w:val="00F13C54"/>
    <w:rsid w:val="00F13EEB"/>
    <w:rsid w:val="00F1427C"/>
    <w:rsid w:val="00F149F0"/>
    <w:rsid w:val="00F14FCA"/>
    <w:rsid w:val="00F15CB9"/>
    <w:rsid w:val="00F26EDF"/>
    <w:rsid w:val="00F31A1F"/>
    <w:rsid w:val="00F32F8E"/>
    <w:rsid w:val="00F3319C"/>
    <w:rsid w:val="00F348CC"/>
    <w:rsid w:val="00F35041"/>
    <w:rsid w:val="00F408DE"/>
    <w:rsid w:val="00F40B0D"/>
    <w:rsid w:val="00F432F1"/>
    <w:rsid w:val="00F45F88"/>
    <w:rsid w:val="00F46037"/>
    <w:rsid w:val="00F47ABE"/>
    <w:rsid w:val="00F512E6"/>
    <w:rsid w:val="00F51C1E"/>
    <w:rsid w:val="00F52095"/>
    <w:rsid w:val="00F52235"/>
    <w:rsid w:val="00F54667"/>
    <w:rsid w:val="00F546F2"/>
    <w:rsid w:val="00F54B67"/>
    <w:rsid w:val="00F55240"/>
    <w:rsid w:val="00F55824"/>
    <w:rsid w:val="00F5661F"/>
    <w:rsid w:val="00F57FA5"/>
    <w:rsid w:val="00F601D6"/>
    <w:rsid w:val="00F604AE"/>
    <w:rsid w:val="00F6097D"/>
    <w:rsid w:val="00F64A65"/>
    <w:rsid w:val="00F65964"/>
    <w:rsid w:val="00F6645E"/>
    <w:rsid w:val="00F66719"/>
    <w:rsid w:val="00F67097"/>
    <w:rsid w:val="00F712C1"/>
    <w:rsid w:val="00F736B2"/>
    <w:rsid w:val="00F77450"/>
    <w:rsid w:val="00F77EDA"/>
    <w:rsid w:val="00F80A5B"/>
    <w:rsid w:val="00F81AA3"/>
    <w:rsid w:val="00F83F08"/>
    <w:rsid w:val="00F85E5A"/>
    <w:rsid w:val="00F85EAD"/>
    <w:rsid w:val="00F86778"/>
    <w:rsid w:val="00F86D56"/>
    <w:rsid w:val="00F86DAC"/>
    <w:rsid w:val="00F90300"/>
    <w:rsid w:val="00F90878"/>
    <w:rsid w:val="00F91BDD"/>
    <w:rsid w:val="00F9489C"/>
    <w:rsid w:val="00F94D61"/>
    <w:rsid w:val="00F96FE5"/>
    <w:rsid w:val="00FA06EB"/>
    <w:rsid w:val="00FA1277"/>
    <w:rsid w:val="00FA4252"/>
    <w:rsid w:val="00FA618B"/>
    <w:rsid w:val="00FA6AB9"/>
    <w:rsid w:val="00FA7D7C"/>
    <w:rsid w:val="00FB550E"/>
    <w:rsid w:val="00FB5E24"/>
    <w:rsid w:val="00FB6648"/>
    <w:rsid w:val="00FC0BB4"/>
    <w:rsid w:val="00FC2FDF"/>
    <w:rsid w:val="00FC4FF7"/>
    <w:rsid w:val="00FC6778"/>
    <w:rsid w:val="00FC7CE7"/>
    <w:rsid w:val="00FD0D2E"/>
    <w:rsid w:val="00FD0EEC"/>
    <w:rsid w:val="00FD100D"/>
    <w:rsid w:val="00FD132B"/>
    <w:rsid w:val="00FD4A2C"/>
    <w:rsid w:val="00FD5742"/>
    <w:rsid w:val="00FE3401"/>
    <w:rsid w:val="00FE4ABD"/>
    <w:rsid w:val="00FE54A6"/>
    <w:rsid w:val="00FE760A"/>
    <w:rsid w:val="00FF1A67"/>
    <w:rsid w:val="00FF2B3D"/>
    <w:rsid w:val="00FF3E8F"/>
    <w:rsid w:val="00FF5D81"/>
    <w:rsid w:val="00FF6750"/>
    <w:rsid w:val="00FF675F"/>
    <w:rsid w:val="00FF7E6D"/>
    <w:rsid w:val="00FF7F32"/>
    <w:rsid w:val="3268EEB3"/>
    <w:rsid w:val="4EA724F7"/>
    <w:rsid w:val="68C5A91F"/>
    <w:rsid w:val="717DFF15"/>
    <w:rsid w:val="7DC8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8100"/>
  <w15:chartTrackingRefBased/>
  <w15:docId w15:val="{98305CC2-F0E1-48FA-8603-82749338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D5"/>
    <w:pPr>
      <w:widowControl w:val="0"/>
      <w:spacing w:before="100" w:after="100"/>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ED5"/>
    <w:rPr>
      <w:color w:val="0000FF"/>
      <w:u w:val="single"/>
    </w:rPr>
  </w:style>
  <w:style w:type="paragraph" w:styleId="BodyText">
    <w:name w:val="Body Text"/>
    <w:basedOn w:val="Normal"/>
    <w:link w:val="BodyTextChar"/>
    <w:rsid w:val="001A2ED5"/>
    <w:pPr>
      <w:spacing w:after="120"/>
    </w:pPr>
  </w:style>
  <w:style w:type="character" w:customStyle="1" w:styleId="BodyTextChar">
    <w:name w:val="Body Text Char"/>
    <w:link w:val="BodyText"/>
    <w:rsid w:val="001A2ED5"/>
    <w:rPr>
      <w:rFonts w:ascii="Times New Roman" w:eastAsia="Times New Roman" w:hAnsi="Times New Roman" w:cs="Times New Roman"/>
      <w:sz w:val="24"/>
      <w:szCs w:val="20"/>
    </w:rPr>
  </w:style>
  <w:style w:type="paragraph" w:styleId="CommentText">
    <w:name w:val="annotation text"/>
    <w:basedOn w:val="Normal"/>
    <w:link w:val="CommentTextChar"/>
    <w:rsid w:val="001A2ED5"/>
    <w:rPr>
      <w:sz w:val="20"/>
    </w:rPr>
  </w:style>
  <w:style w:type="character" w:customStyle="1" w:styleId="CommentTextChar">
    <w:name w:val="Comment Text Char"/>
    <w:link w:val="CommentText"/>
    <w:rsid w:val="001A2ED5"/>
    <w:rPr>
      <w:rFonts w:ascii="Times New Roman" w:eastAsia="Times New Roman" w:hAnsi="Times New Roman" w:cs="Times New Roman"/>
      <w:sz w:val="20"/>
      <w:szCs w:val="20"/>
    </w:rPr>
  </w:style>
  <w:style w:type="paragraph" w:styleId="Footer">
    <w:name w:val="footer"/>
    <w:basedOn w:val="Normal"/>
    <w:link w:val="FooterChar"/>
    <w:uiPriority w:val="99"/>
    <w:rsid w:val="001A2ED5"/>
    <w:pPr>
      <w:tabs>
        <w:tab w:val="center" w:pos="4320"/>
        <w:tab w:val="right" w:pos="8640"/>
      </w:tabs>
    </w:pPr>
  </w:style>
  <w:style w:type="character" w:customStyle="1" w:styleId="FooterChar">
    <w:name w:val="Footer Char"/>
    <w:link w:val="Footer"/>
    <w:uiPriority w:val="99"/>
    <w:rsid w:val="001A2ED5"/>
    <w:rPr>
      <w:rFonts w:ascii="Times New Roman" w:eastAsia="Times New Roman" w:hAnsi="Times New Roman" w:cs="Times New Roman"/>
      <w:sz w:val="24"/>
      <w:szCs w:val="20"/>
    </w:rPr>
  </w:style>
  <w:style w:type="character" w:styleId="CommentReference">
    <w:name w:val="annotation reference"/>
    <w:semiHidden/>
    <w:rsid w:val="001A2ED5"/>
    <w:rPr>
      <w:sz w:val="16"/>
      <w:szCs w:val="16"/>
    </w:rPr>
  </w:style>
  <w:style w:type="paragraph" w:styleId="BalloonText">
    <w:name w:val="Balloon Text"/>
    <w:basedOn w:val="Normal"/>
    <w:link w:val="BalloonTextChar"/>
    <w:uiPriority w:val="99"/>
    <w:semiHidden/>
    <w:unhideWhenUsed/>
    <w:rsid w:val="001A2ED5"/>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1A2ED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7EDA"/>
    <w:rPr>
      <w:b/>
      <w:bCs/>
    </w:rPr>
  </w:style>
  <w:style w:type="character" w:customStyle="1" w:styleId="CommentSubjectChar">
    <w:name w:val="Comment Subject Char"/>
    <w:link w:val="CommentSubject"/>
    <w:uiPriority w:val="99"/>
    <w:semiHidden/>
    <w:rsid w:val="00F77EDA"/>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CB64FE"/>
    <w:rPr>
      <w:color w:val="954F72"/>
      <w:u w:val="single"/>
    </w:rPr>
  </w:style>
  <w:style w:type="paragraph" w:styleId="Header">
    <w:name w:val="header"/>
    <w:basedOn w:val="Normal"/>
    <w:link w:val="HeaderChar"/>
    <w:uiPriority w:val="99"/>
    <w:unhideWhenUsed/>
    <w:rsid w:val="00612EBC"/>
    <w:pPr>
      <w:tabs>
        <w:tab w:val="center" w:pos="4680"/>
        <w:tab w:val="right" w:pos="9360"/>
      </w:tabs>
      <w:spacing w:before="0" w:after="0"/>
    </w:pPr>
  </w:style>
  <w:style w:type="character" w:customStyle="1" w:styleId="HeaderChar">
    <w:name w:val="Header Char"/>
    <w:link w:val="Header"/>
    <w:uiPriority w:val="99"/>
    <w:rsid w:val="00612EBC"/>
    <w:rPr>
      <w:rFonts w:ascii="Times New Roman" w:eastAsia="Times New Roman" w:hAnsi="Times New Roman" w:cs="Times New Roman"/>
      <w:sz w:val="24"/>
      <w:szCs w:val="20"/>
    </w:rPr>
  </w:style>
  <w:style w:type="character" w:customStyle="1" w:styleId="value6">
    <w:name w:val="value6"/>
    <w:rsid w:val="00354BF4"/>
  </w:style>
  <w:style w:type="character" w:styleId="IntenseReference">
    <w:name w:val="Intense Reference"/>
    <w:uiPriority w:val="32"/>
    <w:qFormat/>
    <w:rsid w:val="00A154F9"/>
    <w:rPr>
      <w:b/>
      <w:bCs/>
      <w:smallCaps/>
      <w:color w:val="5B9BD5"/>
      <w:spacing w:val="5"/>
    </w:rPr>
  </w:style>
  <w:style w:type="paragraph" w:styleId="ListParagraph">
    <w:name w:val="List Paragraph"/>
    <w:basedOn w:val="Normal"/>
    <w:uiPriority w:val="34"/>
    <w:qFormat/>
    <w:rsid w:val="00E600A8"/>
    <w:pPr>
      <w:ind w:left="720"/>
      <w:contextualSpacing/>
    </w:pPr>
  </w:style>
  <w:style w:type="character" w:styleId="Mention">
    <w:name w:val="Mention"/>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C6778"/>
    <w:rPr>
      <w:color w:val="605E5C"/>
      <w:shd w:val="clear" w:color="auto" w:fill="E1DFDD"/>
    </w:rPr>
  </w:style>
  <w:style w:type="paragraph" w:styleId="Revision">
    <w:name w:val="Revision"/>
    <w:hidden/>
    <w:uiPriority w:val="99"/>
    <w:semiHidden/>
    <w:rsid w:val="003A015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94647">
      <w:bodyDiv w:val="1"/>
      <w:marLeft w:val="0"/>
      <w:marRight w:val="0"/>
      <w:marTop w:val="0"/>
      <w:marBottom w:val="0"/>
      <w:divBdr>
        <w:top w:val="none" w:sz="0" w:space="0" w:color="auto"/>
        <w:left w:val="none" w:sz="0" w:space="0" w:color="auto"/>
        <w:bottom w:val="none" w:sz="0" w:space="0" w:color="auto"/>
        <w:right w:val="none" w:sz="0" w:space="0" w:color="auto"/>
      </w:divBdr>
    </w:div>
    <w:div w:id="13499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about/divisions/water-resources/water-sciences/chemistry-laboratory/laboratory-certification-branch/field-approved-procedures-and-technical-assist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FE140-360B-4180-844E-4AE30580D03B}">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C66A301D-85CD-4143-8B92-9E069413D63E}">
  <ds:schemaRefs>
    <ds:schemaRef ds:uri="http://schemas.openxmlformats.org/officeDocument/2006/bibliography"/>
  </ds:schemaRefs>
</ds:datastoreItem>
</file>

<file path=customXml/itemProps3.xml><?xml version="1.0" encoding="utf-8"?>
<ds:datastoreItem xmlns:ds="http://schemas.openxmlformats.org/officeDocument/2006/customXml" ds:itemID="{C77EEB5D-3F72-4F93-B6ED-21BFE5876575}"/>
</file>

<file path=customXml/itemProps4.xml><?xml version="1.0" encoding="utf-8"?>
<ds:datastoreItem xmlns:ds="http://schemas.openxmlformats.org/officeDocument/2006/customXml" ds:itemID="{36360AD7-D147-4CD7-972D-12C0C3A29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5764</Characters>
  <Application>Microsoft Office Word</Application>
  <DocSecurity>0</DocSecurity>
  <Lines>192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Links>
    <vt:vector size="6" baseType="variant">
      <vt:variant>
        <vt:i4>4718595</vt:i4>
      </vt:variant>
      <vt:variant>
        <vt:i4>0</vt:i4>
      </vt:variant>
      <vt:variant>
        <vt:i4>0</vt:i4>
      </vt:variant>
      <vt:variant>
        <vt:i4>5</vt:i4>
      </vt:variant>
      <vt:variant>
        <vt:lpwstr>https://www.deq.nc.gov/about/divisions/water-resources/water-sciences/chemistry-laboratory/laboratory-certification-branch/field-approved-procedures-and-technical-assistance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Ostendorff, Anna C</cp:lastModifiedBy>
  <cp:revision>3</cp:revision>
  <dcterms:created xsi:type="dcterms:W3CDTF">2026-02-03T15:52:00Z</dcterms:created>
  <dcterms:modified xsi:type="dcterms:W3CDTF">2026-02-03T15:53:00Z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