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355"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556C67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0530687"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2C2E29EF"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20B74D8"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0C8E2CBB" w14:textId="77777777" w:rsidR="00C37462" w:rsidRPr="00F23DA3" w:rsidRDefault="00C37462" w:rsidP="00F23DA3">
            <w:pPr>
              <w:jc w:val="center"/>
              <w:rPr>
                <w:rFonts w:ascii="Arial" w:hAnsi="Arial" w:cs="Arial"/>
                <w:sz w:val="18"/>
                <w:szCs w:val="18"/>
              </w:rPr>
            </w:pPr>
          </w:p>
        </w:tc>
      </w:tr>
      <w:tr w:rsidR="00C37462" w:rsidRPr="00A0149B" w14:paraId="4E210709"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D09C853"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6B56ECAB"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0C2582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ABBB524" w14:textId="77777777" w:rsidR="00C37462" w:rsidRPr="00F23DA3" w:rsidRDefault="00C37462" w:rsidP="00F23DA3">
            <w:pPr>
              <w:jc w:val="center"/>
              <w:rPr>
                <w:rFonts w:ascii="Arial" w:hAnsi="Arial" w:cs="Arial"/>
                <w:sz w:val="18"/>
                <w:szCs w:val="18"/>
              </w:rPr>
            </w:pPr>
          </w:p>
        </w:tc>
      </w:tr>
      <w:tr w:rsidR="00C37462" w:rsidRPr="00A0149B" w14:paraId="38D9DFB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417CB3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FDC1335" w14:textId="77777777" w:rsidR="00C37462" w:rsidRPr="00F23DA3" w:rsidRDefault="00C37462" w:rsidP="00F23DA3">
            <w:pPr>
              <w:jc w:val="center"/>
              <w:rPr>
                <w:rFonts w:ascii="Arial" w:hAnsi="Arial" w:cs="Arial"/>
                <w:sz w:val="18"/>
                <w:szCs w:val="18"/>
              </w:rPr>
            </w:pPr>
          </w:p>
        </w:tc>
      </w:tr>
      <w:tr w:rsidR="00C37462" w:rsidRPr="00A0149B" w14:paraId="47E3418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968A5A2"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EA70121" w14:textId="77777777" w:rsidR="00C37462" w:rsidRPr="00F23DA3" w:rsidRDefault="00C37462" w:rsidP="00F23DA3">
            <w:pPr>
              <w:jc w:val="center"/>
              <w:rPr>
                <w:rFonts w:ascii="Arial" w:hAnsi="Arial" w:cs="Arial"/>
                <w:sz w:val="18"/>
                <w:szCs w:val="18"/>
              </w:rPr>
            </w:pPr>
          </w:p>
        </w:tc>
      </w:tr>
    </w:tbl>
    <w:p w14:paraId="7456B402" w14:textId="77777777" w:rsidR="00C37462" w:rsidRPr="00A0149B" w:rsidRDefault="00C37462">
      <w:pPr>
        <w:rPr>
          <w:rFonts w:ascii="Arial" w:hAnsi="Arial" w:cs="Arial"/>
          <w:sz w:val="18"/>
          <w:szCs w:val="18"/>
        </w:rPr>
      </w:pPr>
    </w:p>
    <w:p w14:paraId="3D449F3F" w14:textId="77777777" w:rsidR="00C37462" w:rsidRPr="00951771" w:rsidRDefault="00C37462">
      <w:pPr>
        <w:jc w:val="center"/>
        <w:rPr>
          <w:rFonts w:ascii="Arial" w:hAnsi="Arial" w:cs="Arial"/>
          <w:b/>
          <w:sz w:val="18"/>
          <w:szCs w:val="18"/>
        </w:rPr>
      </w:pPr>
      <w:r w:rsidRPr="00A0149B">
        <w:rPr>
          <w:rFonts w:ascii="Arial" w:hAnsi="Arial" w:cs="Arial"/>
          <w:sz w:val="18"/>
          <w:szCs w:val="18"/>
        </w:rPr>
        <w:t xml:space="preserve">Parameter: </w:t>
      </w:r>
      <w:r w:rsidR="00951771">
        <w:rPr>
          <w:rFonts w:ascii="Arial" w:hAnsi="Arial" w:cs="Arial"/>
          <w:b/>
          <w:sz w:val="18"/>
          <w:szCs w:val="18"/>
        </w:rPr>
        <w:t>Salinity</w:t>
      </w:r>
    </w:p>
    <w:p w14:paraId="260E6F6B" w14:textId="5930270E" w:rsidR="00C37462" w:rsidRDefault="00C37462" w:rsidP="009A58C6">
      <w:pPr>
        <w:jc w:val="center"/>
        <w:rPr>
          <w:rFonts w:ascii="Arial" w:hAnsi="Arial" w:cs="Arial"/>
          <w:sz w:val="18"/>
          <w:szCs w:val="18"/>
        </w:rPr>
      </w:pPr>
      <w:r>
        <w:rPr>
          <w:rFonts w:ascii="Arial" w:hAnsi="Arial" w:cs="Arial"/>
          <w:sz w:val="18"/>
          <w:szCs w:val="18"/>
        </w:rPr>
        <w:t>Method:</w:t>
      </w:r>
      <w:r w:rsidR="00951771">
        <w:rPr>
          <w:rFonts w:ascii="Arial" w:hAnsi="Arial" w:cs="Arial"/>
          <w:sz w:val="18"/>
          <w:szCs w:val="18"/>
        </w:rPr>
        <w:t xml:space="preserve"> </w:t>
      </w:r>
      <w:r w:rsidR="00951771">
        <w:rPr>
          <w:rFonts w:ascii="Arial" w:hAnsi="Arial" w:cs="Arial"/>
          <w:b/>
          <w:sz w:val="18"/>
          <w:szCs w:val="18"/>
        </w:rPr>
        <w:t>S</w:t>
      </w:r>
      <w:r w:rsidR="007D68D6">
        <w:rPr>
          <w:rFonts w:ascii="Arial" w:hAnsi="Arial" w:cs="Arial"/>
          <w:b/>
          <w:sz w:val="18"/>
          <w:szCs w:val="18"/>
        </w:rPr>
        <w:t>M</w:t>
      </w:r>
      <w:r w:rsidR="00951771">
        <w:rPr>
          <w:rFonts w:ascii="Arial" w:hAnsi="Arial" w:cs="Arial"/>
          <w:b/>
          <w:sz w:val="18"/>
          <w:szCs w:val="18"/>
        </w:rPr>
        <w:t xml:space="preserve"> </w:t>
      </w:r>
      <w:r w:rsidR="00633213">
        <w:rPr>
          <w:rFonts w:ascii="Arial" w:hAnsi="Arial" w:cs="Arial"/>
          <w:b/>
          <w:sz w:val="18"/>
          <w:szCs w:val="18"/>
        </w:rPr>
        <w:t>2520 B-20</w:t>
      </w:r>
      <w:r w:rsidR="00D374BC">
        <w:rPr>
          <w:rFonts w:ascii="Arial" w:hAnsi="Arial" w:cs="Arial"/>
          <w:b/>
          <w:sz w:val="18"/>
          <w:szCs w:val="18"/>
        </w:rPr>
        <w:t>21</w:t>
      </w:r>
      <w:r w:rsidR="00633213">
        <w:rPr>
          <w:rFonts w:ascii="Arial" w:hAnsi="Arial" w:cs="Arial"/>
          <w:b/>
          <w:sz w:val="18"/>
          <w:szCs w:val="18"/>
        </w:rPr>
        <w:t xml:space="preserve"> (Aqueous)</w:t>
      </w:r>
    </w:p>
    <w:p w14:paraId="12D51A4A" w14:textId="5440038E"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2947"/>
        <w:gridCol w:w="7650"/>
      </w:tblGrid>
      <w:tr w:rsidR="005C0E08" w:rsidRPr="00A0149B" w14:paraId="127CEB20" w14:textId="77777777" w:rsidTr="003046C3">
        <w:trPr>
          <w:trHeight w:val="809"/>
        </w:trPr>
        <w:tc>
          <w:tcPr>
            <w:tcW w:w="371" w:type="dxa"/>
            <w:tcBorders>
              <w:top w:val="single" w:sz="4" w:space="0" w:color="auto"/>
              <w:bottom w:val="single" w:sz="4" w:space="0" w:color="auto"/>
              <w:right w:val="single" w:sz="4" w:space="0" w:color="auto"/>
            </w:tcBorders>
            <w:noWrap/>
            <w:vAlign w:val="center"/>
          </w:tcPr>
          <w:p w14:paraId="145E4820" w14:textId="77777777" w:rsidR="005C0E08" w:rsidRPr="00A0149B" w:rsidRDefault="005C0E08" w:rsidP="003D5D83">
            <w:pPr>
              <w:rPr>
                <w:rFonts w:ascii="Arial" w:hAnsi="Arial" w:cs="Arial"/>
                <w:sz w:val="18"/>
                <w:szCs w:val="18"/>
              </w:rPr>
            </w:pPr>
            <w:r>
              <w:rPr>
                <w:rFonts w:ascii="Arial" w:hAnsi="Arial" w:cs="Arial"/>
                <w:b/>
                <w:sz w:val="18"/>
                <w:szCs w:val="18"/>
              </w:rPr>
              <w:t xml:space="preserve"> </w:t>
            </w:r>
          </w:p>
        </w:tc>
        <w:tc>
          <w:tcPr>
            <w:tcW w:w="2947" w:type="dxa"/>
            <w:tcBorders>
              <w:top w:val="single" w:sz="4" w:space="0" w:color="auto"/>
              <w:bottom w:val="single" w:sz="4" w:space="0" w:color="auto"/>
              <w:right w:val="single" w:sz="4" w:space="0" w:color="auto"/>
            </w:tcBorders>
            <w:vAlign w:val="center"/>
          </w:tcPr>
          <w:p w14:paraId="12B01316" w14:textId="6DAA3552" w:rsidR="005C0E08" w:rsidRDefault="005C0E08" w:rsidP="003D5D83">
            <w:pPr>
              <w:rPr>
                <w:rFonts w:ascii="Arial" w:hAnsi="Arial" w:cs="Arial"/>
                <w:sz w:val="18"/>
                <w:szCs w:val="18"/>
                <w:u w:val="single"/>
              </w:rPr>
            </w:pPr>
            <w:r w:rsidRPr="00A343C0">
              <w:rPr>
                <w:rFonts w:ascii="Arial" w:hAnsi="Arial" w:cs="Arial"/>
                <w:sz w:val="18"/>
                <w:szCs w:val="18"/>
                <w:u w:val="single"/>
              </w:rPr>
              <w:t>Conductivity meter</w:t>
            </w:r>
          </w:p>
          <w:p w14:paraId="5EFA0E84" w14:textId="77777777" w:rsidR="00020DD0" w:rsidRPr="00A343C0" w:rsidRDefault="00020DD0" w:rsidP="003D5D83">
            <w:pPr>
              <w:rPr>
                <w:rFonts w:ascii="Arial" w:hAnsi="Arial" w:cs="Arial"/>
                <w:sz w:val="18"/>
                <w:szCs w:val="18"/>
                <w:u w:val="single"/>
              </w:rPr>
            </w:pPr>
          </w:p>
          <w:p w14:paraId="6F7CAE12" w14:textId="19AC1E31" w:rsidR="00020DD0" w:rsidRDefault="00A96F6B" w:rsidP="003D5D83">
            <w:pPr>
              <w:rPr>
                <w:u w:val="single"/>
              </w:rPr>
            </w:pPr>
            <w:r>
              <w:rPr>
                <w:rFonts w:ascii="Arial" w:hAnsi="Arial" w:cs="Arial"/>
                <w:sz w:val="18"/>
                <w:szCs w:val="18"/>
              </w:rPr>
              <w:t>Make:</w:t>
            </w:r>
            <w:r w:rsidR="00C159CF">
              <w:rPr>
                <w:rFonts w:ascii="Arial" w:hAnsi="Arial" w:cs="Arial"/>
                <w:sz w:val="18"/>
                <w:szCs w:val="18"/>
              </w:rPr>
              <w:t xml:space="preserve"> _</w:t>
            </w:r>
            <w:r w:rsidR="00020DD0" w:rsidRPr="00BD5F8B">
              <w:rPr>
                <w:rFonts w:ascii="Arial" w:hAnsi="Arial" w:cs="Arial"/>
                <w:sz w:val="18"/>
                <w:szCs w:val="18"/>
              </w:rPr>
              <w:t>_____________</w:t>
            </w:r>
            <w:r w:rsidR="003046C3">
              <w:rPr>
                <w:rFonts w:ascii="Arial" w:hAnsi="Arial" w:cs="Arial"/>
                <w:sz w:val="18"/>
                <w:szCs w:val="18"/>
              </w:rPr>
              <w:t>_______</w:t>
            </w:r>
            <w:r w:rsidR="00020DD0" w:rsidRPr="00BD5F8B">
              <w:t xml:space="preserve">  </w:t>
            </w:r>
          </w:p>
          <w:p w14:paraId="12F6457F" w14:textId="3A0BBDC9" w:rsidR="00A96F6B" w:rsidRDefault="00020DD0" w:rsidP="003D5D83">
            <w:pPr>
              <w:rPr>
                <w:rFonts w:ascii="Arial" w:hAnsi="Arial" w:cs="Arial"/>
                <w:sz w:val="18"/>
                <w:szCs w:val="18"/>
                <w:u w:val="single"/>
              </w:rPr>
            </w:pPr>
            <w:r w:rsidRPr="00020DD0">
              <w:rPr>
                <w:u w:val="single"/>
              </w:rPr>
              <w:t xml:space="preserve">    </w:t>
            </w:r>
            <w:r w:rsidRPr="00020DD0">
              <w:rPr>
                <w:rFonts w:ascii="Arial" w:hAnsi="Arial" w:cs="Arial"/>
                <w:sz w:val="18"/>
                <w:szCs w:val="18"/>
                <w:u w:val="single"/>
              </w:rPr>
              <w:t xml:space="preserve">         </w:t>
            </w:r>
            <w:r w:rsidR="00A96F6B" w:rsidRPr="00020DD0">
              <w:rPr>
                <w:rFonts w:ascii="Arial" w:hAnsi="Arial" w:cs="Arial"/>
                <w:sz w:val="18"/>
                <w:szCs w:val="18"/>
                <w:u w:val="single"/>
              </w:rPr>
              <w:t xml:space="preserve">   </w:t>
            </w:r>
            <w:r w:rsidR="00A96F6B">
              <w:rPr>
                <w:rFonts w:ascii="Arial" w:hAnsi="Arial" w:cs="Arial"/>
                <w:sz w:val="18"/>
                <w:szCs w:val="18"/>
                <w:u w:val="single"/>
              </w:rPr>
              <w:t xml:space="preserve">                  </w:t>
            </w:r>
          </w:p>
          <w:p w14:paraId="28287ADD" w14:textId="5DAA369A" w:rsidR="00A96F6B" w:rsidRDefault="00A343C0" w:rsidP="003D5D83">
            <w:pPr>
              <w:rPr>
                <w:rFonts w:ascii="Arial" w:hAnsi="Arial" w:cs="Arial"/>
                <w:sz w:val="18"/>
                <w:szCs w:val="18"/>
              </w:rPr>
            </w:pPr>
            <w:r>
              <w:rPr>
                <w:rFonts w:ascii="Arial" w:hAnsi="Arial" w:cs="Arial"/>
                <w:sz w:val="18"/>
                <w:szCs w:val="18"/>
              </w:rPr>
              <w:t>Model:</w:t>
            </w:r>
            <w:r w:rsidR="00020DD0">
              <w:rPr>
                <w:rFonts w:ascii="Arial" w:hAnsi="Arial" w:cs="Arial"/>
                <w:sz w:val="18"/>
                <w:szCs w:val="18"/>
              </w:rPr>
              <w:t>______________</w:t>
            </w:r>
            <w:r w:rsidR="003046C3">
              <w:rPr>
                <w:rFonts w:ascii="Arial" w:hAnsi="Arial" w:cs="Arial"/>
                <w:sz w:val="18"/>
                <w:szCs w:val="18"/>
              </w:rPr>
              <w:t>_______</w:t>
            </w:r>
          </w:p>
          <w:p w14:paraId="0001B2CB" w14:textId="1D2ED184" w:rsidR="00020DD0" w:rsidRPr="00A343C0" w:rsidRDefault="00020DD0" w:rsidP="003D5D83">
            <w:pPr>
              <w:rPr>
                <w:rFonts w:ascii="Arial" w:hAnsi="Arial" w:cs="Arial"/>
                <w:sz w:val="18"/>
                <w:szCs w:val="18"/>
              </w:rPr>
            </w:pPr>
          </w:p>
        </w:tc>
        <w:tc>
          <w:tcPr>
            <w:tcW w:w="7650" w:type="dxa"/>
            <w:vMerge w:val="restart"/>
            <w:tcBorders>
              <w:top w:val="single" w:sz="4" w:space="0" w:color="auto"/>
              <w:right w:val="single" w:sz="4" w:space="0" w:color="auto"/>
            </w:tcBorders>
            <w:vAlign w:val="center"/>
          </w:tcPr>
          <w:p w14:paraId="2DA68C23" w14:textId="03724836" w:rsidR="005C0E08" w:rsidRPr="00020DD0" w:rsidRDefault="005C0E08" w:rsidP="00550C3D">
            <w:pPr>
              <w:rPr>
                <w:rFonts w:ascii="Arial" w:hAnsi="Arial" w:cs="Arial"/>
                <w:sz w:val="18"/>
                <w:szCs w:val="18"/>
                <w:u w:val="single"/>
              </w:rPr>
            </w:pPr>
            <w:r w:rsidRPr="00020DD0">
              <w:rPr>
                <w:rFonts w:ascii="Arial" w:hAnsi="Arial" w:cs="Arial"/>
                <w:sz w:val="18"/>
                <w:szCs w:val="18"/>
                <w:u w:val="single"/>
              </w:rPr>
              <w:t>Salinity standards:</w:t>
            </w:r>
          </w:p>
          <w:p w14:paraId="20862266" w14:textId="77777777" w:rsidR="005C0E08" w:rsidRPr="00550C3D" w:rsidRDefault="005C0E08" w:rsidP="00550C3D">
            <w:pPr>
              <w:rPr>
                <w:rFonts w:ascii="Arial" w:hAnsi="Arial" w:cs="Arial"/>
                <w:sz w:val="18"/>
                <w:szCs w:val="18"/>
              </w:rPr>
            </w:pPr>
          </w:p>
          <w:p w14:paraId="695AF96C" w14:textId="7D01520E" w:rsidR="005C0E08" w:rsidRPr="00020DD0" w:rsidRDefault="005C0E08" w:rsidP="00550C3D">
            <w:pPr>
              <w:rPr>
                <w:rFonts w:ascii="Arial" w:hAnsi="Arial" w:cs="Arial"/>
                <w:sz w:val="18"/>
                <w:szCs w:val="18"/>
              </w:rPr>
            </w:pPr>
            <w:r w:rsidRPr="00550C3D">
              <w:rPr>
                <w:rFonts w:ascii="Arial" w:hAnsi="Arial" w:cs="Arial"/>
                <w:sz w:val="18"/>
                <w:szCs w:val="18"/>
              </w:rPr>
              <w:t xml:space="preserve">Value: </w:t>
            </w:r>
            <w:r>
              <w:rPr>
                <w:rFonts w:ascii="Arial" w:hAnsi="Arial" w:cs="Arial"/>
                <w:sz w:val="18"/>
                <w:szCs w:val="18"/>
                <w:u w:val="single"/>
              </w:rPr>
              <w:t xml:space="preserve">                                                   </w:t>
            </w:r>
            <w:r w:rsidRPr="00550C3D">
              <w:rPr>
                <w:rFonts w:ascii="Arial" w:hAnsi="Arial" w:cs="Arial"/>
                <w:sz w:val="18"/>
                <w:szCs w:val="18"/>
              </w:rPr>
              <w:t xml:space="preserve"> </w:t>
            </w:r>
            <w:r>
              <w:rPr>
                <w:rFonts w:ascii="Arial" w:hAnsi="Arial" w:cs="Arial"/>
                <w:sz w:val="18"/>
                <w:szCs w:val="18"/>
              </w:rPr>
              <w:t xml:space="preserve">                </w:t>
            </w:r>
            <w:r w:rsidR="0036531A">
              <w:rPr>
                <w:rFonts w:ascii="Arial" w:hAnsi="Arial" w:cs="Arial"/>
                <w:sz w:val="18"/>
                <w:szCs w:val="18"/>
              </w:rPr>
              <w:t xml:space="preserve">          </w:t>
            </w:r>
            <w:r w:rsidR="00020DD0">
              <w:rPr>
                <w:rFonts w:ascii="Arial" w:hAnsi="Arial" w:cs="Arial"/>
                <w:sz w:val="18"/>
                <w:szCs w:val="18"/>
              </w:rPr>
              <w:t xml:space="preserve">         </w:t>
            </w:r>
            <w:r w:rsidRPr="00550C3D">
              <w:rPr>
                <w:rFonts w:ascii="Arial" w:hAnsi="Arial" w:cs="Arial"/>
                <w:sz w:val="18"/>
                <w:szCs w:val="18"/>
              </w:rPr>
              <w:t>Ex</w:t>
            </w:r>
            <w:r w:rsidR="0036531A">
              <w:rPr>
                <w:rFonts w:ascii="Arial" w:hAnsi="Arial" w:cs="Arial"/>
                <w:sz w:val="18"/>
                <w:szCs w:val="18"/>
              </w:rPr>
              <w:t>p</w:t>
            </w:r>
            <w:r w:rsidR="0036531A" w:rsidRPr="00020DD0">
              <w:rPr>
                <w:rFonts w:ascii="Arial" w:hAnsi="Arial" w:cs="Arial"/>
                <w:sz w:val="18"/>
                <w:szCs w:val="18"/>
              </w:rPr>
              <w:t>:</w:t>
            </w:r>
            <w:r w:rsidR="0036531A" w:rsidRPr="00BD5F8B">
              <w:rPr>
                <w:rFonts w:ascii="Arial" w:hAnsi="Arial" w:cs="Arial"/>
                <w:sz w:val="18"/>
                <w:szCs w:val="18"/>
              </w:rPr>
              <w:t xml:space="preserve"> </w:t>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E02041" w:rsidRPr="00BD5F8B">
              <w:rPr>
                <w:rFonts w:ascii="Arial" w:hAnsi="Arial" w:cs="Arial"/>
                <w:sz w:val="18"/>
                <w:szCs w:val="18"/>
              </w:rPr>
              <w:softHyphen/>
            </w:r>
            <w:r w:rsidR="0036531A" w:rsidRPr="00BD5F8B">
              <w:rPr>
                <w:rFonts w:ascii="Arial" w:hAnsi="Arial" w:cs="Arial"/>
                <w:sz w:val="18"/>
                <w:szCs w:val="18"/>
              </w:rPr>
              <w:t xml:space="preserve"> </w:t>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D643FA" w:rsidRPr="00BD5F8B">
              <w:rPr>
                <w:rFonts w:ascii="Arial" w:hAnsi="Arial" w:cs="Arial"/>
                <w:sz w:val="18"/>
                <w:szCs w:val="18"/>
              </w:rPr>
              <w:softHyphen/>
            </w:r>
            <w:r w:rsidR="00020DD0" w:rsidRPr="00BD5F8B">
              <w:rPr>
                <w:rFonts w:ascii="Arial" w:hAnsi="Arial" w:cs="Arial"/>
                <w:sz w:val="18"/>
                <w:szCs w:val="18"/>
              </w:rPr>
              <w:t>______________</w:t>
            </w:r>
            <w:r w:rsidR="00020DD0">
              <w:rPr>
                <w:rFonts w:ascii="Arial" w:hAnsi="Arial" w:cs="Arial"/>
                <w:sz w:val="18"/>
                <w:szCs w:val="18"/>
                <w:u w:val="single"/>
              </w:rPr>
              <w:br/>
            </w:r>
            <w:r w:rsidR="001310A7" w:rsidRPr="00D643FA">
              <w:rPr>
                <w:rFonts w:ascii="Arial" w:hAnsi="Arial" w:cs="Arial"/>
                <w:sz w:val="18"/>
                <w:szCs w:val="18"/>
                <w:u w:val="single"/>
              </w:rPr>
              <w:t xml:space="preserve">                                       </w:t>
            </w:r>
            <w:r w:rsidR="001310A7">
              <w:rPr>
                <w:rFonts w:ascii="Arial" w:hAnsi="Arial" w:cs="Arial"/>
                <w:sz w:val="18"/>
                <w:szCs w:val="18"/>
                <w:u w:val="single"/>
              </w:rPr>
              <w:t xml:space="preserve">             </w:t>
            </w:r>
            <w:r w:rsidR="001310A7" w:rsidRPr="001310A7">
              <w:rPr>
                <w:rFonts w:ascii="Arial" w:hAnsi="Arial" w:cs="Arial"/>
                <w:sz w:val="18"/>
                <w:szCs w:val="18"/>
                <w:u w:val="single"/>
              </w:rPr>
              <w:t xml:space="preserve">                   </w:t>
            </w:r>
            <w:r w:rsidR="0036531A" w:rsidRPr="0036531A">
              <w:rPr>
                <w:rFonts w:ascii="Arial" w:hAnsi="Arial" w:cs="Arial"/>
                <w:sz w:val="18"/>
                <w:szCs w:val="18"/>
                <w:u w:val="single"/>
              </w:rPr>
              <w:t xml:space="preserve">                                 </w:t>
            </w:r>
          </w:p>
          <w:p w14:paraId="621F94DA" w14:textId="4D3B74EC" w:rsidR="005C0E08" w:rsidRPr="00550C3D" w:rsidRDefault="005C0E08" w:rsidP="00550C3D">
            <w:pPr>
              <w:rPr>
                <w:rFonts w:ascii="Arial" w:hAnsi="Arial" w:cs="Arial"/>
                <w:sz w:val="18"/>
                <w:szCs w:val="18"/>
              </w:rPr>
            </w:pPr>
            <w:r w:rsidRPr="00550C3D">
              <w:rPr>
                <w:rFonts w:ascii="Arial" w:hAnsi="Arial" w:cs="Arial"/>
                <w:sz w:val="18"/>
                <w:szCs w:val="18"/>
              </w:rPr>
              <w:t xml:space="preserve">Value: </w:t>
            </w:r>
            <w:r>
              <w:rPr>
                <w:rFonts w:ascii="Arial" w:hAnsi="Arial" w:cs="Arial"/>
                <w:sz w:val="18"/>
                <w:szCs w:val="18"/>
                <w:u w:val="single"/>
              </w:rPr>
              <w:t xml:space="preserve">                                                   </w:t>
            </w:r>
            <w:r>
              <w:rPr>
                <w:rFonts w:ascii="Arial" w:hAnsi="Arial" w:cs="Arial"/>
                <w:sz w:val="18"/>
                <w:szCs w:val="18"/>
              </w:rPr>
              <w:t xml:space="preserve">               </w:t>
            </w:r>
            <w:r w:rsidR="0036531A">
              <w:rPr>
                <w:rFonts w:ascii="Arial" w:hAnsi="Arial" w:cs="Arial"/>
                <w:sz w:val="18"/>
                <w:szCs w:val="18"/>
              </w:rPr>
              <w:t xml:space="preserve">            </w:t>
            </w:r>
            <w:r w:rsidR="00020DD0">
              <w:rPr>
                <w:rFonts w:ascii="Arial" w:hAnsi="Arial" w:cs="Arial"/>
                <w:sz w:val="18"/>
                <w:szCs w:val="18"/>
              </w:rPr>
              <w:t xml:space="preserve">         </w:t>
            </w:r>
            <w:r w:rsidRPr="00550C3D">
              <w:rPr>
                <w:rFonts w:ascii="Arial" w:hAnsi="Arial" w:cs="Arial"/>
                <w:sz w:val="18"/>
                <w:szCs w:val="18"/>
              </w:rPr>
              <w:t>Exp: _________</w:t>
            </w:r>
            <w:r w:rsidR="00020DD0">
              <w:rPr>
                <w:rFonts w:ascii="Arial" w:hAnsi="Arial" w:cs="Arial"/>
                <w:sz w:val="18"/>
                <w:szCs w:val="18"/>
              </w:rPr>
              <w:t>______</w:t>
            </w:r>
          </w:p>
          <w:p w14:paraId="709E4942" w14:textId="3FC37E4A" w:rsidR="005C0E08" w:rsidRPr="00550C3D" w:rsidRDefault="005C0E08" w:rsidP="00550C3D">
            <w:pPr>
              <w:rPr>
                <w:rFonts w:ascii="Arial" w:hAnsi="Arial" w:cs="Arial"/>
                <w:sz w:val="18"/>
                <w:szCs w:val="18"/>
              </w:rPr>
            </w:pPr>
          </w:p>
          <w:p w14:paraId="70CD793B" w14:textId="65FD9B4B" w:rsidR="005C0E08" w:rsidRPr="00A0149B" w:rsidRDefault="0036531A" w:rsidP="00550C3D">
            <w:pPr>
              <w:rPr>
                <w:rFonts w:ascii="Arial" w:hAnsi="Arial" w:cs="Arial"/>
                <w:sz w:val="18"/>
                <w:szCs w:val="18"/>
              </w:rPr>
            </w:pPr>
            <w:r>
              <w:rPr>
                <w:rFonts w:ascii="Arial" w:hAnsi="Arial" w:cs="Arial"/>
                <w:sz w:val="18"/>
                <w:szCs w:val="18"/>
              </w:rPr>
              <w:t xml:space="preserve">Second-Source Standard </w:t>
            </w:r>
            <w:r w:rsidR="005C0E08" w:rsidRPr="00550C3D">
              <w:rPr>
                <w:rFonts w:ascii="Arial" w:hAnsi="Arial" w:cs="Arial"/>
                <w:sz w:val="18"/>
                <w:szCs w:val="18"/>
              </w:rPr>
              <w:t>Value: __________</w:t>
            </w:r>
            <w:r w:rsidR="00020DD0">
              <w:rPr>
                <w:rFonts w:ascii="Arial" w:hAnsi="Arial" w:cs="Arial"/>
                <w:sz w:val="18"/>
                <w:szCs w:val="18"/>
              </w:rPr>
              <w:t>_____</w:t>
            </w:r>
            <w:r w:rsidR="005C0E08">
              <w:rPr>
                <w:rFonts w:ascii="Arial" w:hAnsi="Arial" w:cs="Arial"/>
                <w:sz w:val="18"/>
                <w:szCs w:val="18"/>
              </w:rPr>
              <w:t xml:space="preserve">                </w:t>
            </w:r>
            <w:r w:rsidR="005C0E08" w:rsidRPr="00550C3D">
              <w:rPr>
                <w:rFonts w:ascii="Arial" w:hAnsi="Arial" w:cs="Arial"/>
                <w:sz w:val="18"/>
                <w:szCs w:val="18"/>
              </w:rPr>
              <w:t>Exp: _________</w:t>
            </w:r>
            <w:r w:rsidR="00020DD0">
              <w:rPr>
                <w:rFonts w:ascii="Arial" w:hAnsi="Arial" w:cs="Arial"/>
                <w:sz w:val="18"/>
                <w:szCs w:val="18"/>
              </w:rPr>
              <w:t>______</w:t>
            </w:r>
          </w:p>
        </w:tc>
      </w:tr>
      <w:tr w:rsidR="005C0E08" w:rsidRPr="0054425D" w14:paraId="20AFA633" w14:textId="77777777" w:rsidTr="003046C3">
        <w:trPr>
          <w:trHeight w:val="272"/>
        </w:trPr>
        <w:tc>
          <w:tcPr>
            <w:tcW w:w="371" w:type="dxa"/>
            <w:tcBorders>
              <w:top w:val="single" w:sz="4" w:space="0" w:color="auto"/>
              <w:right w:val="single" w:sz="4" w:space="0" w:color="auto"/>
            </w:tcBorders>
            <w:noWrap/>
            <w:vAlign w:val="center"/>
          </w:tcPr>
          <w:p w14:paraId="791D57DA" w14:textId="77777777" w:rsidR="005C0E08" w:rsidRPr="0054425D" w:rsidRDefault="005C0E08" w:rsidP="003D5D83">
            <w:pPr>
              <w:rPr>
                <w:rFonts w:ascii="Arial" w:hAnsi="Arial" w:cs="Arial"/>
                <w:sz w:val="18"/>
                <w:szCs w:val="18"/>
              </w:rPr>
            </w:pPr>
          </w:p>
        </w:tc>
        <w:tc>
          <w:tcPr>
            <w:tcW w:w="2947" w:type="dxa"/>
            <w:tcBorders>
              <w:top w:val="single" w:sz="4" w:space="0" w:color="auto"/>
              <w:right w:val="single" w:sz="4" w:space="0" w:color="auto"/>
            </w:tcBorders>
            <w:vAlign w:val="center"/>
          </w:tcPr>
          <w:p w14:paraId="75C02F04" w14:textId="77777777" w:rsidR="005C0E08" w:rsidRPr="0054425D" w:rsidRDefault="005C0E08" w:rsidP="003D5D83">
            <w:pPr>
              <w:rPr>
                <w:rFonts w:ascii="Arial" w:hAnsi="Arial" w:cs="Arial"/>
                <w:sz w:val="18"/>
                <w:szCs w:val="18"/>
              </w:rPr>
            </w:pPr>
            <w:r>
              <w:rPr>
                <w:rFonts w:ascii="Arial" w:hAnsi="Arial" w:cs="Arial"/>
                <w:sz w:val="18"/>
                <w:szCs w:val="18"/>
              </w:rPr>
              <w:t>Conductivity cell (electrode)</w:t>
            </w:r>
          </w:p>
        </w:tc>
        <w:tc>
          <w:tcPr>
            <w:tcW w:w="7650" w:type="dxa"/>
            <w:vMerge/>
            <w:tcBorders>
              <w:right w:val="single" w:sz="4" w:space="0" w:color="auto"/>
            </w:tcBorders>
            <w:vAlign w:val="center"/>
          </w:tcPr>
          <w:p w14:paraId="5C10F304" w14:textId="77777777" w:rsidR="005C0E08" w:rsidRPr="0054425D" w:rsidRDefault="005C0E08" w:rsidP="003D5D83">
            <w:pPr>
              <w:rPr>
                <w:rFonts w:ascii="Arial" w:hAnsi="Arial" w:cs="Arial"/>
                <w:sz w:val="18"/>
                <w:szCs w:val="18"/>
              </w:rPr>
            </w:pPr>
          </w:p>
        </w:tc>
      </w:tr>
    </w:tbl>
    <w:p w14:paraId="29CFB0D4" w14:textId="77777777" w:rsidR="00C37462" w:rsidRDefault="00C37462">
      <w:pPr>
        <w:rPr>
          <w:rFonts w:ascii="Arial" w:hAnsi="Arial" w:cs="Arial"/>
          <w:sz w:val="18"/>
          <w:szCs w:val="18"/>
        </w:rPr>
      </w:pPr>
    </w:p>
    <w:tbl>
      <w:tblPr>
        <w:tblW w:w="109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
        <w:gridCol w:w="4896"/>
        <w:gridCol w:w="431"/>
        <w:gridCol w:w="422"/>
        <w:gridCol w:w="4896"/>
      </w:tblGrid>
      <w:tr w:rsidR="00157C6C" w:rsidRPr="00A0149B" w14:paraId="790A3C95" w14:textId="77777777" w:rsidTr="00B6519D">
        <w:trPr>
          <w:trHeight w:val="264"/>
        </w:trPr>
        <w:tc>
          <w:tcPr>
            <w:tcW w:w="10995" w:type="dxa"/>
            <w:gridSpan w:val="5"/>
            <w:tcBorders>
              <w:top w:val="nil"/>
              <w:left w:val="nil"/>
              <w:bottom w:val="single" w:sz="4" w:space="0" w:color="auto"/>
              <w:right w:val="nil"/>
            </w:tcBorders>
            <w:noWrap/>
            <w:vAlign w:val="center"/>
          </w:tcPr>
          <w:p w14:paraId="1FBF76BB"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F3AA2E0" w14:textId="77777777" w:rsidR="00664CCC" w:rsidRPr="00D73F57" w:rsidRDefault="00157C6C" w:rsidP="00157C6C">
            <w:pPr>
              <w:jc w:val="center"/>
              <w:rPr>
                <w:rFonts w:ascii="Arial" w:hAnsi="Arial" w:cs="Arial"/>
                <w:b/>
                <w:sz w:val="18"/>
                <w:szCs w:val="18"/>
              </w:rPr>
            </w:pPr>
            <w:r w:rsidRPr="00D73F57">
              <w:rPr>
                <w:rFonts w:ascii="Arial" w:hAnsi="Arial" w:cs="Arial"/>
                <w:b/>
                <w:sz w:val="18"/>
                <w:szCs w:val="18"/>
              </w:rPr>
              <w:t>Please mark Y, N or NA in the column labeled LAB to indicate the common lab practice</w:t>
            </w:r>
          </w:p>
          <w:p w14:paraId="57873507" w14:textId="77777777" w:rsidR="00157C6C" w:rsidRPr="009C3D45" w:rsidRDefault="00157C6C" w:rsidP="00157C6C">
            <w:pPr>
              <w:jc w:val="center"/>
              <w:rPr>
                <w:rFonts w:ascii="Arial" w:hAnsi="Arial" w:cs="Arial"/>
                <w:color w:val="000000"/>
                <w:sz w:val="18"/>
                <w:szCs w:val="18"/>
              </w:rPr>
            </w:pPr>
            <w:r w:rsidRPr="00D73F57">
              <w:rPr>
                <w:rFonts w:ascii="Arial" w:hAnsi="Arial" w:cs="Arial"/>
                <w:b/>
                <w:sz w:val="18"/>
                <w:szCs w:val="18"/>
              </w:rPr>
              <w:t xml:space="preserve"> and in the column labeled SOP to indicate whether it is addressed in the SOP.</w:t>
            </w:r>
          </w:p>
        </w:tc>
      </w:tr>
      <w:tr w:rsidR="00157C6C" w:rsidRPr="00A0149B" w14:paraId="624BC3E5" w14:textId="77777777" w:rsidTr="00B6519D">
        <w:trPr>
          <w:trHeight w:val="264"/>
        </w:trPr>
        <w:tc>
          <w:tcPr>
            <w:tcW w:w="350" w:type="dxa"/>
            <w:tcBorders>
              <w:top w:val="single" w:sz="4" w:space="0" w:color="auto"/>
            </w:tcBorders>
            <w:shd w:val="clear" w:color="auto" w:fill="D9D9D9" w:themeFill="background1" w:themeFillShade="D9"/>
            <w:noWrap/>
            <w:vAlign w:val="center"/>
          </w:tcPr>
          <w:p w14:paraId="18C327AD" w14:textId="77777777" w:rsidR="00157C6C" w:rsidRPr="008352D2" w:rsidRDefault="00157C6C" w:rsidP="00157C6C">
            <w:pPr>
              <w:jc w:val="center"/>
              <w:rPr>
                <w:rFonts w:ascii="Arial" w:hAnsi="Arial" w:cs="Arial"/>
                <w:b/>
                <w:sz w:val="18"/>
                <w:szCs w:val="18"/>
              </w:rPr>
            </w:pPr>
          </w:p>
        </w:tc>
        <w:tc>
          <w:tcPr>
            <w:tcW w:w="4896" w:type="dxa"/>
            <w:tcBorders>
              <w:top w:val="single" w:sz="4" w:space="0" w:color="auto"/>
            </w:tcBorders>
            <w:shd w:val="clear" w:color="auto" w:fill="D9D9D9" w:themeFill="background1" w:themeFillShade="D9"/>
            <w:noWrap/>
            <w:vAlign w:val="center"/>
          </w:tcPr>
          <w:p w14:paraId="11D5E1F4" w14:textId="36D53E7F"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31" w:type="dxa"/>
            <w:shd w:val="clear" w:color="auto" w:fill="D9D9D9" w:themeFill="background1" w:themeFillShade="D9"/>
            <w:noWrap/>
            <w:vAlign w:val="center"/>
          </w:tcPr>
          <w:p w14:paraId="554A19C4"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22" w:type="dxa"/>
            <w:shd w:val="clear" w:color="auto" w:fill="D9D9D9" w:themeFill="background1" w:themeFillShade="D9"/>
            <w:noWrap/>
            <w:vAlign w:val="center"/>
          </w:tcPr>
          <w:p w14:paraId="16CB6306" w14:textId="77777777" w:rsidR="00157C6C" w:rsidRDefault="00157C6C" w:rsidP="00C77EB2">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13A2A976"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8955FC" w:rsidRPr="00A0149B" w14:paraId="44CC1811" w14:textId="77777777" w:rsidTr="00B6519D">
        <w:trPr>
          <w:trHeight w:val="264"/>
        </w:trPr>
        <w:tc>
          <w:tcPr>
            <w:tcW w:w="350" w:type="dxa"/>
            <w:tcBorders>
              <w:top w:val="single" w:sz="4" w:space="0" w:color="auto"/>
            </w:tcBorders>
            <w:shd w:val="clear" w:color="auto" w:fill="FFFFFF" w:themeFill="background1"/>
            <w:noWrap/>
            <w:vAlign w:val="center"/>
          </w:tcPr>
          <w:p w14:paraId="0FA71298" w14:textId="110F918D" w:rsidR="008955FC" w:rsidRPr="00A0149B" w:rsidRDefault="008955FC" w:rsidP="00CF72C0">
            <w:pPr>
              <w:pStyle w:val="ListParagraph"/>
              <w:numPr>
                <w:ilvl w:val="0"/>
                <w:numId w:val="6"/>
              </w:numPr>
              <w:ind w:left="0" w:firstLine="0"/>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178D67C2" w14:textId="359F0BC1" w:rsidR="008955FC" w:rsidRDefault="008955FC" w:rsidP="008955FC">
            <w:pPr>
              <w:jc w:val="both"/>
              <w:rPr>
                <w:rFonts w:ascii="Arial" w:hAnsi="Arial" w:cs="Arial"/>
                <w:sz w:val="18"/>
                <w:szCs w:val="18"/>
              </w:rPr>
            </w:pPr>
            <w:r>
              <w:rPr>
                <w:rFonts w:ascii="Arial" w:hAnsi="Arial"/>
                <w:spacing w:val="-2"/>
                <w:sz w:val="18"/>
                <w:szCs w:val="18"/>
              </w:rPr>
              <w:t>Is the SOP reviewed at least every 2 years?  What is the most recent review/revision date of the SOP</w:t>
            </w:r>
            <w:r w:rsidRPr="007741AB">
              <w:rPr>
                <w:rFonts w:ascii="Arial" w:hAnsi="Arial"/>
                <w:spacing w:val="-2"/>
                <w:sz w:val="18"/>
                <w:szCs w:val="18"/>
              </w:rPr>
              <w:t xml:space="preserve">? </w:t>
            </w:r>
            <w:r w:rsidR="007862D0">
              <w:rPr>
                <w:rFonts w:ascii="Arial" w:hAnsi="Arial" w:cs="Arial"/>
                <w:sz w:val="18"/>
                <w:szCs w:val="18"/>
              </w:rPr>
              <w:t>[</w:t>
            </w:r>
            <w:r w:rsidRPr="007741AB">
              <w:rPr>
                <w:rFonts w:ascii="Arial" w:hAnsi="Arial" w:cs="Arial"/>
                <w:sz w:val="18"/>
                <w:szCs w:val="18"/>
              </w:rPr>
              <w:t xml:space="preserve">15A NCAC </w:t>
            </w:r>
            <w:r w:rsidR="00A94690">
              <w:rPr>
                <w:rFonts w:ascii="Arial" w:hAnsi="Arial" w:cs="Arial"/>
                <w:sz w:val="18"/>
                <w:szCs w:val="18"/>
              </w:rPr>
              <w:t>0</w:t>
            </w:r>
            <w:r w:rsidRPr="007741AB">
              <w:rPr>
                <w:rFonts w:ascii="Arial" w:hAnsi="Arial" w:cs="Arial"/>
                <w:sz w:val="18"/>
                <w:szCs w:val="18"/>
              </w:rPr>
              <w:t>2H .0805</w:t>
            </w:r>
            <w:r>
              <w:rPr>
                <w:rFonts w:ascii="Arial" w:hAnsi="Arial" w:cs="Arial"/>
                <w:sz w:val="18"/>
                <w:szCs w:val="18"/>
              </w:rPr>
              <w:t xml:space="preserve"> (g) (4)]</w:t>
            </w:r>
          </w:p>
          <w:p w14:paraId="21204E8A" w14:textId="77777777" w:rsidR="008955FC" w:rsidRDefault="008955FC" w:rsidP="008955FC">
            <w:pPr>
              <w:jc w:val="both"/>
              <w:rPr>
                <w:rFonts w:ascii="Arial" w:hAnsi="Arial" w:cs="Arial"/>
                <w:sz w:val="18"/>
                <w:szCs w:val="18"/>
              </w:rPr>
            </w:pPr>
          </w:p>
          <w:p w14:paraId="417B238B" w14:textId="77777777" w:rsidR="008955FC" w:rsidRDefault="008955FC" w:rsidP="008955FC">
            <w:pPr>
              <w:jc w:val="both"/>
              <w:rPr>
                <w:rFonts w:ascii="Arial" w:hAnsi="Arial"/>
                <w:b/>
                <w:bCs/>
                <w:spacing w:val="-2"/>
                <w:sz w:val="18"/>
                <w:szCs w:val="18"/>
              </w:rPr>
            </w:pPr>
            <w:r>
              <w:rPr>
                <w:rFonts w:ascii="Arial" w:hAnsi="Arial"/>
                <w:b/>
                <w:bCs/>
                <w:spacing w:val="-2"/>
                <w:sz w:val="18"/>
                <w:szCs w:val="18"/>
              </w:rPr>
              <w:t>Date:</w:t>
            </w:r>
          </w:p>
          <w:p w14:paraId="17810200" w14:textId="2FBA822A" w:rsidR="008955FC" w:rsidRPr="00560E41" w:rsidRDefault="008955FC" w:rsidP="008955FC">
            <w:pPr>
              <w:jc w:val="both"/>
              <w:rPr>
                <w:rFonts w:ascii="Arial" w:hAnsi="Arial" w:cs="Arial"/>
                <w:b/>
                <w:sz w:val="18"/>
                <w:szCs w:val="18"/>
              </w:rPr>
            </w:pPr>
          </w:p>
        </w:tc>
        <w:tc>
          <w:tcPr>
            <w:tcW w:w="431" w:type="dxa"/>
            <w:shd w:val="clear" w:color="auto" w:fill="D9D9D9" w:themeFill="background1" w:themeFillShade="D9"/>
            <w:noWrap/>
            <w:vAlign w:val="center"/>
          </w:tcPr>
          <w:p w14:paraId="4B3676FE" w14:textId="77777777" w:rsidR="008955FC" w:rsidRPr="00560E41" w:rsidRDefault="008955FC" w:rsidP="008955FC">
            <w:pPr>
              <w:jc w:val="center"/>
              <w:rPr>
                <w:rFonts w:ascii="Arial" w:hAnsi="Arial" w:cs="Arial"/>
                <w:b/>
                <w:sz w:val="18"/>
                <w:szCs w:val="18"/>
              </w:rPr>
            </w:pPr>
          </w:p>
        </w:tc>
        <w:tc>
          <w:tcPr>
            <w:tcW w:w="422" w:type="dxa"/>
            <w:tcBorders>
              <w:bottom w:val="single" w:sz="4" w:space="0" w:color="auto"/>
            </w:tcBorders>
            <w:shd w:val="clear" w:color="auto" w:fill="FFFFFF" w:themeFill="background1"/>
            <w:noWrap/>
            <w:vAlign w:val="center"/>
          </w:tcPr>
          <w:p w14:paraId="037FC292" w14:textId="77777777" w:rsidR="008955FC" w:rsidRPr="00560E41" w:rsidRDefault="008955FC" w:rsidP="008955FC">
            <w:pPr>
              <w:jc w:val="center"/>
              <w:rPr>
                <w:rFonts w:ascii="Arial" w:hAnsi="Arial" w:cs="Arial"/>
                <w:b/>
                <w:sz w:val="18"/>
                <w:szCs w:val="18"/>
              </w:rPr>
            </w:pPr>
          </w:p>
        </w:tc>
        <w:tc>
          <w:tcPr>
            <w:tcW w:w="4896" w:type="dxa"/>
            <w:shd w:val="clear" w:color="auto" w:fill="FFFFFF" w:themeFill="background1"/>
            <w:vAlign w:val="center"/>
          </w:tcPr>
          <w:p w14:paraId="4E5036E5" w14:textId="77777777" w:rsidR="004C7A47" w:rsidRDefault="004C7A47" w:rsidP="004C7A47">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656DB03" w14:textId="77777777" w:rsidR="004C7A47" w:rsidRDefault="004C7A47" w:rsidP="004C7A47">
            <w:pPr>
              <w:jc w:val="both"/>
              <w:rPr>
                <w:rFonts w:ascii="Arial" w:hAnsi="Arial" w:cs="Arial"/>
                <w:sz w:val="18"/>
                <w:szCs w:val="18"/>
              </w:rPr>
            </w:pPr>
          </w:p>
          <w:p w14:paraId="13DA9D2A" w14:textId="7D1CEA89" w:rsidR="008955FC" w:rsidRPr="00560E41" w:rsidRDefault="004C7A47" w:rsidP="004C7A47">
            <w:pPr>
              <w:jc w:val="both"/>
              <w:rPr>
                <w:rFonts w:ascii="Arial" w:hAnsi="Arial" w:cs="Arial"/>
                <w:b/>
                <w:sz w:val="18"/>
                <w:szCs w:val="18"/>
              </w:rPr>
            </w:pPr>
            <w:r>
              <w:rPr>
                <w:rFonts w:ascii="Arial" w:hAnsi="Arial" w:cs="Arial"/>
                <w:sz w:val="18"/>
                <w:szCs w:val="18"/>
              </w:rPr>
              <w:t>Verify proper method reference. During review notate deviations from the approved method and SOP.</w:t>
            </w:r>
          </w:p>
        </w:tc>
      </w:tr>
      <w:tr w:rsidR="00300DBD" w:rsidRPr="00A0149B" w14:paraId="017956FD" w14:textId="77777777" w:rsidTr="00B6519D">
        <w:trPr>
          <w:trHeight w:val="264"/>
        </w:trPr>
        <w:tc>
          <w:tcPr>
            <w:tcW w:w="350" w:type="dxa"/>
            <w:tcBorders>
              <w:top w:val="single" w:sz="4" w:space="0" w:color="auto"/>
              <w:bottom w:val="single" w:sz="4" w:space="0" w:color="auto"/>
            </w:tcBorders>
            <w:shd w:val="clear" w:color="auto" w:fill="FFFFFF" w:themeFill="background1"/>
            <w:noWrap/>
            <w:vAlign w:val="center"/>
          </w:tcPr>
          <w:p w14:paraId="218ED2F1" w14:textId="6B0A4116" w:rsidR="00300DBD" w:rsidRDefault="00300DBD" w:rsidP="00CF72C0">
            <w:pPr>
              <w:pStyle w:val="ListParagraph"/>
              <w:numPr>
                <w:ilvl w:val="0"/>
                <w:numId w:val="6"/>
              </w:numPr>
              <w:ind w:left="0" w:firstLine="0"/>
              <w:rPr>
                <w:rFonts w:ascii="Arial" w:hAnsi="Arial" w:cs="Arial"/>
                <w:sz w:val="18"/>
                <w:szCs w:val="18"/>
              </w:rPr>
            </w:pPr>
          </w:p>
        </w:tc>
        <w:tc>
          <w:tcPr>
            <w:tcW w:w="4896" w:type="dxa"/>
            <w:tcBorders>
              <w:top w:val="single" w:sz="4" w:space="0" w:color="auto"/>
              <w:bottom w:val="single" w:sz="4" w:space="0" w:color="auto"/>
            </w:tcBorders>
            <w:shd w:val="clear" w:color="auto" w:fill="FFFFFF" w:themeFill="background1"/>
            <w:noWrap/>
            <w:vAlign w:val="center"/>
          </w:tcPr>
          <w:p w14:paraId="7F3F3CAA" w14:textId="77D997A6" w:rsidR="00300DBD" w:rsidRDefault="00300DBD" w:rsidP="00300DBD">
            <w:pPr>
              <w:jc w:val="both"/>
              <w:rPr>
                <w:rFonts w:ascii="Arial" w:hAnsi="Arial"/>
                <w:spacing w:val="-2"/>
                <w:sz w:val="18"/>
                <w:szCs w:val="18"/>
              </w:rPr>
            </w:pPr>
            <w:r w:rsidRPr="0075586A">
              <w:rPr>
                <w:rFonts w:ascii="Arial" w:hAnsi="Arial"/>
                <w:spacing w:val="-2"/>
                <w:sz w:val="18"/>
                <w:szCs w:val="18"/>
              </w:rPr>
              <w:t xml:space="preserve">Are all </w:t>
            </w:r>
            <w:r w:rsidR="0056387B">
              <w:rPr>
                <w:rFonts w:ascii="Arial" w:hAnsi="Arial"/>
                <w:spacing w:val="-2"/>
                <w:sz w:val="18"/>
                <w:szCs w:val="18"/>
              </w:rPr>
              <w:t>review/</w:t>
            </w:r>
            <w:r w:rsidRPr="0075586A">
              <w:rPr>
                <w:rFonts w:ascii="Arial" w:hAnsi="Arial"/>
                <w:spacing w:val="-2"/>
                <w:sz w:val="18"/>
                <w:szCs w:val="18"/>
              </w:rPr>
              <w:t xml:space="preserve">revision dates and </w:t>
            </w:r>
            <w:r w:rsidR="0056387B">
              <w:rPr>
                <w:rFonts w:ascii="Arial" w:hAnsi="Arial"/>
                <w:spacing w:val="-2"/>
                <w:sz w:val="18"/>
                <w:szCs w:val="18"/>
              </w:rPr>
              <w:t>procedural edits</w:t>
            </w:r>
            <w:r w:rsidRPr="0075586A">
              <w:rPr>
                <w:rFonts w:ascii="Arial" w:hAnsi="Arial"/>
                <w:spacing w:val="-2"/>
                <w:sz w:val="18"/>
                <w:szCs w:val="18"/>
              </w:rPr>
              <w:t xml:space="preserve"> tracked and documented?</w:t>
            </w:r>
            <w:r w:rsidR="00DD529F" w:rsidRPr="007741AB">
              <w:rPr>
                <w:rFonts w:ascii="Arial" w:hAnsi="Arial" w:cs="Arial"/>
                <w:sz w:val="18"/>
                <w:szCs w:val="18"/>
              </w:rPr>
              <w:t xml:space="preserve"> </w:t>
            </w:r>
            <w:r w:rsidR="007862D0">
              <w:rPr>
                <w:rFonts w:ascii="Arial" w:hAnsi="Arial" w:cs="Arial"/>
                <w:sz w:val="18"/>
                <w:szCs w:val="18"/>
              </w:rPr>
              <w:t>[</w:t>
            </w:r>
            <w:r w:rsidR="00DD529F" w:rsidRPr="007741AB">
              <w:rPr>
                <w:rFonts w:ascii="Arial" w:hAnsi="Arial" w:cs="Arial"/>
                <w:sz w:val="18"/>
                <w:szCs w:val="18"/>
              </w:rPr>
              <w:t xml:space="preserve">15A NCAC </w:t>
            </w:r>
            <w:r w:rsidR="009F508F">
              <w:rPr>
                <w:rFonts w:ascii="Arial" w:hAnsi="Arial" w:cs="Arial"/>
                <w:sz w:val="18"/>
                <w:szCs w:val="18"/>
              </w:rPr>
              <w:t>0</w:t>
            </w:r>
            <w:r w:rsidR="00DD529F" w:rsidRPr="007741AB">
              <w:rPr>
                <w:rFonts w:ascii="Arial" w:hAnsi="Arial" w:cs="Arial"/>
                <w:sz w:val="18"/>
                <w:szCs w:val="18"/>
              </w:rPr>
              <w:t>2H .0805</w:t>
            </w:r>
            <w:r w:rsidR="00DD529F">
              <w:rPr>
                <w:rFonts w:ascii="Arial" w:hAnsi="Arial" w:cs="Arial"/>
                <w:sz w:val="18"/>
                <w:szCs w:val="18"/>
              </w:rPr>
              <w:t xml:space="preserve"> (g) (4)]</w:t>
            </w:r>
          </w:p>
        </w:tc>
        <w:tc>
          <w:tcPr>
            <w:tcW w:w="431" w:type="dxa"/>
            <w:tcBorders>
              <w:bottom w:val="single" w:sz="4" w:space="0" w:color="auto"/>
            </w:tcBorders>
            <w:shd w:val="clear" w:color="auto" w:fill="D9D9D9" w:themeFill="background1" w:themeFillShade="D9"/>
            <w:noWrap/>
            <w:vAlign w:val="center"/>
          </w:tcPr>
          <w:p w14:paraId="38075326" w14:textId="77777777" w:rsidR="00300DBD" w:rsidRPr="00560E41" w:rsidRDefault="00300DBD" w:rsidP="00300DBD">
            <w:pPr>
              <w:jc w:val="center"/>
              <w:rPr>
                <w:rFonts w:ascii="Arial" w:hAnsi="Arial" w:cs="Arial"/>
                <w:b/>
                <w:sz w:val="18"/>
                <w:szCs w:val="18"/>
              </w:rPr>
            </w:pPr>
          </w:p>
        </w:tc>
        <w:tc>
          <w:tcPr>
            <w:tcW w:w="422" w:type="dxa"/>
            <w:tcBorders>
              <w:bottom w:val="single" w:sz="4" w:space="0" w:color="auto"/>
            </w:tcBorders>
            <w:shd w:val="clear" w:color="auto" w:fill="FFFFFF" w:themeFill="background1"/>
            <w:noWrap/>
            <w:vAlign w:val="center"/>
          </w:tcPr>
          <w:p w14:paraId="0C0DA95B" w14:textId="77777777" w:rsidR="00300DBD" w:rsidRPr="00560E41" w:rsidRDefault="00300DBD" w:rsidP="00300DBD">
            <w:pPr>
              <w:jc w:val="center"/>
              <w:rPr>
                <w:rFonts w:ascii="Arial" w:hAnsi="Arial" w:cs="Arial"/>
                <w:b/>
                <w:sz w:val="18"/>
                <w:szCs w:val="18"/>
              </w:rPr>
            </w:pPr>
          </w:p>
        </w:tc>
        <w:tc>
          <w:tcPr>
            <w:tcW w:w="4896" w:type="dxa"/>
            <w:tcBorders>
              <w:bottom w:val="single" w:sz="4" w:space="0" w:color="auto"/>
            </w:tcBorders>
            <w:shd w:val="clear" w:color="auto" w:fill="FFFFFF" w:themeFill="background1"/>
            <w:vAlign w:val="center"/>
          </w:tcPr>
          <w:p w14:paraId="0326C5A7" w14:textId="10D76817" w:rsidR="00300DBD" w:rsidRDefault="00300DBD" w:rsidP="00300DBD">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7D2945" w:rsidRPr="00A0149B" w14:paraId="4E602B47" w14:textId="77777777" w:rsidTr="00B6519D">
        <w:trPr>
          <w:trHeight w:val="264"/>
        </w:trPr>
        <w:tc>
          <w:tcPr>
            <w:tcW w:w="350" w:type="dxa"/>
            <w:tcBorders>
              <w:top w:val="single" w:sz="4" w:space="0" w:color="auto"/>
            </w:tcBorders>
            <w:shd w:val="clear" w:color="auto" w:fill="FFFFFF" w:themeFill="background1"/>
            <w:noWrap/>
            <w:vAlign w:val="center"/>
          </w:tcPr>
          <w:p w14:paraId="64C42CC6" w14:textId="2A368B6C" w:rsidR="007D2945" w:rsidRDefault="007D2945" w:rsidP="00CF72C0">
            <w:pPr>
              <w:pStyle w:val="ListParagraph"/>
              <w:numPr>
                <w:ilvl w:val="0"/>
                <w:numId w:val="6"/>
              </w:numPr>
              <w:ind w:left="0" w:firstLine="0"/>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54F697A6"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31" w:type="dxa"/>
            <w:shd w:val="clear" w:color="auto" w:fill="FFFFFF" w:themeFill="background1"/>
            <w:noWrap/>
            <w:vAlign w:val="center"/>
          </w:tcPr>
          <w:p w14:paraId="13248E7A" w14:textId="77777777" w:rsidR="007D2945" w:rsidRPr="00560E41" w:rsidRDefault="007D2945" w:rsidP="00560E41">
            <w:pPr>
              <w:jc w:val="center"/>
              <w:rPr>
                <w:rFonts w:ascii="Arial" w:hAnsi="Arial" w:cs="Arial"/>
                <w:b/>
                <w:sz w:val="18"/>
                <w:szCs w:val="18"/>
              </w:rPr>
            </w:pPr>
          </w:p>
        </w:tc>
        <w:tc>
          <w:tcPr>
            <w:tcW w:w="422" w:type="dxa"/>
            <w:shd w:val="clear" w:color="auto" w:fill="D9D9D9" w:themeFill="background1" w:themeFillShade="D9"/>
            <w:noWrap/>
            <w:vAlign w:val="center"/>
          </w:tcPr>
          <w:p w14:paraId="7C7AA99F" w14:textId="77777777" w:rsidR="007D2945" w:rsidRPr="00560E41" w:rsidRDefault="007D2945" w:rsidP="00560E41">
            <w:pPr>
              <w:jc w:val="center"/>
              <w:rPr>
                <w:rFonts w:ascii="Arial" w:hAnsi="Arial" w:cs="Arial"/>
                <w:b/>
                <w:sz w:val="18"/>
                <w:szCs w:val="18"/>
              </w:rPr>
            </w:pPr>
          </w:p>
        </w:tc>
        <w:tc>
          <w:tcPr>
            <w:tcW w:w="4896" w:type="dxa"/>
            <w:shd w:val="clear" w:color="auto" w:fill="FFFFFF" w:themeFill="background1"/>
            <w:vAlign w:val="center"/>
          </w:tcPr>
          <w:p w14:paraId="08CA27A9" w14:textId="703A6C17" w:rsidR="007D2945" w:rsidRPr="008352D2" w:rsidRDefault="007D2945" w:rsidP="008F5EF6">
            <w:pPr>
              <w:jc w:val="both"/>
              <w:rPr>
                <w:rFonts w:ascii="Arial" w:hAnsi="Arial"/>
                <w:bCs/>
                <w:spacing w:val="-2"/>
                <w:sz w:val="18"/>
                <w:szCs w:val="18"/>
              </w:rPr>
            </w:pPr>
          </w:p>
        </w:tc>
      </w:tr>
      <w:tr w:rsidR="00283D06" w:rsidRPr="00A0149B" w14:paraId="617AEBB7" w14:textId="77777777" w:rsidTr="00B6519D">
        <w:trPr>
          <w:trHeight w:val="264"/>
        </w:trPr>
        <w:tc>
          <w:tcPr>
            <w:tcW w:w="350" w:type="dxa"/>
            <w:tcBorders>
              <w:top w:val="single" w:sz="4" w:space="0" w:color="auto"/>
            </w:tcBorders>
            <w:shd w:val="clear" w:color="auto" w:fill="FFFFFF" w:themeFill="background1"/>
            <w:noWrap/>
            <w:vAlign w:val="center"/>
          </w:tcPr>
          <w:p w14:paraId="6E94C9C3" w14:textId="77777777" w:rsidR="00283D06" w:rsidRDefault="00283D06" w:rsidP="00CF72C0">
            <w:pPr>
              <w:pStyle w:val="ListParagraph"/>
              <w:numPr>
                <w:ilvl w:val="0"/>
                <w:numId w:val="6"/>
              </w:numPr>
              <w:ind w:left="0" w:firstLine="0"/>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616224E8" w14:textId="77777777" w:rsidR="00283D06" w:rsidRDefault="00283D06" w:rsidP="00283D06">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5D0D3CFE" w14:textId="0EDC8121" w:rsidR="00283D06" w:rsidRDefault="008051D6" w:rsidP="00283D06">
            <w:pPr>
              <w:jc w:val="both"/>
              <w:rPr>
                <w:rFonts w:ascii="Arial" w:hAnsi="Arial"/>
                <w:spacing w:val="-2"/>
                <w:sz w:val="18"/>
                <w:szCs w:val="18"/>
              </w:rPr>
            </w:pPr>
            <w:r>
              <w:rPr>
                <w:rFonts w:ascii="Arial" w:hAnsi="Arial" w:cs="Arial"/>
                <w:sz w:val="18"/>
                <w:szCs w:val="18"/>
              </w:rPr>
              <w:t>[</w:t>
            </w:r>
            <w:r w:rsidR="00283D06">
              <w:rPr>
                <w:rFonts w:ascii="Arial" w:hAnsi="Arial" w:cs="Arial"/>
                <w:sz w:val="18"/>
                <w:szCs w:val="18"/>
              </w:rPr>
              <w:t xml:space="preserve">15A NCAC </w:t>
            </w:r>
            <w:r>
              <w:rPr>
                <w:rFonts w:ascii="Arial" w:hAnsi="Arial" w:cs="Arial"/>
                <w:sz w:val="18"/>
                <w:szCs w:val="18"/>
              </w:rPr>
              <w:t>0</w:t>
            </w:r>
            <w:r w:rsidR="00283D06">
              <w:rPr>
                <w:rFonts w:ascii="Arial" w:hAnsi="Arial" w:cs="Arial"/>
                <w:sz w:val="18"/>
                <w:szCs w:val="18"/>
              </w:rPr>
              <w:t>2H .0805</w:t>
            </w:r>
            <w:r w:rsidR="00283D06" w:rsidRPr="005337E4">
              <w:rPr>
                <w:rFonts w:ascii="Arial" w:hAnsi="Arial" w:cs="Arial"/>
                <w:sz w:val="18"/>
                <w:szCs w:val="18"/>
              </w:rPr>
              <w:t xml:space="preserve"> (g) (2)</w:t>
            </w:r>
            <w:r w:rsidR="00283D06">
              <w:rPr>
                <w:rFonts w:ascii="Arial" w:hAnsi="Arial" w:cs="Arial"/>
                <w:sz w:val="18"/>
                <w:szCs w:val="18"/>
              </w:rPr>
              <w:t>]</w:t>
            </w:r>
          </w:p>
        </w:tc>
        <w:tc>
          <w:tcPr>
            <w:tcW w:w="431" w:type="dxa"/>
            <w:shd w:val="clear" w:color="auto" w:fill="FFFFFF" w:themeFill="background1"/>
            <w:noWrap/>
            <w:vAlign w:val="center"/>
          </w:tcPr>
          <w:p w14:paraId="5FE9BF8D"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256677EA"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671310DD" w14:textId="77777777" w:rsidR="00283D06" w:rsidRPr="00BD6DFF" w:rsidRDefault="00283D06" w:rsidP="00283D06">
            <w:pPr>
              <w:jc w:val="both"/>
              <w:rPr>
                <w:rFonts w:ascii="Arial" w:hAnsi="Arial"/>
                <w:bCs/>
                <w:spacing w:val="-2"/>
                <w:sz w:val="18"/>
                <w:szCs w:val="18"/>
              </w:rPr>
            </w:pPr>
          </w:p>
        </w:tc>
      </w:tr>
      <w:tr w:rsidR="00283D06" w:rsidRPr="00A0149B" w14:paraId="29834C00" w14:textId="77777777" w:rsidTr="00B6519D">
        <w:trPr>
          <w:trHeight w:val="264"/>
        </w:trPr>
        <w:tc>
          <w:tcPr>
            <w:tcW w:w="350" w:type="dxa"/>
            <w:tcBorders>
              <w:top w:val="single" w:sz="4" w:space="0" w:color="auto"/>
            </w:tcBorders>
            <w:shd w:val="clear" w:color="auto" w:fill="FFFFFF" w:themeFill="background1"/>
            <w:noWrap/>
            <w:vAlign w:val="center"/>
          </w:tcPr>
          <w:p w14:paraId="242A0A21" w14:textId="77777777" w:rsidR="00283D06" w:rsidRDefault="00283D06" w:rsidP="00CF72C0">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7BD350AD" w14:textId="4D6AC668" w:rsidR="00283D06" w:rsidRDefault="00283D06" w:rsidP="006D1B43">
            <w:pPr>
              <w:ind w:left="646"/>
              <w:jc w:val="both"/>
              <w:rPr>
                <w:rFonts w:ascii="Arial" w:hAnsi="Arial"/>
                <w:spacing w:val="-2"/>
                <w:sz w:val="18"/>
                <w:szCs w:val="18"/>
              </w:rPr>
            </w:pPr>
            <w:r>
              <w:rPr>
                <w:rFonts w:ascii="Arial" w:hAnsi="Arial"/>
                <w:spacing w:val="-2"/>
                <w:sz w:val="18"/>
                <w:szCs w:val="18"/>
              </w:rPr>
              <w:t>The method or SOP reference</w:t>
            </w:r>
          </w:p>
        </w:tc>
        <w:tc>
          <w:tcPr>
            <w:tcW w:w="431" w:type="dxa"/>
            <w:shd w:val="clear" w:color="auto" w:fill="FFFFFF" w:themeFill="background1"/>
            <w:noWrap/>
            <w:vAlign w:val="center"/>
          </w:tcPr>
          <w:p w14:paraId="74CB01FE"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2B1864EF"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61E501CF" w14:textId="77777777" w:rsidR="00283D06" w:rsidRPr="00BD6DFF" w:rsidRDefault="00283D06" w:rsidP="00283D06">
            <w:pPr>
              <w:jc w:val="both"/>
              <w:rPr>
                <w:rFonts w:ascii="Arial" w:hAnsi="Arial"/>
                <w:bCs/>
                <w:spacing w:val="-2"/>
                <w:sz w:val="18"/>
                <w:szCs w:val="18"/>
              </w:rPr>
            </w:pPr>
          </w:p>
        </w:tc>
      </w:tr>
      <w:tr w:rsidR="00283D06" w:rsidRPr="00A0149B" w14:paraId="564A0EBE" w14:textId="77777777" w:rsidTr="00B6519D">
        <w:trPr>
          <w:trHeight w:val="264"/>
        </w:trPr>
        <w:tc>
          <w:tcPr>
            <w:tcW w:w="350" w:type="dxa"/>
            <w:tcBorders>
              <w:top w:val="single" w:sz="4" w:space="0" w:color="auto"/>
            </w:tcBorders>
            <w:shd w:val="clear" w:color="auto" w:fill="FFFFFF" w:themeFill="background1"/>
            <w:noWrap/>
            <w:vAlign w:val="center"/>
          </w:tcPr>
          <w:p w14:paraId="3FB18C7F" w14:textId="77777777" w:rsidR="00283D06" w:rsidRDefault="00283D06" w:rsidP="00CF72C0">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1967CB2A" w14:textId="5AF37932" w:rsidR="00283D06" w:rsidRDefault="00283D06" w:rsidP="006D1B43">
            <w:pPr>
              <w:ind w:left="646"/>
              <w:jc w:val="both"/>
              <w:rPr>
                <w:rFonts w:ascii="Arial" w:hAnsi="Arial"/>
                <w:spacing w:val="-2"/>
                <w:sz w:val="18"/>
                <w:szCs w:val="18"/>
              </w:rPr>
            </w:pPr>
            <w:r>
              <w:rPr>
                <w:rFonts w:ascii="Arial" w:hAnsi="Arial"/>
                <w:spacing w:val="-2"/>
                <w:sz w:val="18"/>
                <w:szCs w:val="18"/>
              </w:rPr>
              <w:t>Laboratory identification</w:t>
            </w:r>
          </w:p>
        </w:tc>
        <w:tc>
          <w:tcPr>
            <w:tcW w:w="431" w:type="dxa"/>
            <w:shd w:val="clear" w:color="auto" w:fill="FFFFFF" w:themeFill="background1"/>
            <w:noWrap/>
            <w:vAlign w:val="center"/>
          </w:tcPr>
          <w:p w14:paraId="3DE9DABB"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4F7914EB"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7324652B" w14:textId="77777777" w:rsidR="00283D06" w:rsidRPr="00BD6DFF" w:rsidRDefault="00283D06" w:rsidP="00283D06">
            <w:pPr>
              <w:jc w:val="both"/>
              <w:rPr>
                <w:rFonts w:ascii="Arial" w:hAnsi="Arial"/>
                <w:bCs/>
                <w:spacing w:val="-2"/>
                <w:sz w:val="18"/>
                <w:szCs w:val="18"/>
              </w:rPr>
            </w:pPr>
          </w:p>
        </w:tc>
      </w:tr>
      <w:tr w:rsidR="00283D06" w:rsidRPr="00A0149B" w14:paraId="748719A6" w14:textId="77777777" w:rsidTr="00B6519D">
        <w:trPr>
          <w:trHeight w:val="264"/>
        </w:trPr>
        <w:tc>
          <w:tcPr>
            <w:tcW w:w="350" w:type="dxa"/>
            <w:tcBorders>
              <w:top w:val="single" w:sz="4" w:space="0" w:color="auto"/>
            </w:tcBorders>
            <w:shd w:val="clear" w:color="auto" w:fill="FFFFFF" w:themeFill="background1"/>
            <w:noWrap/>
            <w:vAlign w:val="center"/>
          </w:tcPr>
          <w:p w14:paraId="72246D0E" w14:textId="77777777" w:rsidR="00283D06" w:rsidRDefault="00283D06" w:rsidP="00CF72C0">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7A78B0B6" w14:textId="497D4CB4" w:rsidR="00283D06" w:rsidRDefault="00283D06" w:rsidP="006D1B43">
            <w:pPr>
              <w:ind w:left="646"/>
              <w:jc w:val="both"/>
              <w:rPr>
                <w:rFonts w:ascii="Arial" w:hAnsi="Arial"/>
                <w:spacing w:val="-2"/>
                <w:sz w:val="18"/>
                <w:szCs w:val="18"/>
              </w:rPr>
            </w:pPr>
            <w:r>
              <w:rPr>
                <w:rFonts w:ascii="Arial" w:hAnsi="Arial"/>
                <w:spacing w:val="-2"/>
                <w:sz w:val="18"/>
                <w:szCs w:val="18"/>
              </w:rPr>
              <w:t>Instrument identification</w:t>
            </w:r>
          </w:p>
        </w:tc>
        <w:tc>
          <w:tcPr>
            <w:tcW w:w="431" w:type="dxa"/>
            <w:shd w:val="clear" w:color="auto" w:fill="FFFFFF" w:themeFill="background1"/>
            <w:noWrap/>
            <w:vAlign w:val="center"/>
          </w:tcPr>
          <w:p w14:paraId="0320356D"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05AE3B17"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081DA672" w14:textId="77777777" w:rsidR="00283D06" w:rsidRPr="00BD6DFF" w:rsidRDefault="00283D06" w:rsidP="00283D06">
            <w:pPr>
              <w:jc w:val="both"/>
              <w:rPr>
                <w:rFonts w:ascii="Arial" w:hAnsi="Arial"/>
                <w:bCs/>
                <w:spacing w:val="-2"/>
                <w:sz w:val="18"/>
                <w:szCs w:val="18"/>
              </w:rPr>
            </w:pPr>
          </w:p>
        </w:tc>
      </w:tr>
      <w:tr w:rsidR="00283D06" w:rsidRPr="00A0149B" w14:paraId="07CA0E5D" w14:textId="77777777" w:rsidTr="00B6519D">
        <w:trPr>
          <w:trHeight w:val="264"/>
        </w:trPr>
        <w:tc>
          <w:tcPr>
            <w:tcW w:w="350" w:type="dxa"/>
            <w:tcBorders>
              <w:top w:val="single" w:sz="4" w:space="0" w:color="auto"/>
            </w:tcBorders>
            <w:shd w:val="clear" w:color="auto" w:fill="FFFFFF" w:themeFill="background1"/>
            <w:noWrap/>
            <w:vAlign w:val="center"/>
          </w:tcPr>
          <w:p w14:paraId="550FA58B" w14:textId="77777777" w:rsidR="00283D06" w:rsidRDefault="00283D06" w:rsidP="00CF72C0">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544EA315" w14:textId="66F4718D" w:rsidR="00283D06" w:rsidRDefault="00283D06" w:rsidP="006D1B43">
            <w:pPr>
              <w:ind w:left="646"/>
              <w:jc w:val="both"/>
              <w:rPr>
                <w:rFonts w:ascii="Arial" w:hAnsi="Arial"/>
                <w:spacing w:val="-2"/>
                <w:sz w:val="18"/>
                <w:szCs w:val="18"/>
              </w:rPr>
            </w:pPr>
            <w:r>
              <w:rPr>
                <w:rFonts w:ascii="Arial" w:hAnsi="Arial"/>
                <w:spacing w:val="-2"/>
                <w:sz w:val="18"/>
                <w:szCs w:val="18"/>
              </w:rPr>
              <w:t>Sample collector</w:t>
            </w:r>
          </w:p>
        </w:tc>
        <w:tc>
          <w:tcPr>
            <w:tcW w:w="431" w:type="dxa"/>
            <w:shd w:val="clear" w:color="auto" w:fill="FFFFFF" w:themeFill="background1"/>
            <w:noWrap/>
            <w:vAlign w:val="center"/>
          </w:tcPr>
          <w:p w14:paraId="67D33172"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2C1CD3EF"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68FB326A" w14:textId="77777777" w:rsidR="00283D06" w:rsidRPr="00BD6DFF" w:rsidRDefault="00283D06" w:rsidP="00283D06">
            <w:pPr>
              <w:jc w:val="both"/>
              <w:rPr>
                <w:rFonts w:ascii="Arial" w:hAnsi="Arial"/>
                <w:bCs/>
                <w:spacing w:val="-2"/>
                <w:sz w:val="18"/>
                <w:szCs w:val="18"/>
              </w:rPr>
            </w:pPr>
          </w:p>
        </w:tc>
      </w:tr>
      <w:tr w:rsidR="00283D06" w:rsidRPr="00A0149B" w14:paraId="5284F99E" w14:textId="77777777" w:rsidTr="00B6519D">
        <w:trPr>
          <w:trHeight w:val="264"/>
        </w:trPr>
        <w:tc>
          <w:tcPr>
            <w:tcW w:w="350" w:type="dxa"/>
            <w:tcBorders>
              <w:top w:val="single" w:sz="4" w:space="0" w:color="auto"/>
            </w:tcBorders>
            <w:shd w:val="clear" w:color="auto" w:fill="FFFFFF" w:themeFill="background1"/>
            <w:noWrap/>
            <w:vAlign w:val="center"/>
          </w:tcPr>
          <w:p w14:paraId="6D95B0F1" w14:textId="77777777" w:rsidR="00283D06" w:rsidRDefault="00283D06" w:rsidP="00CF72C0">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22B1FF5E" w14:textId="4AB51819" w:rsidR="00283D06" w:rsidRDefault="00283D06" w:rsidP="006D1B43">
            <w:pPr>
              <w:ind w:left="646"/>
              <w:jc w:val="both"/>
              <w:rPr>
                <w:rFonts w:ascii="Arial" w:hAnsi="Arial"/>
                <w:spacing w:val="-2"/>
                <w:sz w:val="18"/>
                <w:szCs w:val="18"/>
              </w:rPr>
            </w:pPr>
            <w:r>
              <w:rPr>
                <w:rFonts w:ascii="Arial" w:hAnsi="Arial"/>
                <w:spacing w:val="-2"/>
                <w:sz w:val="18"/>
                <w:szCs w:val="18"/>
              </w:rPr>
              <w:t>Signature or initials of the analyst</w:t>
            </w:r>
          </w:p>
        </w:tc>
        <w:tc>
          <w:tcPr>
            <w:tcW w:w="431" w:type="dxa"/>
            <w:shd w:val="clear" w:color="auto" w:fill="FFFFFF" w:themeFill="background1"/>
            <w:noWrap/>
            <w:vAlign w:val="center"/>
          </w:tcPr>
          <w:p w14:paraId="219E8FB1"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5AFB4B45"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75838B54" w14:textId="77777777" w:rsidR="00283D06" w:rsidRPr="00BD6DFF" w:rsidRDefault="00283D06" w:rsidP="00283D06">
            <w:pPr>
              <w:jc w:val="both"/>
              <w:rPr>
                <w:rFonts w:ascii="Arial" w:hAnsi="Arial"/>
                <w:bCs/>
                <w:spacing w:val="-2"/>
                <w:sz w:val="18"/>
                <w:szCs w:val="18"/>
              </w:rPr>
            </w:pPr>
          </w:p>
        </w:tc>
      </w:tr>
      <w:tr w:rsidR="00283D06" w:rsidRPr="00A0149B" w14:paraId="79AA2D4A" w14:textId="77777777" w:rsidTr="00B6519D">
        <w:trPr>
          <w:trHeight w:val="264"/>
        </w:trPr>
        <w:tc>
          <w:tcPr>
            <w:tcW w:w="350" w:type="dxa"/>
            <w:tcBorders>
              <w:top w:val="single" w:sz="4" w:space="0" w:color="auto"/>
            </w:tcBorders>
            <w:shd w:val="clear" w:color="auto" w:fill="FFFFFF" w:themeFill="background1"/>
            <w:noWrap/>
            <w:vAlign w:val="center"/>
          </w:tcPr>
          <w:p w14:paraId="52691603" w14:textId="77777777" w:rsidR="00283D06" w:rsidRDefault="00283D06" w:rsidP="00CF72C0">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247E5559" w14:textId="206A43D0" w:rsidR="00283D06" w:rsidRDefault="00283D06" w:rsidP="006D1B43">
            <w:pPr>
              <w:ind w:left="646"/>
              <w:jc w:val="both"/>
              <w:rPr>
                <w:rFonts w:ascii="Arial" w:hAnsi="Arial"/>
                <w:spacing w:val="-2"/>
                <w:sz w:val="18"/>
                <w:szCs w:val="18"/>
              </w:rPr>
            </w:pPr>
            <w:r>
              <w:rPr>
                <w:rFonts w:ascii="Arial" w:hAnsi="Arial"/>
                <w:spacing w:val="-2"/>
                <w:sz w:val="18"/>
                <w:szCs w:val="18"/>
              </w:rPr>
              <w:t>Date of sample collection</w:t>
            </w:r>
          </w:p>
        </w:tc>
        <w:tc>
          <w:tcPr>
            <w:tcW w:w="431" w:type="dxa"/>
            <w:shd w:val="clear" w:color="auto" w:fill="FFFFFF" w:themeFill="background1"/>
            <w:noWrap/>
            <w:vAlign w:val="center"/>
          </w:tcPr>
          <w:p w14:paraId="1D9CEC29" w14:textId="77777777" w:rsidR="00283D06" w:rsidRPr="00560E41" w:rsidRDefault="00283D06" w:rsidP="00283D06">
            <w:pPr>
              <w:jc w:val="center"/>
              <w:rPr>
                <w:rFonts w:ascii="Arial" w:hAnsi="Arial" w:cs="Arial"/>
                <w:b/>
                <w:sz w:val="18"/>
                <w:szCs w:val="18"/>
              </w:rPr>
            </w:pPr>
          </w:p>
        </w:tc>
        <w:tc>
          <w:tcPr>
            <w:tcW w:w="422" w:type="dxa"/>
            <w:shd w:val="clear" w:color="auto" w:fill="FFFFFF" w:themeFill="background1"/>
            <w:noWrap/>
            <w:vAlign w:val="center"/>
          </w:tcPr>
          <w:p w14:paraId="281C968C" w14:textId="77777777" w:rsidR="00283D06" w:rsidRPr="00560E41" w:rsidRDefault="00283D06" w:rsidP="00283D06">
            <w:pPr>
              <w:jc w:val="center"/>
              <w:rPr>
                <w:rFonts w:ascii="Arial" w:hAnsi="Arial" w:cs="Arial"/>
                <w:b/>
                <w:sz w:val="18"/>
                <w:szCs w:val="18"/>
              </w:rPr>
            </w:pPr>
          </w:p>
        </w:tc>
        <w:tc>
          <w:tcPr>
            <w:tcW w:w="4896" w:type="dxa"/>
            <w:shd w:val="clear" w:color="auto" w:fill="FFFFFF" w:themeFill="background1"/>
            <w:vAlign w:val="center"/>
          </w:tcPr>
          <w:p w14:paraId="6BC82E6E" w14:textId="77777777" w:rsidR="00283D06" w:rsidRPr="00BD6DFF" w:rsidRDefault="00283D06" w:rsidP="00283D06">
            <w:pPr>
              <w:jc w:val="both"/>
              <w:rPr>
                <w:rFonts w:ascii="Arial" w:hAnsi="Arial"/>
                <w:bCs/>
                <w:spacing w:val="-2"/>
                <w:sz w:val="18"/>
                <w:szCs w:val="18"/>
              </w:rPr>
            </w:pPr>
          </w:p>
        </w:tc>
      </w:tr>
      <w:tr w:rsidR="00D374BC" w:rsidRPr="00A0149B" w14:paraId="1F2AB5C2" w14:textId="77777777" w:rsidTr="00B6519D">
        <w:trPr>
          <w:trHeight w:val="264"/>
        </w:trPr>
        <w:tc>
          <w:tcPr>
            <w:tcW w:w="350" w:type="dxa"/>
            <w:tcBorders>
              <w:top w:val="single" w:sz="4" w:space="0" w:color="auto"/>
            </w:tcBorders>
            <w:shd w:val="clear" w:color="auto" w:fill="FFFFFF" w:themeFill="background1"/>
            <w:noWrap/>
            <w:vAlign w:val="center"/>
          </w:tcPr>
          <w:p w14:paraId="126CE52B"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76A06D66" w14:textId="27B8360A" w:rsidR="00D374BC" w:rsidRDefault="00D374BC" w:rsidP="00D374BC">
            <w:pPr>
              <w:ind w:left="646"/>
              <w:jc w:val="both"/>
              <w:rPr>
                <w:rFonts w:ascii="Arial" w:hAnsi="Arial"/>
                <w:spacing w:val="-2"/>
                <w:sz w:val="18"/>
                <w:szCs w:val="18"/>
              </w:rPr>
            </w:pPr>
            <w:r>
              <w:rPr>
                <w:rFonts w:ascii="Arial" w:hAnsi="Arial"/>
                <w:spacing w:val="-2"/>
                <w:sz w:val="18"/>
                <w:szCs w:val="18"/>
              </w:rPr>
              <w:t>Time of sample collection</w:t>
            </w:r>
          </w:p>
        </w:tc>
        <w:tc>
          <w:tcPr>
            <w:tcW w:w="431" w:type="dxa"/>
            <w:shd w:val="clear" w:color="auto" w:fill="FFFFFF" w:themeFill="background1"/>
            <w:noWrap/>
            <w:vAlign w:val="center"/>
          </w:tcPr>
          <w:p w14:paraId="0391C68A"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0A7A3F94"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0EE5C106" w14:textId="2EA9B5E9" w:rsidR="00D374BC" w:rsidRPr="00BD6DFF" w:rsidRDefault="00D374BC" w:rsidP="00D374BC">
            <w:pPr>
              <w:jc w:val="both"/>
              <w:rPr>
                <w:rFonts w:ascii="Arial" w:hAnsi="Arial"/>
                <w:bCs/>
                <w:spacing w:val="-2"/>
                <w:sz w:val="18"/>
                <w:szCs w:val="18"/>
              </w:rPr>
            </w:pPr>
          </w:p>
        </w:tc>
      </w:tr>
      <w:tr w:rsidR="00D374BC" w:rsidRPr="00A0149B" w14:paraId="6BB65CCC" w14:textId="77777777" w:rsidTr="00B6519D">
        <w:trPr>
          <w:trHeight w:val="264"/>
        </w:trPr>
        <w:tc>
          <w:tcPr>
            <w:tcW w:w="350" w:type="dxa"/>
            <w:tcBorders>
              <w:top w:val="single" w:sz="4" w:space="0" w:color="auto"/>
            </w:tcBorders>
            <w:shd w:val="clear" w:color="auto" w:fill="FFFFFF" w:themeFill="background1"/>
            <w:noWrap/>
            <w:vAlign w:val="center"/>
          </w:tcPr>
          <w:p w14:paraId="448B9E41"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3B430818" w14:textId="60FDEF4E" w:rsidR="00D374BC" w:rsidRDefault="00D374BC" w:rsidP="00D374BC">
            <w:pPr>
              <w:ind w:left="646"/>
              <w:jc w:val="both"/>
              <w:rPr>
                <w:rFonts w:ascii="Arial" w:hAnsi="Arial"/>
                <w:spacing w:val="-2"/>
                <w:sz w:val="18"/>
                <w:szCs w:val="18"/>
              </w:rPr>
            </w:pPr>
            <w:r>
              <w:rPr>
                <w:rFonts w:ascii="Arial" w:hAnsi="Arial"/>
                <w:spacing w:val="-2"/>
                <w:sz w:val="18"/>
                <w:szCs w:val="18"/>
              </w:rPr>
              <w:t>Date of sample analysis</w:t>
            </w:r>
          </w:p>
        </w:tc>
        <w:tc>
          <w:tcPr>
            <w:tcW w:w="431" w:type="dxa"/>
            <w:shd w:val="clear" w:color="auto" w:fill="FFFFFF" w:themeFill="background1"/>
            <w:noWrap/>
            <w:vAlign w:val="center"/>
          </w:tcPr>
          <w:p w14:paraId="159A4A73"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5B26ED6D"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7F6F4BA8" w14:textId="77777777" w:rsidR="00D374BC" w:rsidRPr="00BD6DFF" w:rsidRDefault="00D374BC" w:rsidP="00D374BC">
            <w:pPr>
              <w:jc w:val="both"/>
              <w:rPr>
                <w:rFonts w:ascii="Arial" w:hAnsi="Arial"/>
                <w:bCs/>
                <w:spacing w:val="-2"/>
                <w:sz w:val="18"/>
                <w:szCs w:val="18"/>
              </w:rPr>
            </w:pPr>
          </w:p>
        </w:tc>
      </w:tr>
      <w:tr w:rsidR="00D374BC" w:rsidRPr="00A0149B" w14:paraId="3814D490" w14:textId="77777777" w:rsidTr="00B6519D">
        <w:trPr>
          <w:trHeight w:val="264"/>
        </w:trPr>
        <w:tc>
          <w:tcPr>
            <w:tcW w:w="350" w:type="dxa"/>
            <w:tcBorders>
              <w:top w:val="single" w:sz="4" w:space="0" w:color="auto"/>
            </w:tcBorders>
            <w:shd w:val="clear" w:color="auto" w:fill="FFFFFF" w:themeFill="background1"/>
            <w:noWrap/>
            <w:vAlign w:val="center"/>
          </w:tcPr>
          <w:p w14:paraId="4E12E62F"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46157E74" w14:textId="08D25CBB" w:rsidR="00D374BC" w:rsidRDefault="00D374BC" w:rsidP="00D374BC">
            <w:pPr>
              <w:ind w:left="646"/>
              <w:jc w:val="both"/>
              <w:rPr>
                <w:rFonts w:ascii="Arial" w:hAnsi="Arial"/>
                <w:spacing w:val="-2"/>
                <w:sz w:val="18"/>
                <w:szCs w:val="18"/>
              </w:rPr>
            </w:pPr>
            <w:r>
              <w:rPr>
                <w:rFonts w:ascii="Arial" w:hAnsi="Arial"/>
                <w:spacing w:val="-2"/>
                <w:sz w:val="18"/>
                <w:szCs w:val="18"/>
              </w:rPr>
              <w:t>Sample identification</w:t>
            </w:r>
          </w:p>
        </w:tc>
        <w:tc>
          <w:tcPr>
            <w:tcW w:w="431" w:type="dxa"/>
            <w:shd w:val="clear" w:color="auto" w:fill="FFFFFF" w:themeFill="background1"/>
            <w:noWrap/>
            <w:vAlign w:val="center"/>
          </w:tcPr>
          <w:p w14:paraId="41A0F8C4"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57743BC3"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21258966" w14:textId="77777777" w:rsidR="00D374BC" w:rsidRPr="00BD6DFF" w:rsidRDefault="00D374BC" w:rsidP="00D374BC">
            <w:pPr>
              <w:jc w:val="both"/>
              <w:rPr>
                <w:rFonts w:ascii="Arial" w:hAnsi="Arial"/>
                <w:bCs/>
                <w:spacing w:val="-2"/>
                <w:sz w:val="18"/>
                <w:szCs w:val="18"/>
              </w:rPr>
            </w:pPr>
          </w:p>
        </w:tc>
      </w:tr>
      <w:tr w:rsidR="00D374BC" w:rsidRPr="00A0149B" w14:paraId="0D5715C3" w14:textId="77777777" w:rsidTr="00B6519D">
        <w:trPr>
          <w:trHeight w:val="264"/>
        </w:trPr>
        <w:tc>
          <w:tcPr>
            <w:tcW w:w="350" w:type="dxa"/>
            <w:tcBorders>
              <w:top w:val="single" w:sz="4" w:space="0" w:color="auto"/>
            </w:tcBorders>
            <w:shd w:val="clear" w:color="auto" w:fill="FFFFFF" w:themeFill="background1"/>
            <w:noWrap/>
            <w:vAlign w:val="center"/>
          </w:tcPr>
          <w:p w14:paraId="122B6F3C"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2756F8E3" w14:textId="61C12209" w:rsidR="00D374BC" w:rsidRDefault="00D374BC" w:rsidP="00D374BC">
            <w:pPr>
              <w:ind w:left="646"/>
              <w:jc w:val="both"/>
              <w:rPr>
                <w:rFonts w:ascii="Arial" w:hAnsi="Arial"/>
                <w:spacing w:val="-2"/>
                <w:sz w:val="18"/>
                <w:szCs w:val="18"/>
              </w:rPr>
            </w:pPr>
            <w:r>
              <w:rPr>
                <w:rFonts w:ascii="Arial" w:hAnsi="Arial"/>
                <w:spacing w:val="-2"/>
                <w:sz w:val="18"/>
                <w:szCs w:val="18"/>
              </w:rPr>
              <w:t>Proper units of measure (parts per thousand or ppt)</w:t>
            </w:r>
          </w:p>
        </w:tc>
        <w:tc>
          <w:tcPr>
            <w:tcW w:w="431" w:type="dxa"/>
            <w:shd w:val="clear" w:color="auto" w:fill="FFFFFF" w:themeFill="background1"/>
            <w:noWrap/>
            <w:vAlign w:val="center"/>
          </w:tcPr>
          <w:p w14:paraId="4E96D6C2"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0BB9B675"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6E996225" w14:textId="64CD9678" w:rsidR="00D374BC" w:rsidRPr="00BD6DFF" w:rsidRDefault="00D374BC" w:rsidP="00D374BC">
            <w:pPr>
              <w:jc w:val="both"/>
              <w:rPr>
                <w:rFonts w:ascii="Arial" w:hAnsi="Arial"/>
                <w:bCs/>
                <w:spacing w:val="-2"/>
                <w:sz w:val="18"/>
                <w:szCs w:val="18"/>
              </w:rPr>
            </w:pPr>
            <w:r>
              <w:rPr>
                <w:rFonts w:ascii="Arial" w:hAnsi="Arial"/>
                <w:bCs/>
                <w:spacing w:val="-2"/>
                <w:sz w:val="18"/>
                <w:szCs w:val="18"/>
              </w:rPr>
              <w:t xml:space="preserve">ppt is equivalent to </w:t>
            </w:r>
            <w:r w:rsidRPr="003745E4">
              <w:rPr>
                <w:rFonts w:ascii="Arial" w:hAnsi="Arial"/>
                <w:bCs/>
                <w:spacing w:val="-2"/>
                <w:sz w:val="18"/>
                <w:szCs w:val="18"/>
              </w:rPr>
              <w:t>Practical Salinity Units</w:t>
            </w:r>
            <w:r>
              <w:rPr>
                <w:rFonts w:ascii="Arial" w:hAnsi="Arial"/>
                <w:bCs/>
                <w:spacing w:val="-2"/>
                <w:sz w:val="18"/>
                <w:szCs w:val="18"/>
              </w:rPr>
              <w:t xml:space="preserve"> (PSU).</w:t>
            </w:r>
          </w:p>
        </w:tc>
      </w:tr>
      <w:tr w:rsidR="00D374BC" w:rsidRPr="00A0149B" w14:paraId="2DDBE786" w14:textId="77777777" w:rsidTr="00B6519D">
        <w:trPr>
          <w:trHeight w:val="264"/>
        </w:trPr>
        <w:tc>
          <w:tcPr>
            <w:tcW w:w="350" w:type="dxa"/>
            <w:tcBorders>
              <w:top w:val="single" w:sz="4" w:space="0" w:color="auto"/>
            </w:tcBorders>
            <w:shd w:val="clear" w:color="auto" w:fill="FFFFFF" w:themeFill="background1"/>
            <w:noWrap/>
            <w:vAlign w:val="center"/>
          </w:tcPr>
          <w:p w14:paraId="60EA981B"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22DA1B7A" w14:textId="61B672DC" w:rsidR="00D374BC" w:rsidRDefault="00D374BC" w:rsidP="00D374BC">
            <w:pPr>
              <w:ind w:left="646"/>
              <w:jc w:val="both"/>
              <w:rPr>
                <w:rFonts w:ascii="Arial" w:hAnsi="Arial"/>
                <w:spacing w:val="-2"/>
                <w:sz w:val="18"/>
                <w:szCs w:val="18"/>
              </w:rPr>
            </w:pPr>
            <w:r>
              <w:rPr>
                <w:rFonts w:ascii="Arial" w:hAnsi="Arial"/>
                <w:spacing w:val="-2"/>
                <w:sz w:val="18"/>
                <w:szCs w:val="18"/>
              </w:rPr>
              <w:t>Final value to be reported</w:t>
            </w:r>
          </w:p>
        </w:tc>
        <w:tc>
          <w:tcPr>
            <w:tcW w:w="431" w:type="dxa"/>
            <w:shd w:val="clear" w:color="auto" w:fill="FFFFFF" w:themeFill="background1"/>
            <w:noWrap/>
            <w:vAlign w:val="center"/>
          </w:tcPr>
          <w:p w14:paraId="245CDEBB"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19D96362"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43C669F6" w14:textId="77777777" w:rsidR="00D374BC" w:rsidRPr="00BD6DFF" w:rsidRDefault="00D374BC" w:rsidP="00D374BC">
            <w:pPr>
              <w:jc w:val="both"/>
              <w:rPr>
                <w:rFonts w:ascii="Arial" w:hAnsi="Arial"/>
                <w:bCs/>
                <w:spacing w:val="-2"/>
                <w:sz w:val="18"/>
                <w:szCs w:val="18"/>
              </w:rPr>
            </w:pPr>
          </w:p>
        </w:tc>
      </w:tr>
      <w:tr w:rsidR="00D374BC" w:rsidRPr="00A0149B" w14:paraId="0602B07D" w14:textId="77777777" w:rsidTr="00B6519D">
        <w:trPr>
          <w:trHeight w:val="264"/>
        </w:trPr>
        <w:tc>
          <w:tcPr>
            <w:tcW w:w="350" w:type="dxa"/>
            <w:tcBorders>
              <w:top w:val="single" w:sz="4" w:space="0" w:color="auto"/>
            </w:tcBorders>
            <w:shd w:val="clear" w:color="auto" w:fill="FFFFFF" w:themeFill="background1"/>
            <w:noWrap/>
            <w:vAlign w:val="center"/>
          </w:tcPr>
          <w:p w14:paraId="684DBB65"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091B08FB" w14:textId="1F1C2B3B" w:rsidR="00D374BC" w:rsidRDefault="00D374BC" w:rsidP="00D374BC">
            <w:pPr>
              <w:ind w:left="646"/>
              <w:jc w:val="both"/>
              <w:rPr>
                <w:rFonts w:ascii="Arial" w:hAnsi="Arial"/>
                <w:spacing w:val="-2"/>
                <w:sz w:val="18"/>
                <w:szCs w:val="18"/>
              </w:rPr>
            </w:pPr>
            <w:r>
              <w:rPr>
                <w:rFonts w:ascii="Arial" w:hAnsi="Arial"/>
                <w:spacing w:val="-2"/>
                <w:sz w:val="18"/>
                <w:szCs w:val="18"/>
              </w:rPr>
              <w:t>Facility ID or Permit number [</w:t>
            </w:r>
            <w:r w:rsidRPr="008F467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Salinity]</w:t>
            </w:r>
          </w:p>
        </w:tc>
        <w:tc>
          <w:tcPr>
            <w:tcW w:w="431" w:type="dxa"/>
            <w:shd w:val="clear" w:color="auto" w:fill="FFFFFF" w:themeFill="background1"/>
            <w:noWrap/>
            <w:vAlign w:val="center"/>
          </w:tcPr>
          <w:p w14:paraId="6D343F40"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086B71B0"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1CF53519" w14:textId="1C3A348E" w:rsidR="00D374BC" w:rsidRPr="00BD6DFF" w:rsidRDefault="00D374BC" w:rsidP="00D374BC">
            <w:pPr>
              <w:jc w:val="both"/>
              <w:rPr>
                <w:rFonts w:ascii="Arial" w:hAnsi="Arial"/>
                <w:bCs/>
                <w:spacing w:val="-2"/>
                <w:sz w:val="18"/>
                <w:szCs w:val="18"/>
              </w:rPr>
            </w:pPr>
            <w:r>
              <w:rPr>
                <w:rFonts w:ascii="Arial" w:hAnsi="Arial"/>
                <w:bCs/>
                <w:spacing w:val="-2"/>
                <w:sz w:val="18"/>
                <w:szCs w:val="18"/>
              </w:rPr>
              <w:t>If different than the Laboratory ID</w:t>
            </w:r>
          </w:p>
        </w:tc>
      </w:tr>
      <w:tr w:rsidR="00D374BC" w:rsidRPr="00A0149B" w14:paraId="352EA17E" w14:textId="77777777" w:rsidTr="00B6519D">
        <w:trPr>
          <w:trHeight w:val="264"/>
        </w:trPr>
        <w:tc>
          <w:tcPr>
            <w:tcW w:w="350" w:type="dxa"/>
            <w:tcBorders>
              <w:top w:val="single" w:sz="4" w:space="0" w:color="auto"/>
            </w:tcBorders>
            <w:shd w:val="clear" w:color="auto" w:fill="FFFFFF" w:themeFill="background1"/>
            <w:noWrap/>
            <w:vAlign w:val="center"/>
          </w:tcPr>
          <w:p w14:paraId="10986F7D" w14:textId="77777777" w:rsidR="00D374BC"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42F9CEC6" w14:textId="53EA0AFB" w:rsidR="00D374BC" w:rsidRDefault="00D374BC" w:rsidP="00D374BC">
            <w:pPr>
              <w:ind w:left="646"/>
              <w:jc w:val="both"/>
              <w:rPr>
                <w:rFonts w:ascii="Arial" w:hAnsi="Arial"/>
                <w:spacing w:val="-2"/>
                <w:sz w:val="18"/>
                <w:szCs w:val="18"/>
              </w:rPr>
            </w:pPr>
            <w:r>
              <w:rPr>
                <w:rFonts w:ascii="Arial" w:hAnsi="Arial"/>
                <w:spacing w:val="-2"/>
                <w:sz w:val="18"/>
                <w:szCs w:val="18"/>
              </w:rPr>
              <w:t>Parameter analyzed [</w:t>
            </w:r>
            <w:r w:rsidRPr="008F467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Salinity]</w:t>
            </w:r>
          </w:p>
        </w:tc>
        <w:tc>
          <w:tcPr>
            <w:tcW w:w="431" w:type="dxa"/>
            <w:shd w:val="clear" w:color="auto" w:fill="FFFFFF" w:themeFill="background1"/>
            <w:noWrap/>
            <w:vAlign w:val="center"/>
          </w:tcPr>
          <w:p w14:paraId="047E5CE6" w14:textId="77777777" w:rsidR="00D374BC" w:rsidRPr="00560E41" w:rsidRDefault="00D374BC" w:rsidP="00D374BC">
            <w:pPr>
              <w:jc w:val="center"/>
              <w:rPr>
                <w:rFonts w:ascii="Arial" w:hAnsi="Arial" w:cs="Arial"/>
                <w:b/>
                <w:sz w:val="18"/>
                <w:szCs w:val="18"/>
              </w:rPr>
            </w:pPr>
          </w:p>
        </w:tc>
        <w:tc>
          <w:tcPr>
            <w:tcW w:w="422" w:type="dxa"/>
            <w:shd w:val="clear" w:color="auto" w:fill="FFFFFF" w:themeFill="background1"/>
            <w:noWrap/>
            <w:vAlign w:val="center"/>
          </w:tcPr>
          <w:p w14:paraId="7EBE844B" w14:textId="77777777" w:rsidR="00D374BC" w:rsidRPr="00560E41" w:rsidRDefault="00D374BC" w:rsidP="00D374BC">
            <w:pPr>
              <w:jc w:val="center"/>
              <w:rPr>
                <w:rFonts w:ascii="Arial" w:hAnsi="Arial" w:cs="Arial"/>
                <w:b/>
                <w:sz w:val="18"/>
                <w:szCs w:val="18"/>
              </w:rPr>
            </w:pPr>
          </w:p>
        </w:tc>
        <w:tc>
          <w:tcPr>
            <w:tcW w:w="4896" w:type="dxa"/>
            <w:shd w:val="clear" w:color="auto" w:fill="FFFFFF" w:themeFill="background1"/>
            <w:vAlign w:val="center"/>
          </w:tcPr>
          <w:p w14:paraId="6DE63FE8" w14:textId="77777777" w:rsidR="00D374BC" w:rsidRPr="00BD6DFF" w:rsidRDefault="00D374BC" w:rsidP="00D374BC">
            <w:pPr>
              <w:jc w:val="both"/>
              <w:rPr>
                <w:rFonts w:ascii="Arial" w:hAnsi="Arial"/>
                <w:bCs/>
                <w:spacing w:val="-2"/>
                <w:sz w:val="18"/>
                <w:szCs w:val="18"/>
              </w:rPr>
            </w:pPr>
          </w:p>
        </w:tc>
      </w:tr>
      <w:tr w:rsidR="00D374BC" w:rsidRPr="00A0149B" w14:paraId="4978E94D" w14:textId="77777777" w:rsidTr="00B6519D">
        <w:trPr>
          <w:trHeight w:val="264"/>
        </w:trPr>
        <w:tc>
          <w:tcPr>
            <w:tcW w:w="350" w:type="dxa"/>
            <w:tcBorders>
              <w:top w:val="single" w:sz="4" w:space="0" w:color="auto"/>
            </w:tcBorders>
            <w:shd w:val="clear" w:color="auto" w:fill="D9D9D9" w:themeFill="background1" w:themeFillShade="D9"/>
            <w:noWrap/>
            <w:vAlign w:val="center"/>
          </w:tcPr>
          <w:p w14:paraId="5A691510" w14:textId="77777777" w:rsidR="00D374BC" w:rsidRPr="00A0149B" w:rsidRDefault="00D374BC" w:rsidP="00D374BC">
            <w:pPr>
              <w:pStyle w:val="ListParagraph"/>
              <w:rPr>
                <w:rFonts w:ascii="Arial" w:hAnsi="Arial" w:cs="Arial"/>
                <w:sz w:val="18"/>
                <w:szCs w:val="18"/>
              </w:rPr>
            </w:pPr>
          </w:p>
        </w:tc>
        <w:tc>
          <w:tcPr>
            <w:tcW w:w="4896" w:type="dxa"/>
            <w:tcBorders>
              <w:top w:val="single" w:sz="4" w:space="0" w:color="auto"/>
            </w:tcBorders>
            <w:shd w:val="clear" w:color="auto" w:fill="D9D9D9" w:themeFill="background1" w:themeFillShade="D9"/>
            <w:noWrap/>
            <w:vAlign w:val="center"/>
          </w:tcPr>
          <w:p w14:paraId="0C59F197"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PRESERVATION and STORAGE</w:t>
            </w:r>
          </w:p>
        </w:tc>
        <w:tc>
          <w:tcPr>
            <w:tcW w:w="431" w:type="dxa"/>
            <w:shd w:val="clear" w:color="auto" w:fill="D9D9D9" w:themeFill="background1" w:themeFillShade="D9"/>
            <w:noWrap/>
            <w:vAlign w:val="center"/>
          </w:tcPr>
          <w:p w14:paraId="7195DB1C" w14:textId="77777777" w:rsidR="00D374BC" w:rsidRDefault="00D374BC" w:rsidP="00D374BC">
            <w:pPr>
              <w:jc w:val="both"/>
              <w:rPr>
                <w:rFonts w:ascii="Arial" w:hAnsi="Arial" w:cs="Arial"/>
                <w:b/>
                <w:sz w:val="18"/>
                <w:szCs w:val="18"/>
              </w:rPr>
            </w:pPr>
            <w:r>
              <w:rPr>
                <w:rFonts w:ascii="Arial" w:hAnsi="Arial" w:cs="Arial"/>
                <w:b/>
                <w:sz w:val="18"/>
                <w:szCs w:val="18"/>
              </w:rPr>
              <w:t>LAB</w:t>
            </w:r>
          </w:p>
        </w:tc>
        <w:tc>
          <w:tcPr>
            <w:tcW w:w="422" w:type="dxa"/>
            <w:shd w:val="clear" w:color="auto" w:fill="D9D9D9" w:themeFill="background1" w:themeFillShade="D9"/>
            <w:noWrap/>
            <w:vAlign w:val="center"/>
          </w:tcPr>
          <w:p w14:paraId="1D03B64A" w14:textId="77777777" w:rsidR="00D374BC" w:rsidRDefault="00D374BC" w:rsidP="00D374BC">
            <w:pPr>
              <w:jc w:val="both"/>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3274E4C3"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EXPLANATION</w:t>
            </w:r>
          </w:p>
        </w:tc>
      </w:tr>
      <w:tr w:rsidR="00D374BC" w:rsidRPr="00A0149B" w14:paraId="6850F462" w14:textId="77777777" w:rsidTr="00B6519D">
        <w:trPr>
          <w:trHeight w:val="264"/>
        </w:trPr>
        <w:tc>
          <w:tcPr>
            <w:tcW w:w="350" w:type="dxa"/>
            <w:tcBorders>
              <w:top w:val="single" w:sz="4" w:space="0" w:color="auto"/>
            </w:tcBorders>
            <w:noWrap/>
            <w:vAlign w:val="center"/>
          </w:tcPr>
          <w:p w14:paraId="3E9B0E5B" w14:textId="5867B20C" w:rsidR="00D374BC" w:rsidRPr="00A0149B" w:rsidRDefault="00D374BC" w:rsidP="00D374BC">
            <w:pPr>
              <w:pStyle w:val="ListParagraph"/>
              <w:numPr>
                <w:ilvl w:val="0"/>
                <w:numId w:val="6"/>
              </w:numPr>
              <w:ind w:left="0" w:firstLine="0"/>
              <w:rPr>
                <w:rFonts w:ascii="Arial" w:hAnsi="Arial" w:cs="Arial"/>
                <w:sz w:val="18"/>
                <w:szCs w:val="18"/>
              </w:rPr>
            </w:pPr>
          </w:p>
        </w:tc>
        <w:tc>
          <w:tcPr>
            <w:tcW w:w="4896" w:type="dxa"/>
            <w:tcBorders>
              <w:top w:val="single" w:sz="4" w:space="0" w:color="auto"/>
            </w:tcBorders>
            <w:noWrap/>
            <w:vAlign w:val="center"/>
          </w:tcPr>
          <w:p w14:paraId="5D829BAA" w14:textId="16B32C29" w:rsidR="00D374BC" w:rsidRPr="00A0149B" w:rsidRDefault="00D374BC" w:rsidP="00D374BC">
            <w:pPr>
              <w:jc w:val="both"/>
              <w:rPr>
                <w:rFonts w:ascii="Arial" w:hAnsi="Arial" w:cs="Arial"/>
                <w:sz w:val="18"/>
                <w:szCs w:val="18"/>
              </w:rPr>
            </w:pPr>
            <w:r w:rsidRPr="00A852DD">
              <w:rPr>
                <w:rFonts w:ascii="Arial" w:hAnsi="Arial" w:cs="Arial" w:hint="eastAsia"/>
                <w:sz w:val="18"/>
                <w:szCs w:val="18"/>
              </w:rPr>
              <w:t xml:space="preserve">Are samples </w:t>
            </w:r>
            <w:proofErr w:type="gramStart"/>
            <w:r w:rsidRPr="00A852DD">
              <w:rPr>
                <w:rFonts w:ascii="Arial" w:hAnsi="Arial" w:cs="Arial" w:hint="eastAsia"/>
                <w:sz w:val="18"/>
                <w:szCs w:val="18"/>
              </w:rPr>
              <w:t>iced to</w:t>
            </w:r>
            <w:proofErr w:type="gramEnd"/>
            <w:r w:rsidRPr="00A852DD">
              <w:rPr>
                <w:rFonts w:ascii="Arial" w:hAnsi="Arial" w:cs="Arial" w:hint="eastAsia"/>
                <w:sz w:val="18"/>
                <w:szCs w:val="18"/>
              </w:rPr>
              <w:t xml:space="preserve"> above freezing but </w:t>
            </w:r>
            <w:r>
              <w:rPr>
                <w:rFonts w:ascii="Arial" w:hAnsi="Arial" w:cs="Arial"/>
                <w:sz w:val="18"/>
                <w:szCs w:val="18"/>
              </w:rPr>
              <w:t>≤</w:t>
            </w:r>
            <w:r w:rsidRPr="00A852DD">
              <w:rPr>
                <w:rFonts w:ascii="Arial" w:hAnsi="Arial" w:cs="Arial" w:hint="eastAsia"/>
                <w:sz w:val="18"/>
                <w:szCs w:val="18"/>
              </w:rPr>
              <w:t xml:space="preserve"> 6 </w:t>
            </w:r>
            <w:r w:rsidRPr="00A852DD">
              <w:rPr>
                <w:rFonts w:ascii="Arial" w:hAnsi="Arial" w:cs="Arial" w:hint="eastAsia"/>
                <w:sz w:val="18"/>
                <w:szCs w:val="18"/>
              </w:rPr>
              <w:t>º</w:t>
            </w:r>
            <w:r w:rsidRPr="00A852DD">
              <w:rPr>
                <w:rFonts w:ascii="Arial" w:hAnsi="Arial" w:cs="Arial" w:hint="eastAsia"/>
                <w:sz w:val="18"/>
                <w:szCs w:val="18"/>
              </w:rPr>
              <w:t>C during shipment?  [40 CFR 136.3 Table II and footnote 18]</w:t>
            </w:r>
            <w:r>
              <w:t xml:space="preserve"> </w:t>
            </w:r>
            <w:r w:rsidRPr="00C85AA4">
              <w:rPr>
                <w:rFonts w:ascii="Arial" w:hAnsi="Arial" w:cs="Arial"/>
                <w:sz w:val="18"/>
                <w:szCs w:val="18"/>
              </w:rPr>
              <w:t>[NC WW/GW LC</w:t>
            </w:r>
            <w:r>
              <w:rPr>
                <w:rFonts w:ascii="Arial" w:hAnsi="Arial" w:cs="Arial"/>
                <w:sz w:val="18"/>
                <w:szCs w:val="18"/>
              </w:rPr>
              <w:t>B</w:t>
            </w:r>
            <w:r w:rsidRPr="00C85AA4">
              <w:rPr>
                <w:rFonts w:ascii="Arial" w:hAnsi="Arial" w:cs="Arial"/>
                <w:sz w:val="18"/>
                <w:szCs w:val="18"/>
              </w:rPr>
              <w:t xml:space="preserve"> Approved Procedure for the Analysis of Salinity]</w:t>
            </w:r>
          </w:p>
        </w:tc>
        <w:tc>
          <w:tcPr>
            <w:tcW w:w="431" w:type="dxa"/>
            <w:noWrap/>
            <w:vAlign w:val="center"/>
          </w:tcPr>
          <w:p w14:paraId="769AA418" w14:textId="77777777" w:rsidR="00D374BC" w:rsidRPr="00A0149B" w:rsidRDefault="00D374BC" w:rsidP="00D374BC">
            <w:pPr>
              <w:rPr>
                <w:rFonts w:ascii="Arial" w:hAnsi="Arial" w:cs="Arial"/>
                <w:sz w:val="18"/>
                <w:szCs w:val="18"/>
              </w:rPr>
            </w:pPr>
          </w:p>
        </w:tc>
        <w:tc>
          <w:tcPr>
            <w:tcW w:w="422" w:type="dxa"/>
            <w:noWrap/>
            <w:vAlign w:val="center"/>
          </w:tcPr>
          <w:p w14:paraId="259616AB" w14:textId="77777777" w:rsidR="00D374BC" w:rsidRPr="00A0149B" w:rsidRDefault="00D374BC" w:rsidP="00D374BC">
            <w:pPr>
              <w:rPr>
                <w:rFonts w:ascii="Arial" w:hAnsi="Arial" w:cs="Arial"/>
                <w:sz w:val="18"/>
                <w:szCs w:val="18"/>
              </w:rPr>
            </w:pPr>
          </w:p>
        </w:tc>
        <w:tc>
          <w:tcPr>
            <w:tcW w:w="4896" w:type="dxa"/>
            <w:vAlign w:val="center"/>
          </w:tcPr>
          <w:p w14:paraId="09F071F8" w14:textId="77777777" w:rsidR="00D374BC" w:rsidRPr="00A0149B" w:rsidRDefault="00D374BC" w:rsidP="00D374BC">
            <w:pPr>
              <w:jc w:val="both"/>
              <w:rPr>
                <w:rFonts w:ascii="Arial" w:hAnsi="Arial" w:cs="Arial"/>
                <w:sz w:val="18"/>
                <w:szCs w:val="18"/>
              </w:rPr>
            </w:pPr>
            <w:r w:rsidRPr="00A852DD">
              <w:rPr>
                <w:rFonts w:ascii="Arial" w:hAnsi="Arial" w:cs="Arial"/>
                <w:sz w:val="18"/>
                <w:szCs w:val="18"/>
              </w:rPr>
              <w:t xml:space="preserve">40 CFR footnote 2 allows 15 minutes for sample preservation, including thermal. This means that if a sample is received in the lab within 15 minutes it is not required to be on ice. Document temperature downward trend for short transport samples. </w:t>
            </w:r>
          </w:p>
        </w:tc>
      </w:tr>
      <w:tr w:rsidR="00D374BC" w:rsidRPr="00A0149B" w14:paraId="4BCEA47A" w14:textId="77777777" w:rsidTr="00B6519D">
        <w:trPr>
          <w:trHeight w:val="264"/>
        </w:trPr>
        <w:tc>
          <w:tcPr>
            <w:tcW w:w="350" w:type="dxa"/>
            <w:noWrap/>
            <w:vAlign w:val="center"/>
          </w:tcPr>
          <w:p w14:paraId="04BC43C6" w14:textId="341D0579" w:rsidR="00D374BC" w:rsidRPr="00A0149B" w:rsidRDefault="00D374BC" w:rsidP="00D374BC">
            <w:pPr>
              <w:pStyle w:val="ListParagraph"/>
              <w:numPr>
                <w:ilvl w:val="0"/>
                <w:numId w:val="6"/>
              </w:numPr>
              <w:ind w:left="0" w:firstLine="0"/>
              <w:jc w:val="center"/>
              <w:rPr>
                <w:rFonts w:ascii="Arial" w:hAnsi="Arial" w:cs="Arial"/>
                <w:sz w:val="18"/>
                <w:szCs w:val="18"/>
              </w:rPr>
            </w:pPr>
          </w:p>
        </w:tc>
        <w:tc>
          <w:tcPr>
            <w:tcW w:w="4896" w:type="dxa"/>
            <w:noWrap/>
            <w:vAlign w:val="center"/>
          </w:tcPr>
          <w:p w14:paraId="4580B32F" w14:textId="1908F41D" w:rsidR="00D374BC" w:rsidRPr="0067392B" w:rsidRDefault="00D374BC" w:rsidP="00D374BC">
            <w:pPr>
              <w:jc w:val="both"/>
              <w:rPr>
                <w:rFonts w:ascii="Arial" w:hAnsi="Arial" w:cs="Arial"/>
                <w:sz w:val="18"/>
                <w:szCs w:val="18"/>
              </w:rPr>
            </w:pPr>
            <w:r w:rsidRPr="00272BCC">
              <w:rPr>
                <w:rFonts w:ascii="Arial" w:hAnsi="Arial" w:cs="Arial"/>
                <w:sz w:val="18"/>
                <w:szCs w:val="18"/>
              </w:rPr>
              <w:t>Are samples refrigerated above freezing to 6°C during storage?  [40 CFR 136.3 Table II and footnote 18]</w:t>
            </w:r>
            <w:r>
              <w:t xml:space="preserve"> </w:t>
            </w:r>
            <w:r w:rsidRPr="00C85AA4">
              <w:rPr>
                <w:rFonts w:ascii="Arial" w:hAnsi="Arial" w:cs="Arial"/>
                <w:sz w:val="18"/>
                <w:szCs w:val="18"/>
              </w:rPr>
              <w:t>[NC WW/GW LC</w:t>
            </w:r>
            <w:r>
              <w:rPr>
                <w:rFonts w:ascii="Arial" w:hAnsi="Arial" w:cs="Arial"/>
                <w:sz w:val="18"/>
                <w:szCs w:val="18"/>
              </w:rPr>
              <w:t>B</w:t>
            </w:r>
            <w:r w:rsidRPr="00C85AA4">
              <w:rPr>
                <w:rFonts w:ascii="Arial" w:hAnsi="Arial" w:cs="Arial"/>
                <w:sz w:val="18"/>
                <w:szCs w:val="18"/>
              </w:rPr>
              <w:t xml:space="preserve"> Approved Procedure for the Analysis of Salinity]</w:t>
            </w:r>
          </w:p>
        </w:tc>
        <w:tc>
          <w:tcPr>
            <w:tcW w:w="431" w:type="dxa"/>
            <w:noWrap/>
            <w:vAlign w:val="center"/>
          </w:tcPr>
          <w:p w14:paraId="7566EB03" w14:textId="77777777" w:rsidR="00D374BC" w:rsidRPr="00A0149B" w:rsidRDefault="00D374BC" w:rsidP="00D374BC">
            <w:pPr>
              <w:rPr>
                <w:rFonts w:ascii="Arial" w:hAnsi="Arial" w:cs="Arial"/>
                <w:sz w:val="18"/>
                <w:szCs w:val="18"/>
              </w:rPr>
            </w:pPr>
          </w:p>
        </w:tc>
        <w:tc>
          <w:tcPr>
            <w:tcW w:w="422" w:type="dxa"/>
            <w:noWrap/>
            <w:vAlign w:val="center"/>
          </w:tcPr>
          <w:p w14:paraId="0852C33C" w14:textId="77777777" w:rsidR="00D374BC" w:rsidRPr="00A0149B" w:rsidRDefault="00D374BC" w:rsidP="00D374BC">
            <w:pPr>
              <w:rPr>
                <w:rFonts w:ascii="Arial" w:hAnsi="Arial" w:cs="Arial"/>
                <w:sz w:val="18"/>
                <w:szCs w:val="18"/>
              </w:rPr>
            </w:pPr>
          </w:p>
        </w:tc>
        <w:tc>
          <w:tcPr>
            <w:tcW w:w="4896" w:type="dxa"/>
            <w:vAlign w:val="center"/>
          </w:tcPr>
          <w:p w14:paraId="6A18930F" w14:textId="24363D46" w:rsidR="00D374BC" w:rsidRPr="00A0149B" w:rsidRDefault="00D374BC" w:rsidP="00D374BC">
            <w:pPr>
              <w:jc w:val="both"/>
              <w:rPr>
                <w:rFonts w:ascii="Arial" w:hAnsi="Arial" w:cs="Arial"/>
                <w:sz w:val="18"/>
                <w:szCs w:val="18"/>
              </w:rPr>
            </w:pPr>
            <w:r>
              <w:rPr>
                <w:rFonts w:ascii="Arial" w:hAnsi="Arial" w:cs="Arial"/>
                <w:sz w:val="18"/>
                <w:szCs w:val="18"/>
              </w:rPr>
              <w:t>Samples analyzed within 15 minutes of collection require no thermal preservation.</w:t>
            </w:r>
          </w:p>
        </w:tc>
      </w:tr>
      <w:tr w:rsidR="00D374BC" w:rsidRPr="00A0149B" w14:paraId="31D23A13" w14:textId="77777777" w:rsidTr="00B6519D">
        <w:trPr>
          <w:trHeight w:val="264"/>
        </w:trPr>
        <w:tc>
          <w:tcPr>
            <w:tcW w:w="350" w:type="dxa"/>
            <w:tcBorders>
              <w:bottom w:val="single" w:sz="4" w:space="0" w:color="auto"/>
            </w:tcBorders>
            <w:noWrap/>
            <w:vAlign w:val="center"/>
          </w:tcPr>
          <w:p w14:paraId="5188CA17" w14:textId="40E53487" w:rsidR="00D374BC" w:rsidRPr="00A0149B" w:rsidRDefault="00D374BC" w:rsidP="00D374BC">
            <w:pPr>
              <w:pStyle w:val="ListParagraph"/>
              <w:numPr>
                <w:ilvl w:val="0"/>
                <w:numId w:val="6"/>
              </w:numPr>
              <w:ind w:left="0" w:firstLine="0"/>
              <w:rPr>
                <w:rFonts w:ascii="Arial" w:hAnsi="Arial" w:cs="Arial"/>
                <w:sz w:val="18"/>
                <w:szCs w:val="18"/>
              </w:rPr>
            </w:pPr>
          </w:p>
        </w:tc>
        <w:tc>
          <w:tcPr>
            <w:tcW w:w="4896" w:type="dxa"/>
            <w:tcBorders>
              <w:bottom w:val="single" w:sz="4" w:space="0" w:color="auto"/>
            </w:tcBorders>
            <w:noWrap/>
            <w:vAlign w:val="center"/>
          </w:tcPr>
          <w:p w14:paraId="07BDB22B" w14:textId="0789C0B9" w:rsidR="00D374BC" w:rsidRPr="00A0149B" w:rsidRDefault="00D374BC" w:rsidP="00D374BC">
            <w:pPr>
              <w:jc w:val="both"/>
              <w:rPr>
                <w:rFonts w:ascii="Arial" w:hAnsi="Arial" w:cs="Arial"/>
                <w:sz w:val="18"/>
                <w:szCs w:val="18"/>
              </w:rPr>
            </w:pPr>
            <w:r w:rsidRPr="00272BCC">
              <w:rPr>
                <w:rFonts w:ascii="Arial" w:hAnsi="Arial" w:cs="Arial"/>
                <w:sz w:val="18"/>
                <w:szCs w:val="18"/>
              </w:rPr>
              <w:t xml:space="preserve">Are samples analyzed within </w:t>
            </w:r>
            <w:r>
              <w:rPr>
                <w:rFonts w:ascii="Arial" w:hAnsi="Arial" w:cs="Arial"/>
                <w:sz w:val="18"/>
                <w:szCs w:val="18"/>
              </w:rPr>
              <w:t>28</w:t>
            </w:r>
            <w:r w:rsidRPr="00272BCC">
              <w:rPr>
                <w:rFonts w:ascii="Arial" w:hAnsi="Arial" w:cs="Arial"/>
                <w:sz w:val="18"/>
                <w:szCs w:val="18"/>
              </w:rPr>
              <w:t xml:space="preserve"> days of collection? [40 CFR 136.3 Table II]</w:t>
            </w:r>
            <w:r>
              <w:t xml:space="preserve"> </w:t>
            </w:r>
            <w:r w:rsidRPr="008F4674">
              <w:rPr>
                <w:rFonts w:ascii="Arial" w:hAnsi="Arial" w:cs="Arial"/>
                <w:sz w:val="18"/>
                <w:szCs w:val="18"/>
              </w:rPr>
              <w:t>[NC WW/GW LC</w:t>
            </w:r>
            <w:r>
              <w:rPr>
                <w:rFonts w:ascii="Arial" w:hAnsi="Arial" w:cs="Arial"/>
                <w:sz w:val="18"/>
                <w:szCs w:val="18"/>
              </w:rPr>
              <w:t>B</w:t>
            </w:r>
            <w:r w:rsidRPr="008F4674">
              <w:rPr>
                <w:rFonts w:ascii="Arial" w:hAnsi="Arial" w:cs="Arial"/>
                <w:sz w:val="18"/>
                <w:szCs w:val="18"/>
              </w:rPr>
              <w:t xml:space="preserve"> Approved Procedure for the Analysis of Salinity]</w:t>
            </w:r>
          </w:p>
        </w:tc>
        <w:tc>
          <w:tcPr>
            <w:tcW w:w="431" w:type="dxa"/>
            <w:tcBorders>
              <w:bottom w:val="single" w:sz="4" w:space="0" w:color="auto"/>
            </w:tcBorders>
            <w:noWrap/>
            <w:vAlign w:val="center"/>
          </w:tcPr>
          <w:p w14:paraId="1368DEFC" w14:textId="77777777" w:rsidR="00D374BC" w:rsidRPr="00A0149B" w:rsidRDefault="00D374BC" w:rsidP="00D374BC">
            <w:pPr>
              <w:rPr>
                <w:rFonts w:ascii="Arial" w:hAnsi="Arial" w:cs="Arial"/>
                <w:sz w:val="18"/>
                <w:szCs w:val="18"/>
              </w:rPr>
            </w:pPr>
          </w:p>
        </w:tc>
        <w:tc>
          <w:tcPr>
            <w:tcW w:w="422" w:type="dxa"/>
            <w:tcBorders>
              <w:bottom w:val="single" w:sz="4" w:space="0" w:color="auto"/>
            </w:tcBorders>
            <w:noWrap/>
            <w:vAlign w:val="center"/>
          </w:tcPr>
          <w:p w14:paraId="393F2856" w14:textId="77777777" w:rsidR="00D374BC" w:rsidRPr="00A0149B" w:rsidRDefault="00D374BC" w:rsidP="00D374BC">
            <w:pPr>
              <w:rPr>
                <w:rFonts w:ascii="Arial" w:hAnsi="Arial" w:cs="Arial"/>
                <w:sz w:val="18"/>
                <w:szCs w:val="18"/>
              </w:rPr>
            </w:pPr>
          </w:p>
        </w:tc>
        <w:tc>
          <w:tcPr>
            <w:tcW w:w="4896" w:type="dxa"/>
            <w:tcBorders>
              <w:bottom w:val="single" w:sz="4" w:space="0" w:color="auto"/>
            </w:tcBorders>
            <w:vAlign w:val="center"/>
          </w:tcPr>
          <w:p w14:paraId="46FB4D53" w14:textId="7A282158" w:rsidR="00D374BC" w:rsidRPr="00A0149B" w:rsidRDefault="00D374BC" w:rsidP="00D374BC">
            <w:pPr>
              <w:jc w:val="both"/>
              <w:rPr>
                <w:rFonts w:ascii="Arial" w:hAnsi="Arial" w:cs="Arial"/>
                <w:sz w:val="18"/>
                <w:szCs w:val="18"/>
              </w:rPr>
            </w:pPr>
            <w:r w:rsidRPr="008F4674">
              <w:rPr>
                <w:rFonts w:ascii="Arial" w:hAnsi="Arial" w:cs="Arial"/>
                <w:sz w:val="18"/>
                <w:szCs w:val="18"/>
              </w:rPr>
              <w:t>Samples must be analyzed within 28 days of collection based on the holding time of Conductivity in 40 CFR Part 136.3 Table II per EPA Region 4.</w:t>
            </w:r>
          </w:p>
        </w:tc>
      </w:tr>
      <w:tr w:rsidR="00D374BC" w:rsidRPr="00A0149B" w14:paraId="5F1AA0BE" w14:textId="77777777" w:rsidTr="00B6519D">
        <w:trPr>
          <w:trHeight w:val="264"/>
        </w:trPr>
        <w:tc>
          <w:tcPr>
            <w:tcW w:w="350" w:type="dxa"/>
            <w:shd w:val="clear" w:color="auto" w:fill="D9D9D9" w:themeFill="background1" w:themeFillShade="D9"/>
            <w:noWrap/>
            <w:vAlign w:val="center"/>
          </w:tcPr>
          <w:p w14:paraId="690ACB55" w14:textId="77777777" w:rsidR="00D374BC" w:rsidRPr="00A0149B" w:rsidRDefault="00D374BC" w:rsidP="00D374BC">
            <w:pPr>
              <w:pStyle w:val="ListParagraph"/>
              <w:rPr>
                <w:rFonts w:ascii="Arial" w:hAnsi="Arial" w:cs="Arial"/>
                <w:sz w:val="18"/>
                <w:szCs w:val="18"/>
              </w:rPr>
            </w:pPr>
          </w:p>
        </w:tc>
        <w:tc>
          <w:tcPr>
            <w:tcW w:w="4896" w:type="dxa"/>
            <w:shd w:val="clear" w:color="auto" w:fill="D9D9D9" w:themeFill="background1" w:themeFillShade="D9"/>
            <w:noWrap/>
            <w:vAlign w:val="center"/>
          </w:tcPr>
          <w:p w14:paraId="5E277350"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PROCEDURE – Meter Calibration</w:t>
            </w:r>
          </w:p>
        </w:tc>
        <w:tc>
          <w:tcPr>
            <w:tcW w:w="431" w:type="dxa"/>
            <w:tcBorders>
              <w:bottom w:val="single" w:sz="4" w:space="0" w:color="auto"/>
            </w:tcBorders>
            <w:shd w:val="clear" w:color="auto" w:fill="D9D9D9" w:themeFill="background1" w:themeFillShade="D9"/>
            <w:noWrap/>
            <w:vAlign w:val="center"/>
          </w:tcPr>
          <w:p w14:paraId="2A7FB26F" w14:textId="77777777" w:rsidR="00D374BC" w:rsidRDefault="00D374BC" w:rsidP="00D374BC">
            <w:pPr>
              <w:jc w:val="both"/>
              <w:rPr>
                <w:rFonts w:ascii="Arial" w:hAnsi="Arial" w:cs="Arial"/>
                <w:b/>
                <w:sz w:val="18"/>
                <w:szCs w:val="18"/>
              </w:rPr>
            </w:pPr>
            <w:r>
              <w:rPr>
                <w:rFonts w:ascii="Arial" w:hAnsi="Arial" w:cs="Arial"/>
                <w:b/>
                <w:sz w:val="18"/>
                <w:szCs w:val="18"/>
              </w:rPr>
              <w:t>LAB</w:t>
            </w:r>
          </w:p>
        </w:tc>
        <w:tc>
          <w:tcPr>
            <w:tcW w:w="422" w:type="dxa"/>
            <w:tcBorders>
              <w:bottom w:val="single" w:sz="4" w:space="0" w:color="auto"/>
            </w:tcBorders>
            <w:shd w:val="clear" w:color="auto" w:fill="D9D9D9" w:themeFill="background1" w:themeFillShade="D9"/>
            <w:noWrap/>
            <w:vAlign w:val="center"/>
          </w:tcPr>
          <w:p w14:paraId="7FED1527" w14:textId="77777777" w:rsidR="00D374BC" w:rsidRDefault="00D374BC" w:rsidP="00D374BC">
            <w:pPr>
              <w:jc w:val="both"/>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45516849"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EXPLANATION</w:t>
            </w:r>
          </w:p>
        </w:tc>
      </w:tr>
      <w:tr w:rsidR="00D374BC" w:rsidRPr="00A0149B" w14:paraId="35B230E3" w14:textId="77777777" w:rsidTr="00B6519D">
        <w:trPr>
          <w:trHeight w:val="264"/>
        </w:trPr>
        <w:tc>
          <w:tcPr>
            <w:tcW w:w="350" w:type="dxa"/>
            <w:noWrap/>
            <w:vAlign w:val="center"/>
          </w:tcPr>
          <w:p w14:paraId="1B958C44"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5332CE1D" w14:textId="161781D9" w:rsidR="00D374BC" w:rsidRPr="001C10BF" w:rsidRDefault="00D374BC" w:rsidP="00D374BC">
            <w:pPr>
              <w:jc w:val="both"/>
              <w:rPr>
                <w:rFonts w:ascii="Arial" w:hAnsi="Arial" w:cs="Arial"/>
                <w:sz w:val="18"/>
                <w:szCs w:val="18"/>
              </w:rPr>
            </w:pPr>
            <w:r>
              <w:rPr>
                <w:rFonts w:ascii="Arial" w:hAnsi="Arial" w:cs="Arial"/>
                <w:sz w:val="18"/>
                <w:szCs w:val="18"/>
              </w:rPr>
              <w:t>Is the meter calibrated according to the manufacturer’s instructions</w:t>
            </w:r>
            <w:r w:rsidRPr="009A0C10">
              <w:rPr>
                <w:rFonts w:ascii="Arial" w:hAnsi="Arial" w:cs="Arial"/>
                <w:sz w:val="18"/>
                <w:szCs w:val="18"/>
              </w:rPr>
              <w:t xml:space="preserve"> prior to analysis of samples each day comp</w:t>
            </w:r>
            <w:r>
              <w:rPr>
                <w:rFonts w:ascii="Arial" w:hAnsi="Arial" w:cs="Arial"/>
                <w:sz w:val="18"/>
                <w:szCs w:val="18"/>
              </w:rPr>
              <w:t>liance monitoring is performed? [</w:t>
            </w:r>
            <w:r w:rsidRPr="00073E4F">
              <w:rPr>
                <w:rFonts w:ascii="Arial" w:hAnsi="Arial" w:cs="Arial"/>
                <w:sz w:val="18"/>
                <w:szCs w:val="18"/>
              </w:rPr>
              <w:t>NC WW/GW LC</w:t>
            </w:r>
            <w:r>
              <w:rPr>
                <w:rFonts w:ascii="Arial" w:hAnsi="Arial" w:cs="Arial"/>
                <w:sz w:val="18"/>
                <w:szCs w:val="18"/>
              </w:rPr>
              <w:t>B</w:t>
            </w:r>
            <w:r w:rsidRPr="00073E4F">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5F1A1E54"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080A56A8" w14:textId="77777777" w:rsidR="00D374BC" w:rsidRPr="00A0149B" w:rsidRDefault="00D374BC" w:rsidP="00D374BC">
            <w:pPr>
              <w:rPr>
                <w:rFonts w:ascii="Arial" w:hAnsi="Arial" w:cs="Arial"/>
                <w:sz w:val="18"/>
                <w:szCs w:val="18"/>
              </w:rPr>
            </w:pPr>
          </w:p>
        </w:tc>
        <w:tc>
          <w:tcPr>
            <w:tcW w:w="4896" w:type="dxa"/>
            <w:vAlign w:val="center"/>
          </w:tcPr>
          <w:p w14:paraId="0FAB3237" w14:textId="77777777" w:rsidR="00D374BC" w:rsidRPr="00A0149B" w:rsidRDefault="00D374BC" w:rsidP="00D374BC">
            <w:pPr>
              <w:jc w:val="both"/>
              <w:rPr>
                <w:rFonts w:ascii="Arial" w:hAnsi="Arial" w:cs="Arial"/>
                <w:sz w:val="18"/>
                <w:szCs w:val="18"/>
              </w:rPr>
            </w:pPr>
            <w:r>
              <w:rPr>
                <w:rFonts w:ascii="Arial" w:hAnsi="Arial" w:cs="Arial"/>
                <w:sz w:val="18"/>
                <w:szCs w:val="18"/>
              </w:rPr>
              <w:t>Calibrate with KCl or standard seawater with a known conductivity relative to KCl.</w:t>
            </w:r>
          </w:p>
        </w:tc>
      </w:tr>
      <w:tr w:rsidR="00D374BC" w:rsidRPr="00A0149B" w14:paraId="7E0B46A0" w14:textId="77777777" w:rsidTr="00B6519D">
        <w:trPr>
          <w:trHeight w:val="264"/>
        </w:trPr>
        <w:tc>
          <w:tcPr>
            <w:tcW w:w="350" w:type="dxa"/>
            <w:noWrap/>
            <w:vAlign w:val="center"/>
          </w:tcPr>
          <w:p w14:paraId="100A4431" w14:textId="77777777" w:rsidR="00D374BC" w:rsidRPr="00A0149B"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74E6C977" w14:textId="2C3A3253" w:rsidR="00D374BC" w:rsidRPr="00235FA9" w:rsidRDefault="00D374BC" w:rsidP="00D374BC">
            <w:pPr>
              <w:jc w:val="both"/>
              <w:rPr>
                <w:rFonts w:ascii="Arial" w:hAnsi="Arial" w:cs="Arial"/>
                <w:sz w:val="18"/>
                <w:szCs w:val="18"/>
              </w:rPr>
            </w:pPr>
            <w:r>
              <w:rPr>
                <w:rFonts w:ascii="Arial" w:hAnsi="Arial" w:cs="Arial"/>
                <w:sz w:val="18"/>
                <w:szCs w:val="18"/>
              </w:rPr>
              <w:t xml:space="preserve">Is the probe rinsed with </w:t>
            </w:r>
            <w:r w:rsidRPr="00344F4B">
              <w:rPr>
                <w:rFonts w:ascii="Arial" w:hAnsi="Arial" w:cs="Arial"/>
                <w:sz w:val="18"/>
                <w:szCs w:val="18"/>
              </w:rPr>
              <w:t>one or more portions (three recommended)</w:t>
            </w:r>
            <w:r>
              <w:rPr>
                <w:rFonts w:ascii="Arial" w:hAnsi="Arial" w:cs="Arial"/>
                <w:sz w:val="18"/>
                <w:szCs w:val="18"/>
              </w:rPr>
              <w:t xml:space="preserve"> of the calibration standard prior to calibration? [</w:t>
            </w:r>
            <w:r w:rsidRPr="00073E4F">
              <w:rPr>
                <w:rFonts w:ascii="Arial" w:hAnsi="Arial" w:cs="Arial"/>
                <w:sz w:val="18"/>
                <w:szCs w:val="18"/>
              </w:rPr>
              <w:t>NC WW/GW LC</w:t>
            </w:r>
            <w:r>
              <w:rPr>
                <w:rFonts w:ascii="Arial" w:hAnsi="Arial" w:cs="Arial"/>
                <w:sz w:val="18"/>
                <w:szCs w:val="18"/>
              </w:rPr>
              <w:t>B</w:t>
            </w:r>
            <w:r w:rsidRPr="00073E4F">
              <w:rPr>
                <w:rFonts w:ascii="Arial" w:hAnsi="Arial" w:cs="Arial"/>
                <w:sz w:val="18"/>
                <w:szCs w:val="18"/>
              </w:rPr>
              <w:t xml:space="preserve"> </w:t>
            </w:r>
            <w:r>
              <w:rPr>
                <w:rFonts w:ascii="Arial" w:hAnsi="Arial" w:cs="Arial"/>
                <w:sz w:val="18"/>
                <w:szCs w:val="18"/>
              </w:rPr>
              <w:t>Approved Procedure for the Analysis of Salinity]</w:t>
            </w:r>
          </w:p>
        </w:tc>
        <w:tc>
          <w:tcPr>
            <w:tcW w:w="431" w:type="dxa"/>
            <w:noWrap/>
            <w:vAlign w:val="center"/>
          </w:tcPr>
          <w:p w14:paraId="54CBC6E0" w14:textId="77777777" w:rsidR="00D374BC" w:rsidRPr="00A0149B" w:rsidRDefault="00D374BC" w:rsidP="00D374BC">
            <w:pPr>
              <w:rPr>
                <w:rFonts w:ascii="Arial" w:hAnsi="Arial" w:cs="Arial"/>
                <w:sz w:val="18"/>
                <w:szCs w:val="18"/>
              </w:rPr>
            </w:pPr>
          </w:p>
        </w:tc>
        <w:tc>
          <w:tcPr>
            <w:tcW w:w="422" w:type="dxa"/>
            <w:noWrap/>
            <w:vAlign w:val="center"/>
          </w:tcPr>
          <w:p w14:paraId="289967E7" w14:textId="77777777" w:rsidR="00D374BC" w:rsidRPr="00A0149B" w:rsidRDefault="00D374BC" w:rsidP="00D374BC">
            <w:pPr>
              <w:rPr>
                <w:rFonts w:ascii="Arial" w:hAnsi="Arial" w:cs="Arial"/>
                <w:sz w:val="18"/>
                <w:szCs w:val="18"/>
              </w:rPr>
            </w:pPr>
          </w:p>
        </w:tc>
        <w:tc>
          <w:tcPr>
            <w:tcW w:w="4896" w:type="dxa"/>
            <w:vAlign w:val="center"/>
          </w:tcPr>
          <w:p w14:paraId="2033CB4F" w14:textId="25E3834B" w:rsidR="00D374BC" w:rsidRPr="00A0149B" w:rsidRDefault="00D374BC" w:rsidP="00D374BC">
            <w:pPr>
              <w:jc w:val="both"/>
              <w:rPr>
                <w:rFonts w:ascii="Arial" w:hAnsi="Arial" w:cs="Arial"/>
                <w:sz w:val="18"/>
                <w:szCs w:val="18"/>
              </w:rPr>
            </w:pPr>
          </w:p>
        </w:tc>
      </w:tr>
      <w:tr w:rsidR="007C60D0" w:rsidRPr="00A0149B" w14:paraId="53337838" w14:textId="77777777" w:rsidTr="00B6519D">
        <w:trPr>
          <w:trHeight w:val="264"/>
        </w:trPr>
        <w:tc>
          <w:tcPr>
            <w:tcW w:w="350" w:type="dxa"/>
            <w:noWrap/>
            <w:vAlign w:val="center"/>
          </w:tcPr>
          <w:p w14:paraId="2410E98E" w14:textId="77777777" w:rsidR="007C60D0" w:rsidRPr="00A0149B" w:rsidRDefault="007C60D0" w:rsidP="00D374BC">
            <w:pPr>
              <w:pStyle w:val="ListParagraph"/>
              <w:numPr>
                <w:ilvl w:val="0"/>
                <w:numId w:val="6"/>
              </w:numPr>
              <w:ind w:left="0" w:firstLine="0"/>
              <w:rPr>
                <w:rFonts w:ascii="Arial" w:hAnsi="Arial" w:cs="Arial"/>
                <w:sz w:val="18"/>
                <w:szCs w:val="18"/>
              </w:rPr>
            </w:pPr>
          </w:p>
        </w:tc>
        <w:tc>
          <w:tcPr>
            <w:tcW w:w="4896" w:type="dxa"/>
            <w:noWrap/>
            <w:vAlign w:val="center"/>
          </w:tcPr>
          <w:p w14:paraId="37DCA53C" w14:textId="4B22F9C3" w:rsidR="007C60D0" w:rsidRDefault="007C60D0" w:rsidP="00D374BC">
            <w:pPr>
              <w:jc w:val="both"/>
              <w:rPr>
                <w:rFonts w:ascii="Arial" w:hAnsi="Arial" w:cs="Arial"/>
                <w:sz w:val="18"/>
                <w:szCs w:val="18"/>
              </w:rPr>
            </w:pPr>
            <w:r>
              <w:rPr>
                <w:rFonts w:ascii="Arial" w:hAnsi="Arial" w:cs="Arial"/>
                <w:sz w:val="18"/>
                <w:szCs w:val="18"/>
              </w:rPr>
              <w:t xml:space="preserve">Are fresh aliquots of standard used </w:t>
            </w:r>
            <w:r w:rsidR="00C64507">
              <w:rPr>
                <w:rFonts w:ascii="Arial" w:hAnsi="Arial" w:cs="Arial"/>
                <w:sz w:val="18"/>
                <w:szCs w:val="18"/>
              </w:rPr>
              <w:t xml:space="preserve">for calibration each day? </w:t>
            </w:r>
            <w:r w:rsidR="00B473BC">
              <w:rPr>
                <w:rFonts w:ascii="Arial" w:hAnsi="Arial" w:cs="Arial"/>
                <w:sz w:val="18"/>
                <w:szCs w:val="18"/>
              </w:rPr>
              <w:t>[</w:t>
            </w:r>
            <w:r w:rsidR="00B473BC" w:rsidRPr="00073E4F">
              <w:rPr>
                <w:rFonts w:ascii="Arial" w:hAnsi="Arial" w:cs="Arial"/>
                <w:sz w:val="18"/>
                <w:szCs w:val="18"/>
              </w:rPr>
              <w:t>NC WW/GW LC</w:t>
            </w:r>
            <w:r w:rsidR="00B473BC">
              <w:rPr>
                <w:rFonts w:ascii="Arial" w:hAnsi="Arial" w:cs="Arial"/>
                <w:sz w:val="18"/>
                <w:szCs w:val="18"/>
              </w:rPr>
              <w:t>B</w:t>
            </w:r>
            <w:r w:rsidR="00B473BC" w:rsidRPr="00073E4F">
              <w:rPr>
                <w:rFonts w:ascii="Arial" w:hAnsi="Arial" w:cs="Arial"/>
                <w:sz w:val="18"/>
                <w:szCs w:val="18"/>
              </w:rPr>
              <w:t xml:space="preserve"> </w:t>
            </w:r>
            <w:r w:rsidR="00B473BC">
              <w:rPr>
                <w:rFonts w:ascii="Arial" w:hAnsi="Arial" w:cs="Arial"/>
                <w:sz w:val="18"/>
                <w:szCs w:val="18"/>
              </w:rPr>
              <w:t>Approved Procedure for the Analysis of Salinity]</w:t>
            </w:r>
          </w:p>
        </w:tc>
        <w:tc>
          <w:tcPr>
            <w:tcW w:w="431" w:type="dxa"/>
            <w:noWrap/>
            <w:vAlign w:val="center"/>
          </w:tcPr>
          <w:p w14:paraId="26BBAE90" w14:textId="77777777" w:rsidR="007C60D0" w:rsidRPr="00A0149B" w:rsidRDefault="007C60D0" w:rsidP="00D374BC">
            <w:pPr>
              <w:rPr>
                <w:rFonts w:ascii="Arial" w:hAnsi="Arial" w:cs="Arial"/>
                <w:sz w:val="18"/>
                <w:szCs w:val="18"/>
              </w:rPr>
            </w:pPr>
          </w:p>
        </w:tc>
        <w:tc>
          <w:tcPr>
            <w:tcW w:w="422" w:type="dxa"/>
            <w:noWrap/>
            <w:vAlign w:val="center"/>
          </w:tcPr>
          <w:p w14:paraId="092493E5" w14:textId="77777777" w:rsidR="007C60D0" w:rsidRPr="00A0149B" w:rsidRDefault="007C60D0" w:rsidP="00D374BC">
            <w:pPr>
              <w:rPr>
                <w:rFonts w:ascii="Arial" w:hAnsi="Arial" w:cs="Arial"/>
                <w:sz w:val="18"/>
                <w:szCs w:val="18"/>
              </w:rPr>
            </w:pPr>
          </w:p>
        </w:tc>
        <w:tc>
          <w:tcPr>
            <w:tcW w:w="4896" w:type="dxa"/>
            <w:vAlign w:val="center"/>
          </w:tcPr>
          <w:p w14:paraId="5B4A79E7" w14:textId="2A654E7E" w:rsidR="007C60D0" w:rsidRPr="00F22ED1" w:rsidRDefault="00B473BC" w:rsidP="00D374BC">
            <w:pPr>
              <w:jc w:val="both"/>
              <w:rPr>
                <w:rFonts w:ascii="Arial" w:hAnsi="Arial" w:cs="Arial"/>
                <w:sz w:val="18"/>
                <w:szCs w:val="18"/>
              </w:rPr>
            </w:pPr>
            <w:r w:rsidRPr="00F22ED1">
              <w:rPr>
                <w:rFonts w:ascii="Arial" w:hAnsi="Arial" w:cs="Arial"/>
                <w:sz w:val="18"/>
                <w:szCs w:val="18"/>
              </w:rPr>
              <w:t>A portion of the standard should not be used for more than one calibration. Discard any</w:t>
            </w:r>
            <w:r>
              <w:rPr>
                <w:rFonts w:ascii="Arial" w:hAnsi="Arial" w:cs="Arial"/>
                <w:sz w:val="18"/>
                <w:szCs w:val="18"/>
              </w:rPr>
              <w:t xml:space="preserve"> portions of standard</w:t>
            </w:r>
            <w:r w:rsidRPr="00F22ED1">
              <w:rPr>
                <w:rFonts w:ascii="Arial" w:hAnsi="Arial" w:cs="Arial"/>
                <w:sz w:val="18"/>
                <w:szCs w:val="18"/>
              </w:rPr>
              <w:t xml:space="preserve"> used </w:t>
            </w:r>
            <w:r>
              <w:rPr>
                <w:rFonts w:ascii="Arial" w:hAnsi="Arial" w:cs="Arial"/>
                <w:sz w:val="18"/>
                <w:szCs w:val="18"/>
              </w:rPr>
              <w:t>each day</w:t>
            </w:r>
            <w:r w:rsidRPr="00F22ED1">
              <w:rPr>
                <w:rFonts w:ascii="Arial" w:hAnsi="Arial" w:cs="Arial"/>
                <w:sz w:val="18"/>
                <w:szCs w:val="18"/>
              </w:rPr>
              <w:t>.</w:t>
            </w:r>
          </w:p>
        </w:tc>
      </w:tr>
      <w:tr w:rsidR="00D374BC" w:rsidRPr="00A0149B" w14:paraId="4F7A8CBB" w14:textId="77777777" w:rsidTr="000F6A9E">
        <w:trPr>
          <w:trHeight w:val="1511"/>
        </w:trPr>
        <w:tc>
          <w:tcPr>
            <w:tcW w:w="350" w:type="dxa"/>
            <w:noWrap/>
            <w:vAlign w:val="center"/>
          </w:tcPr>
          <w:p w14:paraId="0675BA1F" w14:textId="77777777" w:rsidR="00D374BC" w:rsidRPr="00A0149B" w:rsidRDefault="00D374BC" w:rsidP="00D374BC">
            <w:pPr>
              <w:pStyle w:val="ListParagraph"/>
              <w:numPr>
                <w:ilvl w:val="0"/>
                <w:numId w:val="6"/>
              </w:numPr>
              <w:ind w:left="0" w:firstLine="0"/>
              <w:rPr>
                <w:rFonts w:ascii="Arial" w:hAnsi="Arial" w:cs="Arial"/>
                <w:sz w:val="18"/>
                <w:szCs w:val="18"/>
              </w:rPr>
            </w:pPr>
          </w:p>
        </w:tc>
        <w:tc>
          <w:tcPr>
            <w:tcW w:w="4896" w:type="dxa"/>
            <w:noWrap/>
          </w:tcPr>
          <w:p w14:paraId="7D3C497F" w14:textId="172F3114" w:rsidR="00D374BC" w:rsidRPr="00FA59CB" w:rsidRDefault="00D374BC" w:rsidP="00D374BC">
            <w:pPr>
              <w:rPr>
                <w:rFonts w:ascii="Arial" w:hAnsi="Arial" w:cs="Arial"/>
                <w:sz w:val="18"/>
                <w:szCs w:val="18"/>
              </w:rPr>
            </w:pPr>
            <w:r w:rsidRPr="00FA59CB">
              <w:rPr>
                <w:rFonts w:ascii="Arial" w:hAnsi="Arial" w:cs="Arial"/>
                <w:sz w:val="18"/>
                <w:szCs w:val="18"/>
              </w:rPr>
              <w:t>What standard concentration is used for meter calibration?</w:t>
            </w:r>
            <w:r>
              <w:rPr>
                <w:rFonts w:ascii="Arial" w:hAnsi="Arial" w:cs="Arial"/>
                <w:sz w:val="18"/>
                <w:szCs w:val="18"/>
              </w:rPr>
              <w:t xml:space="preserve"> [</w:t>
            </w:r>
            <w:r w:rsidRPr="00073E4F">
              <w:rPr>
                <w:rFonts w:ascii="Arial" w:hAnsi="Arial" w:cs="Arial"/>
                <w:sz w:val="18"/>
                <w:szCs w:val="18"/>
              </w:rPr>
              <w:t>NC WW/GW LC</w:t>
            </w:r>
            <w:r>
              <w:rPr>
                <w:rFonts w:ascii="Arial" w:hAnsi="Arial" w:cs="Arial"/>
                <w:sz w:val="18"/>
                <w:szCs w:val="18"/>
              </w:rPr>
              <w:t>B</w:t>
            </w:r>
            <w:r w:rsidRPr="00073E4F">
              <w:rPr>
                <w:rFonts w:ascii="Arial" w:hAnsi="Arial" w:cs="Arial"/>
                <w:sz w:val="18"/>
                <w:szCs w:val="18"/>
              </w:rPr>
              <w:t xml:space="preserve"> </w:t>
            </w:r>
            <w:r>
              <w:rPr>
                <w:rFonts w:ascii="Arial" w:hAnsi="Arial" w:cs="Arial"/>
                <w:sz w:val="18"/>
                <w:szCs w:val="18"/>
              </w:rPr>
              <w:t>Approved Procedure for the Analysis of Salinity]</w:t>
            </w:r>
          </w:p>
          <w:p w14:paraId="0CDC8327" w14:textId="77777777" w:rsidR="00D374BC" w:rsidRPr="00FA59CB" w:rsidRDefault="00D374BC" w:rsidP="00D374BC">
            <w:pPr>
              <w:rPr>
                <w:rFonts w:ascii="Arial" w:hAnsi="Arial" w:cs="Arial"/>
                <w:sz w:val="18"/>
                <w:szCs w:val="18"/>
              </w:rPr>
            </w:pPr>
          </w:p>
          <w:p w14:paraId="6D71EB56" w14:textId="61A489F9" w:rsidR="00D374BC" w:rsidRPr="00235FA9" w:rsidRDefault="00D374BC" w:rsidP="00D374BC">
            <w:pPr>
              <w:rPr>
                <w:rFonts w:ascii="Arial" w:hAnsi="Arial" w:cs="Arial"/>
                <w:sz w:val="18"/>
                <w:szCs w:val="18"/>
              </w:rPr>
            </w:pPr>
            <w:r w:rsidRPr="00FA59CB">
              <w:rPr>
                <w:rFonts w:ascii="Arial" w:hAnsi="Arial" w:cs="Arial"/>
                <w:b/>
                <w:bCs/>
                <w:sz w:val="18"/>
                <w:szCs w:val="18"/>
              </w:rPr>
              <w:t>Standard</w:t>
            </w:r>
            <w:r>
              <w:rPr>
                <w:rFonts w:ascii="Arial" w:hAnsi="Arial" w:cs="Arial"/>
                <w:b/>
                <w:bCs/>
                <w:sz w:val="18"/>
                <w:szCs w:val="18"/>
              </w:rPr>
              <w:t xml:space="preserve"> concentration: </w:t>
            </w:r>
          </w:p>
        </w:tc>
        <w:tc>
          <w:tcPr>
            <w:tcW w:w="431" w:type="dxa"/>
            <w:shd w:val="clear" w:color="auto" w:fill="D9D9D9" w:themeFill="background1" w:themeFillShade="D9"/>
            <w:noWrap/>
            <w:vAlign w:val="center"/>
          </w:tcPr>
          <w:p w14:paraId="465E254C" w14:textId="77777777" w:rsidR="00D374BC" w:rsidRPr="00A0149B" w:rsidRDefault="00D374BC" w:rsidP="00D374BC">
            <w:pPr>
              <w:rPr>
                <w:rFonts w:ascii="Arial" w:hAnsi="Arial" w:cs="Arial"/>
                <w:sz w:val="18"/>
                <w:szCs w:val="18"/>
              </w:rPr>
            </w:pPr>
          </w:p>
        </w:tc>
        <w:tc>
          <w:tcPr>
            <w:tcW w:w="422" w:type="dxa"/>
            <w:noWrap/>
            <w:vAlign w:val="center"/>
          </w:tcPr>
          <w:p w14:paraId="24C9B38C" w14:textId="77777777" w:rsidR="00D374BC" w:rsidRPr="00A0149B" w:rsidRDefault="00D374BC" w:rsidP="00D374BC">
            <w:pPr>
              <w:rPr>
                <w:rFonts w:ascii="Arial" w:hAnsi="Arial" w:cs="Arial"/>
                <w:sz w:val="18"/>
                <w:szCs w:val="18"/>
              </w:rPr>
            </w:pPr>
          </w:p>
        </w:tc>
        <w:tc>
          <w:tcPr>
            <w:tcW w:w="4896" w:type="dxa"/>
            <w:vAlign w:val="center"/>
          </w:tcPr>
          <w:p w14:paraId="68F9BAA7" w14:textId="1508A7CE" w:rsidR="00D374BC" w:rsidRPr="00A0149B" w:rsidRDefault="00D374BC" w:rsidP="00D374BC">
            <w:pPr>
              <w:jc w:val="both"/>
              <w:rPr>
                <w:rFonts w:ascii="Arial" w:hAnsi="Arial" w:cs="Arial"/>
                <w:sz w:val="18"/>
                <w:szCs w:val="18"/>
              </w:rPr>
            </w:pPr>
            <w:r w:rsidRPr="00D364D9">
              <w:rPr>
                <w:rFonts w:ascii="Arial" w:hAnsi="Arial" w:cs="Arial"/>
                <w:sz w:val="18"/>
                <w:szCs w:val="18"/>
              </w:rPr>
              <w:t>Potassium Chloride (KCl) Conductivity standards may be purchased or prepared according to Table 2510:</w:t>
            </w:r>
            <w:r w:rsidR="005B3806">
              <w:rPr>
                <w:rFonts w:ascii="Arial" w:hAnsi="Arial" w:cs="Arial"/>
                <w:sz w:val="18"/>
                <w:szCs w:val="18"/>
              </w:rPr>
              <w:t>1</w:t>
            </w:r>
            <w:r w:rsidRPr="00D364D9">
              <w:rPr>
                <w:rFonts w:ascii="Arial" w:hAnsi="Arial" w:cs="Arial"/>
                <w:sz w:val="18"/>
                <w:szCs w:val="18"/>
              </w:rPr>
              <w:t xml:space="preserve"> of SM 2510 A - </w:t>
            </w:r>
            <w:r w:rsidR="00222C1A" w:rsidRPr="00D364D9">
              <w:rPr>
                <w:rFonts w:ascii="Arial" w:hAnsi="Arial" w:cs="Arial"/>
                <w:sz w:val="18"/>
                <w:szCs w:val="18"/>
              </w:rPr>
              <w:t>20</w:t>
            </w:r>
            <w:r w:rsidR="00222C1A">
              <w:rPr>
                <w:rFonts w:ascii="Arial" w:hAnsi="Arial" w:cs="Arial"/>
                <w:sz w:val="18"/>
                <w:szCs w:val="18"/>
              </w:rPr>
              <w:t>21</w:t>
            </w:r>
            <w:r w:rsidRPr="00D364D9">
              <w:rPr>
                <w:rFonts w:ascii="Arial" w:hAnsi="Arial" w:cs="Arial"/>
                <w:sz w:val="18"/>
                <w:szCs w:val="18"/>
              </w:rPr>
              <w:t>. In addition to the</w:t>
            </w:r>
            <w:r>
              <w:rPr>
                <w:rFonts w:ascii="Arial" w:hAnsi="Arial" w:cs="Arial"/>
                <w:sz w:val="18"/>
                <w:szCs w:val="18"/>
              </w:rPr>
              <w:t>se</w:t>
            </w:r>
            <w:r w:rsidRPr="00D364D9">
              <w:rPr>
                <w:rFonts w:ascii="Arial" w:hAnsi="Arial" w:cs="Arial"/>
                <w:sz w:val="18"/>
                <w:szCs w:val="18"/>
              </w:rPr>
              <w:t xml:space="preserve"> standards, standard seawater, commercially available with a Salinity of 35 at 15 °C may be purchased. Alternatively, a standard may be prepared at this concentration by dissolving 32.4356 g of KCl in 1 L of deionized water.</w:t>
            </w:r>
          </w:p>
        </w:tc>
      </w:tr>
      <w:tr w:rsidR="00D374BC" w:rsidRPr="00A0149B" w14:paraId="7A936034" w14:textId="77777777" w:rsidTr="00B6519D">
        <w:trPr>
          <w:trHeight w:val="264"/>
        </w:trPr>
        <w:tc>
          <w:tcPr>
            <w:tcW w:w="350" w:type="dxa"/>
            <w:shd w:val="clear" w:color="auto" w:fill="D9D9D9" w:themeFill="background1" w:themeFillShade="D9"/>
            <w:noWrap/>
            <w:vAlign w:val="center"/>
          </w:tcPr>
          <w:p w14:paraId="1A32670D" w14:textId="77777777" w:rsidR="00D374BC" w:rsidRDefault="00D374BC" w:rsidP="00D374BC">
            <w:pPr>
              <w:pStyle w:val="ListParagraph"/>
              <w:rPr>
                <w:rFonts w:ascii="Arial" w:hAnsi="Arial" w:cs="Arial"/>
                <w:sz w:val="18"/>
                <w:szCs w:val="18"/>
              </w:rPr>
            </w:pPr>
          </w:p>
        </w:tc>
        <w:tc>
          <w:tcPr>
            <w:tcW w:w="4896" w:type="dxa"/>
            <w:shd w:val="clear" w:color="auto" w:fill="D9D9D9" w:themeFill="background1" w:themeFillShade="D9"/>
            <w:noWrap/>
            <w:vAlign w:val="center"/>
          </w:tcPr>
          <w:p w14:paraId="1AA80E21"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31" w:type="dxa"/>
            <w:shd w:val="clear" w:color="auto" w:fill="D9D9D9" w:themeFill="background1" w:themeFillShade="D9"/>
            <w:noWrap/>
            <w:vAlign w:val="center"/>
          </w:tcPr>
          <w:p w14:paraId="3C32C881" w14:textId="77777777" w:rsidR="00D374BC" w:rsidRDefault="00D374BC" w:rsidP="00D374BC">
            <w:pPr>
              <w:jc w:val="both"/>
              <w:rPr>
                <w:rFonts w:ascii="Arial" w:hAnsi="Arial" w:cs="Arial"/>
                <w:b/>
                <w:sz w:val="18"/>
                <w:szCs w:val="18"/>
              </w:rPr>
            </w:pPr>
            <w:r>
              <w:rPr>
                <w:rFonts w:ascii="Arial" w:hAnsi="Arial" w:cs="Arial"/>
                <w:b/>
                <w:sz w:val="18"/>
                <w:szCs w:val="18"/>
              </w:rPr>
              <w:t>LAB</w:t>
            </w:r>
          </w:p>
        </w:tc>
        <w:tc>
          <w:tcPr>
            <w:tcW w:w="422" w:type="dxa"/>
            <w:shd w:val="clear" w:color="auto" w:fill="D9D9D9" w:themeFill="background1" w:themeFillShade="D9"/>
            <w:noWrap/>
            <w:vAlign w:val="center"/>
          </w:tcPr>
          <w:p w14:paraId="0342BF67" w14:textId="77777777" w:rsidR="00D374BC" w:rsidRDefault="00D374BC" w:rsidP="00D374BC">
            <w:pPr>
              <w:jc w:val="both"/>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32B59149"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EXPLANATION</w:t>
            </w:r>
          </w:p>
        </w:tc>
      </w:tr>
      <w:tr w:rsidR="00D374BC" w:rsidRPr="00A0149B" w14:paraId="4907B937" w14:textId="77777777" w:rsidTr="00B6519D">
        <w:trPr>
          <w:trHeight w:val="710"/>
        </w:trPr>
        <w:tc>
          <w:tcPr>
            <w:tcW w:w="350" w:type="dxa"/>
            <w:noWrap/>
            <w:vAlign w:val="center"/>
          </w:tcPr>
          <w:p w14:paraId="02DEB510"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34D4D831" w14:textId="5ECF3F4B" w:rsidR="00D374BC" w:rsidRPr="00414BED" w:rsidRDefault="00D374BC" w:rsidP="00D374BC">
            <w:pPr>
              <w:jc w:val="both"/>
              <w:rPr>
                <w:rFonts w:ascii="Arial" w:hAnsi="Arial" w:cs="Arial"/>
                <w:sz w:val="18"/>
                <w:szCs w:val="18"/>
              </w:rPr>
            </w:pPr>
            <w:r>
              <w:rPr>
                <w:rFonts w:ascii="Arial" w:hAnsi="Arial" w:cs="Arial"/>
                <w:sz w:val="18"/>
                <w:szCs w:val="18"/>
              </w:rPr>
              <w:t>Is the probe rinsed with one or more portions of the sample prior to analysis?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tc>
        <w:tc>
          <w:tcPr>
            <w:tcW w:w="431" w:type="dxa"/>
            <w:tcBorders>
              <w:bottom w:val="single" w:sz="4" w:space="0" w:color="auto"/>
            </w:tcBorders>
            <w:shd w:val="clear" w:color="auto" w:fill="FFFFFF" w:themeFill="background1"/>
            <w:noWrap/>
            <w:vAlign w:val="center"/>
          </w:tcPr>
          <w:p w14:paraId="64769E2D" w14:textId="77777777" w:rsidR="00D374BC" w:rsidRPr="00A0149B" w:rsidRDefault="00D374BC" w:rsidP="00D374BC">
            <w:pPr>
              <w:rPr>
                <w:rFonts w:ascii="Arial" w:hAnsi="Arial" w:cs="Arial"/>
                <w:sz w:val="18"/>
                <w:szCs w:val="18"/>
              </w:rPr>
            </w:pPr>
          </w:p>
        </w:tc>
        <w:tc>
          <w:tcPr>
            <w:tcW w:w="422" w:type="dxa"/>
            <w:tcBorders>
              <w:bottom w:val="single" w:sz="4" w:space="0" w:color="auto"/>
            </w:tcBorders>
            <w:shd w:val="clear" w:color="auto" w:fill="FFFFFF" w:themeFill="background1"/>
            <w:noWrap/>
            <w:vAlign w:val="center"/>
          </w:tcPr>
          <w:p w14:paraId="359F150A" w14:textId="77777777" w:rsidR="00D374BC" w:rsidRPr="00A0149B" w:rsidRDefault="00D374BC" w:rsidP="00D374BC">
            <w:pPr>
              <w:rPr>
                <w:rFonts w:ascii="Arial" w:hAnsi="Arial" w:cs="Arial"/>
                <w:sz w:val="18"/>
                <w:szCs w:val="18"/>
              </w:rPr>
            </w:pPr>
          </w:p>
        </w:tc>
        <w:tc>
          <w:tcPr>
            <w:tcW w:w="4896" w:type="dxa"/>
            <w:vAlign w:val="center"/>
          </w:tcPr>
          <w:p w14:paraId="32F701AB" w14:textId="77777777" w:rsidR="00D374BC" w:rsidRPr="00A0149B" w:rsidRDefault="00D374BC" w:rsidP="00D374BC">
            <w:pPr>
              <w:rPr>
                <w:rFonts w:ascii="Arial" w:hAnsi="Arial" w:cs="Arial"/>
                <w:sz w:val="18"/>
                <w:szCs w:val="18"/>
              </w:rPr>
            </w:pPr>
          </w:p>
        </w:tc>
      </w:tr>
      <w:tr w:rsidR="00D374BC" w:rsidRPr="00A0149B" w14:paraId="02E4A8B2" w14:textId="77777777" w:rsidTr="00B6519D">
        <w:trPr>
          <w:trHeight w:val="530"/>
        </w:trPr>
        <w:tc>
          <w:tcPr>
            <w:tcW w:w="350" w:type="dxa"/>
            <w:noWrap/>
            <w:vAlign w:val="center"/>
          </w:tcPr>
          <w:p w14:paraId="48594062"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2307BB6E" w14:textId="50A70C6D" w:rsidR="00D374BC" w:rsidRPr="00DD4723" w:rsidRDefault="00D374BC" w:rsidP="00D374BC">
            <w:pPr>
              <w:jc w:val="both"/>
              <w:rPr>
                <w:rFonts w:ascii="Arial" w:hAnsi="Arial" w:cs="Arial"/>
                <w:sz w:val="18"/>
                <w:szCs w:val="18"/>
              </w:rPr>
            </w:pPr>
            <w:r>
              <w:rPr>
                <w:rFonts w:ascii="Arial" w:hAnsi="Arial" w:cs="Arial"/>
                <w:sz w:val="18"/>
                <w:szCs w:val="18"/>
              </w:rPr>
              <w:t>Are salinity samples ever diluted?</w:t>
            </w:r>
            <w:r>
              <w:rPr>
                <w:rFonts w:ascii="Arial" w:hAnsi="Arial"/>
                <w:spacing w:val="-2"/>
                <w:sz w:val="18"/>
                <w:szCs w:val="18"/>
              </w:rPr>
              <w:t xml:space="preserve"> [</w:t>
            </w:r>
            <w:r w:rsidRPr="00C519C4">
              <w:rPr>
                <w:rFonts w:ascii="Arial" w:hAnsi="Arial"/>
                <w:spacing w:val="-2"/>
                <w:sz w:val="18"/>
                <w:szCs w:val="18"/>
              </w:rPr>
              <w:t>NC WW/GW LC</w:t>
            </w:r>
            <w:r>
              <w:rPr>
                <w:rFonts w:ascii="Arial" w:hAnsi="Arial"/>
                <w:spacing w:val="-2"/>
                <w:sz w:val="18"/>
                <w:szCs w:val="18"/>
              </w:rPr>
              <w:t>B</w:t>
            </w:r>
            <w:r w:rsidRPr="00C519C4">
              <w:rPr>
                <w:rFonts w:ascii="Arial" w:hAnsi="Arial"/>
                <w:spacing w:val="-2"/>
                <w:sz w:val="18"/>
                <w:szCs w:val="18"/>
              </w:rPr>
              <w:t xml:space="preserve"> </w:t>
            </w:r>
            <w:r>
              <w:rPr>
                <w:rFonts w:ascii="Arial" w:hAnsi="Arial"/>
                <w:spacing w:val="-2"/>
                <w:sz w:val="18"/>
                <w:szCs w:val="18"/>
              </w:rPr>
              <w:t>Approved Procedure for the Analysis of Salinity]</w:t>
            </w:r>
          </w:p>
        </w:tc>
        <w:tc>
          <w:tcPr>
            <w:tcW w:w="431" w:type="dxa"/>
            <w:tcBorders>
              <w:bottom w:val="single" w:sz="4" w:space="0" w:color="auto"/>
            </w:tcBorders>
            <w:shd w:val="clear" w:color="auto" w:fill="FFFFFF" w:themeFill="background1"/>
            <w:noWrap/>
            <w:vAlign w:val="center"/>
          </w:tcPr>
          <w:p w14:paraId="7AAE3DE7" w14:textId="77777777" w:rsidR="00D374BC" w:rsidRPr="00A0149B" w:rsidRDefault="00D374BC" w:rsidP="00D374BC">
            <w:pPr>
              <w:rPr>
                <w:rFonts w:ascii="Arial" w:hAnsi="Arial" w:cs="Arial"/>
                <w:sz w:val="18"/>
                <w:szCs w:val="18"/>
              </w:rPr>
            </w:pPr>
          </w:p>
        </w:tc>
        <w:tc>
          <w:tcPr>
            <w:tcW w:w="422" w:type="dxa"/>
            <w:tcBorders>
              <w:bottom w:val="single" w:sz="4" w:space="0" w:color="auto"/>
            </w:tcBorders>
            <w:shd w:val="clear" w:color="auto" w:fill="FFFFFF" w:themeFill="background1"/>
            <w:noWrap/>
            <w:vAlign w:val="center"/>
          </w:tcPr>
          <w:p w14:paraId="0989CA0C" w14:textId="77777777" w:rsidR="00D374BC" w:rsidRPr="00A0149B" w:rsidRDefault="00D374BC" w:rsidP="00D374BC">
            <w:pPr>
              <w:rPr>
                <w:rFonts w:ascii="Arial" w:hAnsi="Arial" w:cs="Arial"/>
                <w:sz w:val="18"/>
                <w:szCs w:val="18"/>
              </w:rPr>
            </w:pPr>
          </w:p>
        </w:tc>
        <w:tc>
          <w:tcPr>
            <w:tcW w:w="4896" w:type="dxa"/>
            <w:vAlign w:val="center"/>
          </w:tcPr>
          <w:p w14:paraId="0618DD0B" w14:textId="04E30409" w:rsidR="00D374BC" w:rsidRDefault="00D374BC" w:rsidP="00D374BC">
            <w:pPr>
              <w:rPr>
                <w:rFonts w:ascii="Arial" w:hAnsi="Arial" w:cs="Arial"/>
                <w:sz w:val="18"/>
                <w:szCs w:val="18"/>
              </w:rPr>
            </w:pPr>
            <w:r>
              <w:rPr>
                <w:rFonts w:ascii="Arial" w:hAnsi="Arial" w:cs="Arial"/>
                <w:sz w:val="18"/>
                <w:szCs w:val="18"/>
              </w:rPr>
              <w:t>Salini</w:t>
            </w:r>
            <w:r w:rsidRPr="004F5DEB">
              <w:rPr>
                <w:rFonts w:ascii="Arial" w:hAnsi="Arial" w:cs="Arial"/>
                <w:sz w:val="18"/>
                <w:szCs w:val="18"/>
              </w:rPr>
              <w:t>ty samples must not be diluted</w:t>
            </w:r>
          </w:p>
        </w:tc>
      </w:tr>
      <w:tr w:rsidR="00D374BC" w:rsidRPr="00A0149B" w14:paraId="7892C64B" w14:textId="77777777" w:rsidTr="00B6519D">
        <w:trPr>
          <w:trHeight w:val="264"/>
        </w:trPr>
        <w:tc>
          <w:tcPr>
            <w:tcW w:w="350" w:type="dxa"/>
            <w:shd w:val="clear" w:color="auto" w:fill="D9D9D9" w:themeFill="background1" w:themeFillShade="D9"/>
            <w:noWrap/>
            <w:vAlign w:val="center"/>
          </w:tcPr>
          <w:p w14:paraId="0B4C2F3C" w14:textId="77777777" w:rsidR="00D374BC" w:rsidRPr="008C0C53" w:rsidRDefault="00D374BC" w:rsidP="00D374BC">
            <w:pPr>
              <w:pStyle w:val="ListParagraph"/>
              <w:rPr>
                <w:rFonts w:ascii="Arial" w:hAnsi="Arial" w:cs="Arial"/>
                <w:sz w:val="18"/>
                <w:szCs w:val="18"/>
              </w:rPr>
            </w:pPr>
          </w:p>
        </w:tc>
        <w:tc>
          <w:tcPr>
            <w:tcW w:w="4896" w:type="dxa"/>
            <w:shd w:val="clear" w:color="auto" w:fill="D9D9D9" w:themeFill="background1" w:themeFillShade="D9"/>
            <w:noWrap/>
            <w:vAlign w:val="center"/>
          </w:tcPr>
          <w:p w14:paraId="04BCC806"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1" w:type="dxa"/>
            <w:shd w:val="clear" w:color="auto" w:fill="D9D9D9" w:themeFill="background1" w:themeFillShade="D9"/>
            <w:noWrap/>
            <w:vAlign w:val="center"/>
          </w:tcPr>
          <w:p w14:paraId="59523CA2" w14:textId="77777777" w:rsidR="00D374BC" w:rsidRDefault="00D374BC" w:rsidP="00D374BC">
            <w:pPr>
              <w:jc w:val="both"/>
              <w:rPr>
                <w:rFonts w:ascii="Arial" w:hAnsi="Arial" w:cs="Arial"/>
                <w:b/>
                <w:sz w:val="18"/>
                <w:szCs w:val="18"/>
              </w:rPr>
            </w:pPr>
            <w:r>
              <w:rPr>
                <w:rFonts w:ascii="Arial" w:hAnsi="Arial" w:cs="Arial"/>
                <w:b/>
                <w:sz w:val="18"/>
                <w:szCs w:val="18"/>
              </w:rPr>
              <w:t>LAB</w:t>
            </w:r>
          </w:p>
        </w:tc>
        <w:tc>
          <w:tcPr>
            <w:tcW w:w="422" w:type="dxa"/>
            <w:shd w:val="clear" w:color="auto" w:fill="D9D9D9" w:themeFill="background1" w:themeFillShade="D9"/>
            <w:noWrap/>
            <w:vAlign w:val="center"/>
          </w:tcPr>
          <w:p w14:paraId="42ED045E" w14:textId="77777777" w:rsidR="00D374BC" w:rsidRDefault="00D374BC" w:rsidP="00D374BC">
            <w:pPr>
              <w:jc w:val="both"/>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19CD6B1C" w14:textId="77777777" w:rsidR="00D374BC" w:rsidRPr="00560E41" w:rsidRDefault="00D374BC" w:rsidP="00D374BC">
            <w:pPr>
              <w:jc w:val="center"/>
              <w:rPr>
                <w:rFonts w:ascii="Arial" w:hAnsi="Arial" w:cs="Arial"/>
                <w:b/>
                <w:sz w:val="18"/>
                <w:szCs w:val="18"/>
              </w:rPr>
            </w:pPr>
            <w:r w:rsidRPr="00560E41">
              <w:rPr>
                <w:rFonts w:ascii="Arial" w:hAnsi="Arial" w:cs="Arial"/>
                <w:b/>
                <w:sz w:val="18"/>
                <w:szCs w:val="18"/>
              </w:rPr>
              <w:t>EXPLANATION</w:t>
            </w:r>
          </w:p>
        </w:tc>
      </w:tr>
      <w:tr w:rsidR="00D374BC" w:rsidRPr="00A0149B" w14:paraId="37F5AD7E" w14:textId="77777777" w:rsidTr="00B6519D">
        <w:trPr>
          <w:trHeight w:val="264"/>
        </w:trPr>
        <w:tc>
          <w:tcPr>
            <w:tcW w:w="350" w:type="dxa"/>
            <w:noWrap/>
            <w:vAlign w:val="center"/>
          </w:tcPr>
          <w:p w14:paraId="31CE2322" w14:textId="77777777" w:rsidR="00D374BC" w:rsidRPr="008C0C53"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4C269ACE" w14:textId="32ADA3D6" w:rsidR="00D374BC" w:rsidRDefault="00D374BC" w:rsidP="00D374BC">
            <w:pPr>
              <w:suppressAutoHyphens/>
              <w:ind w:right="36"/>
              <w:jc w:val="both"/>
              <w:rPr>
                <w:rFonts w:ascii="Arial" w:hAnsi="Arial" w:cs="Arial"/>
                <w:sz w:val="18"/>
                <w:szCs w:val="18"/>
              </w:rPr>
            </w:pPr>
            <w:r>
              <w:rPr>
                <w:rFonts w:ascii="Arial" w:hAnsi="Arial" w:cs="Arial"/>
                <w:sz w:val="18"/>
                <w:szCs w:val="18"/>
              </w:rPr>
              <w:t>Is the upper limit of the operational range of the meter determined before using this method or before using a new instrument?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000DA74F"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26D82657" w14:textId="77777777" w:rsidR="00D374BC" w:rsidRPr="00A0149B" w:rsidRDefault="00D374BC" w:rsidP="00D374BC">
            <w:pPr>
              <w:rPr>
                <w:rFonts w:ascii="Arial" w:hAnsi="Arial" w:cs="Arial"/>
                <w:sz w:val="18"/>
                <w:szCs w:val="18"/>
              </w:rPr>
            </w:pPr>
          </w:p>
        </w:tc>
        <w:tc>
          <w:tcPr>
            <w:tcW w:w="4896" w:type="dxa"/>
            <w:vAlign w:val="center"/>
          </w:tcPr>
          <w:p w14:paraId="4D43AAA0" w14:textId="022ED34A" w:rsidR="00D374BC" w:rsidRPr="00A0149B" w:rsidRDefault="00D374BC" w:rsidP="00D374BC">
            <w:pPr>
              <w:jc w:val="both"/>
              <w:rPr>
                <w:rFonts w:ascii="Arial" w:hAnsi="Arial" w:cs="Arial"/>
                <w:sz w:val="18"/>
                <w:szCs w:val="18"/>
              </w:rPr>
            </w:pPr>
            <w:r w:rsidRPr="00A70041">
              <w:rPr>
                <w:rFonts w:ascii="Arial" w:hAnsi="Arial" w:cs="Arial"/>
                <w:sz w:val="18"/>
                <w:szCs w:val="18"/>
              </w:rPr>
              <w:t>Before using this method or a new instrument, determine its operational range (upper and lower limits), or at least verify the intended range of use. For each analyte, use standard concentrations that provide</w:t>
            </w:r>
            <w:r>
              <w:rPr>
                <w:rFonts w:ascii="Arial" w:hAnsi="Arial" w:cs="Arial"/>
                <w:sz w:val="18"/>
                <w:szCs w:val="18"/>
              </w:rPr>
              <w:t xml:space="preserve"> </w:t>
            </w:r>
            <w:r w:rsidRPr="00A70041">
              <w:rPr>
                <w:rFonts w:ascii="Arial" w:hAnsi="Arial" w:cs="Arial"/>
                <w:sz w:val="18"/>
                <w:szCs w:val="18"/>
              </w:rPr>
              <w:t>increasing instrument or other test response. The minimum reporting level (MRL) is set at or above the lowest standard used in the analysis. Quantitation at the MRL must be verified initially and at least</w:t>
            </w:r>
            <w:r>
              <w:rPr>
                <w:rFonts w:ascii="Arial" w:hAnsi="Arial" w:cs="Arial"/>
                <w:sz w:val="18"/>
                <w:szCs w:val="18"/>
              </w:rPr>
              <w:t xml:space="preserve"> </w:t>
            </w:r>
            <w:r w:rsidRPr="00A70041">
              <w:rPr>
                <w:rFonts w:ascii="Arial" w:hAnsi="Arial" w:cs="Arial"/>
                <w:sz w:val="18"/>
                <w:szCs w:val="18"/>
              </w:rPr>
              <w:t>quarterly (</w:t>
            </w:r>
            <w:proofErr w:type="gramStart"/>
            <w:r w:rsidRPr="00A70041">
              <w:rPr>
                <w:rFonts w:ascii="Arial" w:hAnsi="Arial" w:cs="Arial"/>
                <w:sz w:val="18"/>
                <w:szCs w:val="18"/>
              </w:rPr>
              <w:t>preferable</w:t>
            </w:r>
            <w:proofErr w:type="gramEnd"/>
            <w:r w:rsidRPr="00A70041">
              <w:rPr>
                <w:rFonts w:ascii="Arial" w:hAnsi="Arial" w:cs="Arial"/>
                <w:sz w:val="18"/>
                <w:szCs w:val="18"/>
              </w:rPr>
              <w:t xml:space="preserve"> daily) by analyzing a QC sample. The standard must read within ±10% of the true value</w:t>
            </w:r>
            <w:r>
              <w:rPr>
                <w:rFonts w:ascii="Arial" w:hAnsi="Arial" w:cs="Arial"/>
                <w:sz w:val="18"/>
                <w:szCs w:val="18"/>
              </w:rPr>
              <w:t>.</w:t>
            </w:r>
          </w:p>
        </w:tc>
      </w:tr>
      <w:tr w:rsidR="00D374BC" w:rsidRPr="00A0149B" w14:paraId="616E0DDD" w14:textId="77777777" w:rsidTr="00B6519D">
        <w:trPr>
          <w:trHeight w:val="264"/>
        </w:trPr>
        <w:tc>
          <w:tcPr>
            <w:tcW w:w="350" w:type="dxa"/>
            <w:noWrap/>
            <w:vAlign w:val="center"/>
          </w:tcPr>
          <w:p w14:paraId="670D8DCB"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65B69427" w14:textId="17E26189" w:rsidR="00D374BC" w:rsidRDefault="00D374BC" w:rsidP="00D374BC">
            <w:pPr>
              <w:jc w:val="both"/>
              <w:rPr>
                <w:rFonts w:ascii="Arial" w:hAnsi="Arial" w:cs="Arial"/>
                <w:sz w:val="18"/>
                <w:szCs w:val="18"/>
              </w:rPr>
            </w:pPr>
            <w:r>
              <w:rPr>
                <w:rFonts w:ascii="Arial" w:hAnsi="Arial" w:cs="Arial"/>
                <w:sz w:val="18"/>
                <w:szCs w:val="18"/>
              </w:rPr>
              <w:t>What is the acceptance criterion of the verification standard used to determine the upper limit of the operational range?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p w14:paraId="0FE14A32" w14:textId="77777777" w:rsidR="00D374BC" w:rsidRDefault="00D374BC" w:rsidP="00D374BC">
            <w:pPr>
              <w:jc w:val="both"/>
              <w:rPr>
                <w:rFonts w:ascii="Arial" w:hAnsi="Arial" w:cs="Arial"/>
                <w:sz w:val="18"/>
                <w:szCs w:val="18"/>
              </w:rPr>
            </w:pPr>
          </w:p>
          <w:p w14:paraId="5D2060AE" w14:textId="4C73A3E1" w:rsidR="00D374BC" w:rsidRDefault="00D374BC" w:rsidP="00D374BC">
            <w:pPr>
              <w:jc w:val="both"/>
              <w:rPr>
                <w:rFonts w:ascii="Arial" w:hAnsi="Arial" w:cs="Arial"/>
                <w:b/>
                <w:bCs/>
                <w:sz w:val="18"/>
                <w:szCs w:val="18"/>
              </w:rPr>
            </w:pPr>
            <w:r>
              <w:rPr>
                <w:rFonts w:ascii="Arial" w:hAnsi="Arial" w:cs="Arial"/>
                <w:b/>
                <w:bCs/>
                <w:sz w:val="18"/>
                <w:szCs w:val="18"/>
              </w:rPr>
              <w:t>Answer:</w:t>
            </w:r>
          </w:p>
          <w:p w14:paraId="0E05887B" w14:textId="53D790F8" w:rsidR="00D374BC" w:rsidRDefault="00D374BC" w:rsidP="00D374BC">
            <w:pPr>
              <w:jc w:val="both"/>
              <w:rPr>
                <w:rFonts w:ascii="Arial" w:hAnsi="Arial" w:cs="Arial"/>
                <w:sz w:val="18"/>
                <w:szCs w:val="18"/>
              </w:rPr>
            </w:pPr>
          </w:p>
        </w:tc>
        <w:tc>
          <w:tcPr>
            <w:tcW w:w="431" w:type="dxa"/>
            <w:shd w:val="clear" w:color="auto" w:fill="D9D9D9" w:themeFill="background1" w:themeFillShade="D9"/>
            <w:noWrap/>
            <w:vAlign w:val="center"/>
          </w:tcPr>
          <w:p w14:paraId="05518119"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22D24838" w14:textId="77777777" w:rsidR="00D374BC" w:rsidRPr="00A0149B" w:rsidRDefault="00D374BC" w:rsidP="00D374BC">
            <w:pPr>
              <w:rPr>
                <w:rFonts w:ascii="Arial" w:hAnsi="Arial" w:cs="Arial"/>
                <w:sz w:val="18"/>
                <w:szCs w:val="18"/>
              </w:rPr>
            </w:pPr>
          </w:p>
        </w:tc>
        <w:tc>
          <w:tcPr>
            <w:tcW w:w="4896" w:type="dxa"/>
            <w:vAlign w:val="center"/>
          </w:tcPr>
          <w:p w14:paraId="78293F4B" w14:textId="77777777" w:rsidR="00D374BC" w:rsidRPr="00A0149B" w:rsidRDefault="00D374BC" w:rsidP="00D374BC">
            <w:pPr>
              <w:rPr>
                <w:rFonts w:ascii="Arial" w:hAnsi="Arial" w:cs="Arial"/>
                <w:sz w:val="18"/>
                <w:szCs w:val="18"/>
              </w:rPr>
            </w:pPr>
          </w:p>
        </w:tc>
      </w:tr>
      <w:tr w:rsidR="00D374BC" w:rsidRPr="00A0149B" w14:paraId="35FCC014" w14:textId="77777777" w:rsidTr="00B6519D">
        <w:trPr>
          <w:trHeight w:val="264"/>
        </w:trPr>
        <w:tc>
          <w:tcPr>
            <w:tcW w:w="350" w:type="dxa"/>
            <w:noWrap/>
            <w:vAlign w:val="center"/>
          </w:tcPr>
          <w:p w14:paraId="5616CD99"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43DA3927" w14:textId="6E2204F9" w:rsidR="00D374BC" w:rsidRDefault="00D374BC" w:rsidP="00D374BC">
            <w:pPr>
              <w:jc w:val="both"/>
              <w:rPr>
                <w:rFonts w:ascii="Arial" w:hAnsi="Arial" w:cs="Arial"/>
                <w:sz w:val="18"/>
                <w:szCs w:val="18"/>
              </w:rPr>
            </w:pPr>
            <w:r>
              <w:rPr>
                <w:rFonts w:ascii="Arial" w:hAnsi="Arial" w:cs="Arial"/>
                <w:sz w:val="18"/>
                <w:szCs w:val="18"/>
              </w:rPr>
              <w:t>Is the lower limit of the operational range of the meter determined before using this method, before using a new instrument and at least quarterly?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25CF6D74"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21A6BE47" w14:textId="77777777" w:rsidR="00D374BC" w:rsidRPr="00A0149B" w:rsidRDefault="00D374BC" w:rsidP="00D374BC">
            <w:pPr>
              <w:rPr>
                <w:rFonts w:ascii="Arial" w:hAnsi="Arial" w:cs="Arial"/>
                <w:sz w:val="18"/>
                <w:szCs w:val="18"/>
              </w:rPr>
            </w:pPr>
          </w:p>
        </w:tc>
        <w:tc>
          <w:tcPr>
            <w:tcW w:w="4896" w:type="dxa"/>
            <w:vAlign w:val="center"/>
          </w:tcPr>
          <w:p w14:paraId="14DE7A0B" w14:textId="77777777" w:rsidR="00D374BC" w:rsidRPr="00A0149B" w:rsidRDefault="00D374BC" w:rsidP="00D374BC">
            <w:pPr>
              <w:rPr>
                <w:rFonts w:ascii="Arial" w:hAnsi="Arial" w:cs="Arial"/>
                <w:sz w:val="18"/>
                <w:szCs w:val="18"/>
              </w:rPr>
            </w:pPr>
            <w:r>
              <w:rPr>
                <w:rFonts w:ascii="Arial" w:hAnsi="Arial" w:cs="Arial"/>
                <w:sz w:val="18"/>
                <w:szCs w:val="18"/>
              </w:rPr>
              <w:t>It is preferable to verify this each day that samples are analyzed.</w:t>
            </w:r>
          </w:p>
        </w:tc>
      </w:tr>
      <w:tr w:rsidR="00D374BC" w:rsidRPr="00A0149B" w14:paraId="75F9819C" w14:textId="77777777" w:rsidTr="00B6519D">
        <w:trPr>
          <w:trHeight w:val="264"/>
        </w:trPr>
        <w:tc>
          <w:tcPr>
            <w:tcW w:w="350" w:type="dxa"/>
            <w:noWrap/>
            <w:vAlign w:val="center"/>
          </w:tcPr>
          <w:p w14:paraId="3C618F11"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15C6CDAF" w14:textId="5F478B65" w:rsidR="00D374BC" w:rsidRDefault="00D374BC" w:rsidP="00D374BC">
            <w:pPr>
              <w:jc w:val="both"/>
              <w:rPr>
                <w:rFonts w:ascii="Arial" w:hAnsi="Arial" w:cs="Arial"/>
                <w:sz w:val="18"/>
                <w:szCs w:val="18"/>
              </w:rPr>
            </w:pPr>
            <w:r>
              <w:rPr>
                <w:rFonts w:ascii="Arial" w:hAnsi="Arial" w:cs="Arial"/>
                <w:sz w:val="18"/>
                <w:szCs w:val="18"/>
              </w:rPr>
              <w:t>What is the acceptance criterion of the verification standard used to determine the lower limit of the operational range?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p w14:paraId="5DB2E1EA" w14:textId="77777777" w:rsidR="00D374BC" w:rsidRDefault="00D374BC" w:rsidP="00D374BC">
            <w:pPr>
              <w:jc w:val="both"/>
              <w:rPr>
                <w:rFonts w:ascii="Arial" w:hAnsi="Arial" w:cs="Arial"/>
                <w:sz w:val="18"/>
                <w:szCs w:val="18"/>
              </w:rPr>
            </w:pPr>
          </w:p>
          <w:p w14:paraId="21B820B3" w14:textId="75E5B59E" w:rsidR="00D374BC" w:rsidRDefault="00D374BC" w:rsidP="00D374BC">
            <w:pPr>
              <w:jc w:val="both"/>
              <w:rPr>
                <w:rFonts w:ascii="Arial" w:hAnsi="Arial" w:cs="Arial"/>
                <w:b/>
                <w:bCs/>
                <w:sz w:val="18"/>
                <w:szCs w:val="18"/>
              </w:rPr>
            </w:pPr>
            <w:r>
              <w:rPr>
                <w:rFonts w:ascii="Arial" w:hAnsi="Arial" w:cs="Arial"/>
                <w:b/>
                <w:bCs/>
                <w:sz w:val="18"/>
                <w:szCs w:val="18"/>
              </w:rPr>
              <w:t>Answer:</w:t>
            </w:r>
          </w:p>
          <w:p w14:paraId="05BA43D0" w14:textId="2167AF2D" w:rsidR="00D374BC" w:rsidRPr="004B5D93" w:rsidRDefault="00D374BC" w:rsidP="00D374BC">
            <w:pPr>
              <w:jc w:val="both"/>
              <w:rPr>
                <w:rFonts w:ascii="Arial" w:hAnsi="Arial" w:cs="Arial"/>
                <w:b/>
                <w:bCs/>
                <w:sz w:val="18"/>
                <w:szCs w:val="18"/>
              </w:rPr>
            </w:pPr>
          </w:p>
        </w:tc>
        <w:tc>
          <w:tcPr>
            <w:tcW w:w="431" w:type="dxa"/>
            <w:shd w:val="clear" w:color="auto" w:fill="D9D9D9" w:themeFill="background1" w:themeFillShade="D9"/>
            <w:noWrap/>
            <w:vAlign w:val="center"/>
          </w:tcPr>
          <w:p w14:paraId="55C844B9"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7F0155F4" w14:textId="77777777" w:rsidR="00D374BC" w:rsidRPr="00A0149B" w:rsidRDefault="00D374BC" w:rsidP="00D374BC">
            <w:pPr>
              <w:rPr>
                <w:rFonts w:ascii="Arial" w:hAnsi="Arial" w:cs="Arial"/>
                <w:sz w:val="18"/>
                <w:szCs w:val="18"/>
              </w:rPr>
            </w:pPr>
          </w:p>
        </w:tc>
        <w:tc>
          <w:tcPr>
            <w:tcW w:w="4896" w:type="dxa"/>
            <w:vAlign w:val="center"/>
          </w:tcPr>
          <w:p w14:paraId="714B6F4B" w14:textId="77777777" w:rsidR="00D374BC" w:rsidRPr="00A0149B" w:rsidRDefault="00D374BC" w:rsidP="00D374BC">
            <w:pPr>
              <w:rPr>
                <w:rFonts w:ascii="Arial" w:hAnsi="Arial" w:cs="Arial"/>
                <w:sz w:val="18"/>
                <w:szCs w:val="18"/>
              </w:rPr>
            </w:pPr>
          </w:p>
        </w:tc>
      </w:tr>
      <w:tr w:rsidR="00D374BC" w:rsidRPr="00A0149B" w14:paraId="34DEA922" w14:textId="77777777" w:rsidTr="00B6519D">
        <w:trPr>
          <w:trHeight w:val="264"/>
        </w:trPr>
        <w:tc>
          <w:tcPr>
            <w:tcW w:w="350" w:type="dxa"/>
            <w:noWrap/>
            <w:vAlign w:val="center"/>
          </w:tcPr>
          <w:p w14:paraId="7FEE3721"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5EAD229F" w14:textId="75FD3C02" w:rsidR="00D374BC" w:rsidRDefault="00D374BC" w:rsidP="00D374BC">
            <w:pPr>
              <w:jc w:val="both"/>
              <w:rPr>
                <w:rFonts w:ascii="Arial" w:hAnsi="Arial" w:cs="Arial"/>
                <w:sz w:val="18"/>
                <w:szCs w:val="18"/>
              </w:rPr>
            </w:pPr>
            <w:r>
              <w:rPr>
                <w:rFonts w:ascii="Arial" w:hAnsi="Arial" w:cs="Arial"/>
                <w:sz w:val="18"/>
                <w:szCs w:val="18"/>
              </w:rPr>
              <w:t>What is the laboratory’s reporting limit for Salinity?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p w14:paraId="18AD02B9" w14:textId="77777777" w:rsidR="00D374BC" w:rsidRDefault="00D374BC" w:rsidP="00D374BC">
            <w:pPr>
              <w:jc w:val="both"/>
              <w:rPr>
                <w:rFonts w:ascii="Arial" w:hAnsi="Arial" w:cs="Arial"/>
                <w:sz w:val="18"/>
                <w:szCs w:val="18"/>
              </w:rPr>
            </w:pPr>
          </w:p>
          <w:p w14:paraId="51115F16" w14:textId="3C080A5E" w:rsidR="00D374BC" w:rsidRDefault="00D374BC" w:rsidP="00D374BC">
            <w:pPr>
              <w:jc w:val="both"/>
              <w:rPr>
                <w:rFonts w:ascii="Arial" w:hAnsi="Arial" w:cs="Arial"/>
                <w:b/>
                <w:bCs/>
                <w:sz w:val="18"/>
                <w:szCs w:val="18"/>
              </w:rPr>
            </w:pPr>
            <w:r>
              <w:rPr>
                <w:rFonts w:ascii="Arial" w:hAnsi="Arial" w:cs="Arial"/>
                <w:b/>
                <w:bCs/>
                <w:sz w:val="18"/>
                <w:szCs w:val="18"/>
              </w:rPr>
              <w:t>Answer:</w:t>
            </w:r>
          </w:p>
          <w:p w14:paraId="70C5D7C2" w14:textId="071701CE" w:rsidR="00D374BC" w:rsidRDefault="00D374BC" w:rsidP="00D374BC">
            <w:pPr>
              <w:jc w:val="both"/>
              <w:rPr>
                <w:rFonts w:ascii="Arial" w:hAnsi="Arial" w:cs="Arial"/>
                <w:sz w:val="18"/>
                <w:szCs w:val="18"/>
              </w:rPr>
            </w:pPr>
          </w:p>
        </w:tc>
        <w:tc>
          <w:tcPr>
            <w:tcW w:w="431" w:type="dxa"/>
            <w:shd w:val="clear" w:color="auto" w:fill="D9D9D9" w:themeFill="background1" w:themeFillShade="D9"/>
            <w:noWrap/>
            <w:vAlign w:val="center"/>
          </w:tcPr>
          <w:p w14:paraId="70F32788"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3B408890" w14:textId="77777777" w:rsidR="00D374BC" w:rsidRPr="00A0149B" w:rsidRDefault="00D374BC" w:rsidP="00D374BC">
            <w:pPr>
              <w:rPr>
                <w:rFonts w:ascii="Arial" w:hAnsi="Arial" w:cs="Arial"/>
                <w:sz w:val="18"/>
                <w:szCs w:val="18"/>
              </w:rPr>
            </w:pPr>
          </w:p>
        </w:tc>
        <w:tc>
          <w:tcPr>
            <w:tcW w:w="4896" w:type="dxa"/>
            <w:vAlign w:val="center"/>
          </w:tcPr>
          <w:p w14:paraId="35C3D567" w14:textId="77777777" w:rsidR="00D374BC" w:rsidRPr="00A0149B" w:rsidRDefault="00D374BC" w:rsidP="00D374BC">
            <w:pPr>
              <w:rPr>
                <w:rFonts w:ascii="Arial" w:hAnsi="Arial" w:cs="Arial"/>
                <w:sz w:val="18"/>
                <w:szCs w:val="18"/>
              </w:rPr>
            </w:pPr>
          </w:p>
        </w:tc>
      </w:tr>
      <w:tr w:rsidR="00D374BC" w:rsidRPr="00A0149B" w14:paraId="15FA0660" w14:textId="77777777" w:rsidTr="00B6519D">
        <w:trPr>
          <w:trHeight w:val="264"/>
        </w:trPr>
        <w:tc>
          <w:tcPr>
            <w:tcW w:w="350" w:type="dxa"/>
            <w:noWrap/>
            <w:vAlign w:val="center"/>
          </w:tcPr>
          <w:p w14:paraId="5D0B5996"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1778C056" w14:textId="58B78384" w:rsidR="00D374BC" w:rsidRDefault="00D374BC" w:rsidP="00D374BC">
            <w:pPr>
              <w:jc w:val="both"/>
              <w:rPr>
                <w:rFonts w:ascii="Arial" w:hAnsi="Arial"/>
                <w:spacing w:val="-2"/>
                <w:sz w:val="18"/>
                <w:szCs w:val="18"/>
              </w:rPr>
            </w:pPr>
            <w:r>
              <w:rPr>
                <w:rFonts w:ascii="Arial" w:hAnsi="Arial"/>
                <w:spacing w:val="-2"/>
                <w:sz w:val="18"/>
                <w:szCs w:val="18"/>
              </w:rPr>
              <w:t xml:space="preserve">Is the reporting limit at or above the concentration of the standard used to verify the lower limit of the operational range? </w:t>
            </w:r>
            <w:r>
              <w:rPr>
                <w:rFonts w:ascii="Arial" w:hAnsi="Arial" w:cs="Arial"/>
                <w:sz w:val="18"/>
                <w:szCs w:val="18"/>
              </w:rPr>
              <w:t>[</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0E776BDA"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16713E0C" w14:textId="77777777" w:rsidR="00D374BC" w:rsidRPr="00A0149B" w:rsidRDefault="00D374BC" w:rsidP="00D374BC">
            <w:pPr>
              <w:rPr>
                <w:rFonts w:ascii="Arial" w:hAnsi="Arial" w:cs="Arial"/>
                <w:sz w:val="18"/>
                <w:szCs w:val="18"/>
              </w:rPr>
            </w:pPr>
          </w:p>
        </w:tc>
        <w:tc>
          <w:tcPr>
            <w:tcW w:w="4896" w:type="dxa"/>
            <w:vAlign w:val="center"/>
          </w:tcPr>
          <w:p w14:paraId="11662083" w14:textId="77777777" w:rsidR="00D374BC" w:rsidRPr="00A0149B" w:rsidRDefault="00D374BC" w:rsidP="00D374BC">
            <w:pPr>
              <w:rPr>
                <w:rFonts w:ascii="Arial" w:hAnsi="Arial" w:cs="Arial"/>
                <w:sz w:val="18"/>
                <w:szCs w:val="18"/>
              </w:rPr>
            </w:pPr>
          </w:p>
        </w:tc>
      </w:tr>
      <w:tr w:rsidR="00D374BC" w:rsidRPr="00A0149B" w14:paraId="55E82A96" w14:textId="77777777" w:rsidTr="00B6519D">
        <w:trPr>
          <w:trHeight w:val="264"/>
        </w:trPr>
        <w:tc>
          <w:tcPr>
            <w:tcW w:w="350" w:type="dxa"/>
            <w:noWrap/>
            <w:vAlign w:val="center"/>
          </w:tcPr>
          <w:p w14:paraId="33D360F9"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4F3C10F7" w14:textId="55E0DFB0" w:rsidR="00D374BC" w:rsidRPr="00235FA9" w:rsidRDefault="00D374BC" w:rsidP="00D374BC">
            <w:pPr>
              <w:jc w:val="both"/>
              <w:rPr>
                <w:rFonts w:ascii="Arial" w:hAnsi="Arial" w:cs="Arial"/>
                <w:sz w:val="18"/>
                <w:szCs w:val="18"/>
              </w:rPr>
            </w:pPr>
            <w:r>
              <w:rPr>
                <w:rFonts w:ascii="Arial" w:hAnsi="Arial" w:cs="Arial"/>
                <w:sz w:val="18"/>
                <w:szCs w:val="18"/>
              </w:rPr>
              <w:t>Is the calibration verified with a second-source calibration verification check-standard immediately after calibration?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4E63ABC5"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60C18ED0" w14:textId="77777777" w:rsidR="00D374BC" w:rsidRPr="00A0149B" w:rsidRDefault="00D374BC" w:rsidP="00D374BC">
            <w:pPr>
              <w:rPr>
                <w:rFonts w:ascii="Arial" w:hAnsi="Arial" w:cs="Arial"/>
                <w:sz w:val="18"/>
                <w:szCs w:val="18"/>
              </w:rPr>
            </w:pPr>
          </w:p>
        </w:tc>
        <w:tc>
          <w:tcPr>
            <w:tcW w:w="4896" w:type="dxa"/>
            <w:vAlign w:val="center"/>
          </w:tcPr>
          <w:p w14:paraId="7C90B121" w14:textId="77777777" w:rsidR="00D374BC" w:rsidRPr="00A0149B" w:rsidRDefault="00D374BC" w:rsidP="00D374BC">
            <w:pPr>
              <w:jc w:val="both"/>
              <w:rPr>
                <w:rFonts w:ascii="Arial" w:hAnsi="Arial" w:cs="Arial"/>
                <w:sz w:val="18"/>
                <w:szCs w:val="18"/>
              </w:rPr>
            </w:pPr>
            <w:r>
              <w:rPr>
                <w:rFonts w:ascii="Arial" w:hAnsi="Arial" w:cs="Arial"/>
                <w:sz w:val="18"/>
                <w:szCs w:val="18"/>
              </w:rPr>
              <w:t>It is recommended that the concentration of this standard approximate the expected range of sample values measured.</w:t>
            </w:r>
          </w:p>
        </w:tc>
      </w:tr>
      <w:tr w:rsidR="00D374BC" w:rsidRPr="00A0149B" w14:paraId="6C03998D" w14:textId="77777777" w:rsidTr="00B6519D">
        <w:trPr>
          <w:trHeight w:val="264"/>
        </w:trPr>
        <w:tc>
          <w:tcPr>
            <w:tcW w:w="350" w:type="dxa"/>
            <w:noWrap/>
            <w:vAlign w:val="center"/>
          </w:tcPr>
          <w:p w14:paraId="46B6900A"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64C0976A" w14:textId="67107253" w:rsidR="00D374BC" w:rsidRPr="00235FA9" w:rsidRDefault="00D374BC" w:rsidP="00D374BC">
            <w:pPr>
              <w:jc w:val="both"/>
              <w:rPr>
                <w:rFonts w:ascii="Arial" w:hAnsi="Arial" w:cs="Arial"/>
                <w:sz w:val="18"/>
                <w:szCs w:val="18"/>
              </w:rPr>
            </w:pPr>
            <w:r>
              <w:rPr>
                <w:rFonts w:ascii="Arial" w:hAnsi="Arial" w:cs="Arial"/>
                <w:sz w:val="18"/>
                <w:szCs w:val="18"/>
              </w:rPr>
              <w:t xml:space="preserve">Is the probe rinsed with </w:t>
            </w:r>
            <w:r w:rsidRPr="00ED6130">
              <w:rPr>
                <w:rFonts w:ascii="Arial" w:hAnsi="Arial" w:cs="Arial"/>
                <w:sz w:val="18"/>
                <w:szCs w:val="18"/>
              </w:rPr>
              <w:t>one or more portions (three recommended)</w:t>
            </w:r>
            <w:r>
              <w:rPr>
                <w:rFonts w:ascii="Arial" w:hAnsi="Arial" w:cs="Arial"/>
                <w:sz w:val="18"/>
                <w:szCs w:val="18"/>
              </w:rPr>
              <w:t xml:space="preserve"> of the second-source calibration verification check-standard prior to analysis? [</w:t>
            </w:r>
            <w:r w:rsidRPr="00C519C4">
              <w:rPr>
                <w:rFonts w:ascii="Arial" w:hAnsi="Arial" w:cs="Arial"/>
                <w:sz w:val="18"/>
                <w:szCs w:val="18"/>
              </w:rPr>
              <w:t>NC WW/GW LC</w:t>
            </w:r>
            <w:r>
              <w:rPr>
                <w:rFonts w:ascii="Arial" w:hAnsi="Arial" w:cs="Arial"/>
                <w:sz w:val="18"/>
                <w:szCs w:val="18"/>
              </w:rPr>
              <w:t>B</w:t>
            </w:r>
            <w:r w:rsidRPr="00C519C4">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4B7D97CC"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2C35423B" w14:textId="77777777" w:rsidR="00D374BC" w:rsidRPr="00A0149B" w:rsidRDefault="00D374BC" w:rsidP="00D374BC">
            <w:pPr>
              <w:rPr>
                <w:rFonts w:ascii="Arial" w:hAnsi="Arial" w:cs="Arial"/>
                <w:sz w:val="18"/>
                <w:szCs w:val="18"/>
              </w:rPr>
            </w:pPr>
          </w:p>
        </w:tc>
        <w:tc>
          <w:tcPr>
            <w:tcW w:w="4896" w:type="dxa"/>
            <w:vAlign w:val="center"/>
          </w:tcPr>
          <w:p w14:paraId="123A921A" w14:textId="77777777" w:rsidR="00D374BC" w:rsidRPr="00A0149B" w:rsidRDefault="00D374BC" w:rsidP="00D374BC">
            <w:pPr>
              <w:jc w:val="both"/>
              <w:rPr>
                <w:rFonts w:ascii="Arial" w:hAnsi="Arial" w:cs="Arial"/>
                <w:sz w:val="18"/>
                <w:szCs w:val="18"/>
              </w:rPr>
            </w:pPr>
          </w:p>
        </w:tc>
      </w:tr>
      <w:tr w:rsidR="00D374BC" w:rsidRPr="00A0149B" w14:paraId="26A4A80C" w14:textId="77777777" w:rsidTr="00B6519D">
        <w:trPr>
          <w:trHeight w:val="980"/>
        </w:trPr>
        <w:tc>
          <w:tcPr>
            <w:tcW w:w="350" w:type="dxa"/>
            <w:noWrap/>
            <w:vAlign w:val="center"/>
          </w:tcPr>
          <w:p w14:paraId="5540438E" w14:textId="1B12EC21" w:rsidR="00D374BC" w:rsidRDefault="00D374BC" w:rsidP="00D374BC">
            <w:pPr>
              <w:pStyle w:val="ListParagraph"/>
              <w:numPr>
                <w:ilvl w:val="0"/>
                <w:numId w:val="6"/>
              </w:numPr>
              <w:ind w:left="0" w:firstLine="0"/>
              <w:rPr>
                <w:rFonts w:ascii="Arial" w:hAnsi="Arial" w:cs="Arial"/>
                <w:sz w:val="18"/>
                <w:szCs w:val="18"/>
              </w:rPr>
            </w:pPr>
            <w:r>
              <w:rPr>
                <w:rFonts w:ascii="Arial" w:hAnsi="Arial" w:cs="Arial"/>
                <w:sz w:val="18"/>
                <w:szCs w:val="18"/>
              </w:rPr>
              <w:t>g</w:t>
            </w:r>
          </w:p>
        </w:tc>
        <w:tc>
          <w:tcPr>
            <w:tcW w:w="4896" w:type="dxa"/>
            <w:noWrap/>
            <w:vAlign w:val="center"/>
          </w:tcPr>
          <w:p w14:paraId="18CF86F9" w14:textId="71838268" w:rsidR="00D374BC" w:rsidRPr="008A1EBF" w:rsidRDefault="00D374BC" w:rsidP="00D374BC">
            <w:pPr>
              <w:jc w:val="both"/>
              <w:rPr>
                <w:rFonts w:ascii="Arial" w:hAnsi="Arial" w:cs="Arial"/>
                <w:sz w:val="18"/>
                <w:szCs w:val="18"/>
              </w:rPr>
            </w:pPr>
            <w:r w:rsidRPr="008A1EBF">
              <w:rPr>
                <w:rFonts w:ascii="Arial" w:hAnsi="Arial" w:cs="Arial"/>
                <w:sz w:val="18"/>
                <w:szCs w:val="18"/>
              </w:rPr>
              <w:t xml:space="preserve">What is the true value of the </w:t>
            </w:r>
            <w:r>
              <w:rPr>
                <w:rFonts w:ascii="Arial" w:hAnsi="Arial" w:cs="Arial"/>
                <w:sz w:val="18"/>
                <w:szCs w:val="18"/>
              </w:rPr>
              <w:t>second-source calibration verification</w:t>
            </w:r>
            <w:r w:rsidRPr="008A1EBF">
              <w:rPr>
                <w:rFonts w:ascii="Arial" w:hAnsi="Arial" w:cs="Arial"/>
                <w:sz w:val="18"/>
                <w:szCs w:val="18"/>
              </w:rPr>
              <w:t xml:space="preserve"> check</w:t>
            </w:r>
            <w:r>
              <w:rPr>
                <w:rFonts w:ascii="Arial" w:hAnsi="Arial" w:cs="Arial"/>
                <w:sz w:val="18"/>
                <w:szCs w:val="18"/>
              </w:rPr>
              <w:t>-</w:t>
            </w:r>
            <w:r w:rsidRPr="008A1EBF">
              <w:rPr>
                <w:rFonts w:ascii="Arial" w:hAnsi="Arial" w:cs="Arial"/>
                <w:sz w:val="18"/>
                <w:szCs w:val="18"/>
              </w:rPr>
              <w:t>standard?</w:t>
            </w:r>
          </w:p>
          <w:p w14:paraId="1FA6E566" w14:textId="77777777" w:rsidR="00D374BC" w:rsidRDefault="00D374BC" w:rsidP="00D374BC">
            <w:pPr>
              <w:jc w:val="both"/>
              <w:rPr>
                <w:rFonts w:ascii="Arial" w:hAnsi="Arial" w:cs="Arial"/>
                <w:b/>
                <w:bCs/>
                <w:sz w:val="18"/>
                <w:szCs w:val="18"/>
              </w:rPr>
            </w:pPr>
          </w:p>
          <w:p w14:paraId="09F1F440" w14:textId="77777777" w:rsidR="00D374BC" w:rsidRDefault="00D374BC" w:rsidP="00D374BC">
            <w:pPr>
              <w:jc w:val="both"/>
              <w:rPr>
                <w:rFonts w:ascii="Arial" w:hAnsi="Arial" w:cs="Arial"/>
                <w:b/>
                <w:bCs/>
                <w:sz w:val="18"/>
                <w:szCs w:val="18"/>
              </w:rPr>
            </w:pPr>
            <w:r w:rsidRPr="00781263">
              <w:rPr>
                <w:rFonts w:ascii="Arial" w:hAnsi="Arial" w:cs="Arial"/>
                <w:b/>
                <w:bCs/>
                <w:sz w:val="18"/>
                <w:szCs w:val="18"/>
              </w:rPr>
              <w:t>Check standard value:</w:t>
            </w:r>
          </w:p>
          <w:p w14:paraId="1D6C8517" w14:textId="72AA4A51" w:rsidR="00D374BC" w:rsidRPr="00781263" w:rsidRDefault="00D374BC" w:rsidP="00D374BC">
            <w:pPr>
              <w:jc w:val="both"/>
              <w:rPr>
                <w:rFonts w:ascii="Arial" w:hAnsi="Arial" w:cs="Arial"/>
                <w:b/>
                <w:bCs/>
                <w:sz w:val="18"/>
                <w:szCs w:val="18"/>
              </w:rPr>
            </w:pPr>
          </w:p>
        </w:tc>
        <w:tc>
          <w:tcPr>
            <w:tcW w:w="431" w:type="dxa"/>
            <w:shd w:val="clear" w:color="auto" w:fill="D9D9D9" w:themeFill="background1" w:themeFillShade="D9"/>
            <w:noWrap/>
            <w:vAlign w:val="center"/>
          </w:tcPr>
          <w:p w14:paraId="673A8969"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4BB67AFA" w14:textId="77777777" w:rsidR="00D374BC" w:rsidRPr="00A0149B" w:rsidRDefault="00D374BC" w:rsidP="00D374BC">
            <w:pPr>
              <w:rPr>
                <w:rFonts w:ascii="Arial" w:hAnsi="Arial" w:cs="Arial"/>
                <w:sz w:val="18"/>
                <w:szCs w:val="18"/>
              </w:rPr>
            </w:pPr>
          </w:p>
        </w:tc>
        <w:tc>
          <w:tcPr>
            <w:tcW w:w="4896" w:type="dxa"/>
            <w:vAlign w:val="center"/>
          </w:tcPr>
          <w:p w14:paraId="3298AFFF" w14:textId="77777777" w:rsidR="00D374BC" w:rsidRDefault="00D374BC" w:rsidP="00D374BC">
            <w:pPr>
              <w:jc w:val="both"/>
              <w:rPr>
                <w:rFonts w:ascii="Arial" w:hAnsi="Arial" w:cs="Arial"/>
                <w:sz w:val="18"/>
                <w:szCs w:val="18"/>
              </w:rPr>
            </w:pPr>
          </w:p>
        </w:tc>
      </w:tr>
      <w:tr w:rsidR="00D374BC" w:rsidRPr="00A0149B" w14:paraId="4EA8B581" w14:textId="77777777" w:rsidTr="00B6519D">
        <w:trPr>
          <w:trHeight w:val="264"/>
        </w:trPr>
        <w:tc>
          <w:tcPr>
            <w:tcW w:w="350" w:type="dxa"/>
            <w:noWrap/>
            <w:vAlign w:val="center"/>
          </w:tcPr>
          <w:p w14:paraId="6126B992"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25A9FFEA" w14:textId="14E1ED32" w:rsidR="00D374BC" w:rsidRPr="00235FA9" w:rsidRDefault="00D374BC" w:rsidP="00D374BC">
            <w:pPr>
              <w:jc w:val="both"/>
              <w:rPr>
                <w:rFonts w:ascii="Arial" w:hAnsi="Arial" w:cs="Arial"/>
                <w:sz w:val="18"/>
                <w:szCs w:val="18"/>
              </w:rPr>
            </w:pPr>
            <w:r>
              <w:rPr>
                <w:rFonts w:ascii="Arial" w:hAnsi="Arial" w:cs="Arial"/>
                <w:sz w:val="18"/>
                <w:szCs w:val="18"/>
              </w:rPr>
              <w:t>Is the acceptance criterion of the second-source calibration verification check-standard ±10% of the true value? [</w:t>
            </w:r>
            <w:r w:rsidRPr="003311B2">
              <w:rPr>
                <w:rFonts w:ascii="Arial" w:hAnsi="Arial" w:cs="Arial"/>
                <w:sz w:val="18"/>
                <w:szCs w:val="18"/>
              </w:rPr>
              <w:t>NC WW/GW LC</w:t>
            </w:r>
            <w:r>
              <w:rPr>
                <w:rFonts w:ascii="Arial" w:hAnsi="Arial" w:cs="Arial"/>
                <w:sz w:val="18"/>
                <w:szCs w:val="18"/>
              </w:rPr>
              <w:t>B</w:t>
            </w:r>
            <w:r w:rsidRPr="003311B2">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05CB80BD"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6B168622" w14:textId="77777777" w:rsidR="00D374BC" w:rsidRPr="00A0149B" w:rsidRDefault="00D374BC" w:rsidP="00D374BC">
            <w:pPr>
              <w:rPr>
                <w:rFonts w:ascii="Arial" w:hAnsi="Arial" w:cs="Arial"/>
                <w:sz w:val="18"/>
                <w:szCs w:val="18"/>
              </w:rPr>
            </w:pPr>
          </w:p>
        </w:tc>
        <w:tc>
          <w:tcPr>
            <w:tcW w:w="4896" w:type="dxa"/>
            <w:vAlign w:val="center"/>
          </w:tcPr>
          <w:p w14:paraId="5A24BE63" w14:textId="77777777" w:rsidR="00D374BC" w:rsidRPr="00A0149B" w:rsidRDefault="00D374BC" w:rsidP="00D374BC">
            <w:pPr>
              <w:jc w:val="both"/>
              <w:rPr>
                <w:rFonts w:ascii="Arial" w:hAnsi="Arial" w:cs="Arial"/>
                <w:sz w:val="18"/>
                <w:szCs w:val="18"/>
              </w:rPr>
            </w:pPr>
            <w:r>
              <w:rPr>
                <w:rFonts w:ascii="Arial" w:hAnsi="Arial" w:cs="Arial"/>
                <w:sz w:val="18"/>
                <w:szCs w:val="18"/>
              </w:rPr>
              <w:t>If the obtained value is not ±10% of the true value, corrective action must be taken.</w:t>
            </w:r>
          </w:p>
        </w:tc>
      </w:tr>
      <w:tr w:rsidR="00D374BC" w:rsidRPr="00A0149B" w14:paraId="5A468FDD" w14:textId="77777777" w:rsidTr="00B6519D">
        <w:trPr>
          <w:trHeight w:val="264"/>
        </w:trPr>
        <w:tc>
          <w:tcPr>
            <w:tcW w:w="350" w:type="dxa"/>
            <w:noWrap/>
            <w:vAlign w:val="center"/>
          </w:tcPr>
          <w:p w14:paraId="2DBB3EA8"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35D9ACBF" w14:textId="76F791E8" w:rsidR="00D374BC" w:rsidRDefault="00D374BC" w:rsidP="00D374BC">
            <w:pPr>
              <w:jc w:val="both"/>
              <w:rPr>
                <w:rFonts w:ascii="Arial" w:hAnsi="Arial"/>
                <w:spacing w:val="-2"/>
                <w:sz w:val="18"/>
                <w:szCs w:val="18"/>
              </w:rPr>
            </w:pPr>
            <w:r w:rsidRPr="00425060">
              <w:rPr>
                <w:rFonts w:ascii="Arial" w:hAnsi="Arial"/>
                <w:spacing w:val="-2"/>
                <w:sz w:val="18"/>
                <w:szCs w:val="18"/>
              </w:rPr>
              <w:t xml:space="preserve">What corrective action is taken if the </w:t>
            </w:r>
            <w:r>
              <w:rPr>
                <w:rFonts w:ascii="Arial" w:hAnsi="Arial" w:cs="Arial"/>
                <w:sz w:val="18"/>
                <w:szCs w:val="18"/>
              </w:rPr>
              <w:t>second-source calibration verification</w:t>
            </w:r>
            <w:r w:rsidRPr="00425060">
              <w:rPr>
                <w:rFonts w:ascii="Arial" w:hAnsi="Arial"/>
                <w:spacing w:val="-2"/>
                <w:sz w:val="18"/>
                <w:szCs w:val="18"/>
              </w:rPr>
              <w:t xml:space="preserve"> check</w:t>
            </w:r>
            <w:r>
              <w:rPr>
                <w:rFonts w:ascii="Arial" w:hAnsi="Arial"/>
                <w:spacing w:val="-2"/>
                <w:sz w:val="18"/>
                <w:szCs w:val="18"/>
              </w:rPr>
              <w:t>-</w:t>
            </w:r>
            <w:r w:rsidRPr="00425060">
              <w:rPr>
                <w:rFonts w:ascii="Arial" w:hAnsi="Arial"/>
                <w:spacing w:val="-2"/>
                <w:sz w:val="18"/>
                <w:szCs w:val="18"/>
              </w:rPr>
              <w:t xml:space="preserve">standard does not meet the acceptance </w:t>
            </w:r>
            <w:proofErr w:type="gramStart"/>
            <w:r w:rsidRPr="00425060">
              <w:rPr>
                <w:rFonts w:ascii="Arial" w:hAnsi="Arial"/>
                <w:spacing w:val="-2"/>
                <w:sz w:val="18"/>
                <w:szCs w:val="18"/>
              </w:rPr>
              <w:t>criterion</w:t>
            </w:r>
            <w:proofErr w:type="gramEnd"/>
            <w:r w:rsidRPr="00425060">
              <w:rPr>
                <w:rFonts w:ascii="Arial" w:hAnsi="Arial"/>
                <w:spacing w:val="-2"/>
                <w:sz w:val="18"/>
                <w:szCs w:val="18"/>
              </w:rPr>
              <w:t xml:space="preserve">? </w:t>
            </w:r>
            <w:r>
              <w:rPr>
                <w:rFonts w:ascii="Arial" w:hAnsi="Arial"/>
                <w:spacing w:val="-2"/>
                <w:sz w:val="18"/>
                <w:szCs w:val="18"/>
              </w:rPr>
              <w:t>[</w:t>
            </w:r>
            <w:r w:rsidRPr="00425060">
              <w:rPr>
                <w:rFonts w:ascii="Arial" w:hAnsi="Arial"/>
                <w:spacing w:val="-2"/>
                <w:sz w:val="18"/>
                <w:szCs w:val="18"/>
              </w:rPr>
              <w:t xml:space="preserve">15A NCAC </w:t>
            </w:r>
            <w:r>
              <w:rPr>
                <w:rFonts w:ascii="Arial" w:hAnsi="Arial"/>
                <w:spacing w:val="-2"/>
                <w:sz w:val="18"/>
                <w:szCs w:val="18"/>
              </w:rPr>
              <w:t>0</w:t>
            </w:r>
            <w:r w:rsidRPr="00425060">
              <w:rPr>
                <w:rFonts w:ascii="Arial" w:hAnsi="Arial"/>
                <w:spacing w:val="-2"/>
                <w:sz w:val="18"/>
                <w:szCs w:val="18"/>
              </w:rPr>
              <w:t>2H .0805 (g) (8)]</w:t>
            </w:r>
          </w:p>
          <w:p w14:paraId="1B1F9FCA" w14:textId="77777777" w:rsidR="00D374BC" w:rsidRDefault="00D374BC" w:rsidP="00D374BC">
            <w:pPr>
              <w:jc w:val="both"/>
              <w:rPr>
                <w:rFonts w:ascii="Arial" w:hAnsi="Arial"/>
                <w:spacing w:val="-2"/>
                <w:sz w:val="18"/>
                <w:szCs w:val="18"/>
              </w:rPr>
            </w:pPr>
          </w:p>
          <w:p w14:paraId="46A66376" w14:textId="76BAE417" w:rsidR="00D374BC" w:rsidRDefault="00D374BC" w:rsidP="00D374BC">
            <w:pPr>
              <w:jc w:val="both"/>
              <w:rPr>
                <w:rFonts w:ascii="Arial" w:hAnsi="Arial" w:cs="Arial"/>
                <w:b/>
                <w:bCs/>
                <w:sz w:val="18"/>
                <w:szCs w:val="18"/>
              </w:rPr>
            </w:pPr>
            <w:r>
              <w:rPr>
                <w:rFonts w:ascii="Arial" w:hAnsi="Arial" w:cs="Arial"/>
                <w:b/>
                <w:bCs/>
                <w:sz w:val="18"/>
                <w:szCs w:val="18"/>
              </w:rPr>
              <w:t>Answer:</w:t>
            </w:r>
          </w:p>
          <w:p w14:paraId="035F8D19" w14:textId="417A3FFE" w:rsidR="00D374BC" w:rsidRDefault="00D374BC" w:rsidP="00D374BC">
            <w:pPr>
              <w:jc w:val="both"/>
              <w:rPr>
                <w:rFonts w:ascii="Arial" w:hAnsi="Arial"/>
                <w:spacing w:val="-2"/>
                <w:sz w:val="18"/>
                <w:szCs w:val="18"/>
              </w:rPr>
            </w:pPr>
          </w:p>
        </w:tc>
        <w:tc>
          <w:tcPr>
            <w:tcW w:w="431" w:type="dxa"/>
            <w:shd w:val="clear" w:color="auto" w:fill="D9D9D9" w:themeFill="background1" w:themeFillShade="D9"/>
            <w:noWrap/>
            <w:vAlign w:val="center"/>
          </w:tcPr>
          <w:p w14:paraId="03B4B84D"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470F08A3" w14:textId="77777777" w:rsidR="00D374BC" w:rsidRPr="00A0149B" w:rsidRDefault="00D374BC" w:rsidP="00D374BC">
            <w:pPr>
              <w:rPr>
                <w:rFonts w:ascii="Arial" w:hAnsi="Arial" w:cs="Arial"/>
                <w:sz w:val="18"/>
                <w:szCs w:val="18"/>
              </w:rPr>
            </w:pPr>
          </w:p>
        </w:tc>
        <w:tc>
          <w:tcPr>
            <w:tcW w:w="4896" w:type="dxa"/>
            <w:vAlign w:val="center"/>
          </w:tcPr>
          <w:p w14:paraId="26CB2491" w14:textId="77777777" w:rsidR="00D374BC" w:rsidRPr="005D54E4" w:rsidRDefault="00D374BC" w:rsidP="00D374BC">
            <w:pPr>
              <w:rPr>
                <w:rFonts w:ascii="Arial" w:hAnsi="Arial" w:cs="Arial"/>
                <w:sz w:val="18"/>
                <w:szCs w:val="18"/>
              </w:rPr>
            </w:pPr>
          </w:p>
        </w:tc>
      </w:tr>
      <w:tr w:rsidR="00D374BC" w:rsidRPr="00A0149B" w14:paraId="1DB728BF" w14:textId="77777777" w:rsidTr="009952A0">
        <w:trPr>
          <w:trHeight w:val="264"/>
        </w:trPr>
        <w:tc>
          <w:tcPr>
            <w:tcW w:w="350" w:type="dxa"/>
            <w:noWrap/>
            <w:vAlign w:val="center"/>
          </w:tcPr>
          <w:p w14:paraId="3947F207"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tcPr>
          <w:p w14:paraId="181CBA0E" w14:textId="58E7A11E" w:rsidR="00D374BC" w:rsidRDefault="00D374BC" w:rsidP="00D374BC">
            <w:pPr>
              <w:rPr>
                <w:rFonts w:ascii="Arial" w:hAnsi="Arial"/>
                <w:spacing w:val="-2"/>
                <w:sz w:val="18"/>
                <w:szCs w:val="18"/>
              </w:rPr>
            </w:pPr>
            <w:r>
              <w:rPr>
                <w:rFonts w:ascii="Arial" w:hAnsi="Arial"/>
                <w:spacing w:val="-2"/>
                <w:sz w:val="18"/>
                <w:szCs w:val="18"/>
              </w:rPr>
              <w:t xml:space="preserve">If </w:t>
            </w:r>
            <w:r w:rsidR="00BA7FBA">
              <w:rPr>
                <w:rFonts w:ascii="Arial" w:hAnsi="Arial"/>
                <w:spacing w:val="-2"/>
                <w:sz w:val="18"/>
                <w:szCs w:val="18"/>
              </w:rPr>
              <w:t>the meter is transported by vehicle to another location after calibration</w:t>
            </w:r>
            <w:r>
              <w:rPr>
                <w:rFonts w:ascii="Arial" w:hAnsi="Arial"/>
                <w:spacing w:val="-2"/>
                <w:sz w:val="18"/>
                <w:szCs w:val="18"/>
              </w:rPr>
              <w:t xml:space="preserve">, is a post-analysis calibration verification check-standard analyzed following the last sample? </w:t>
            </w:r>
            <w:r>
              <w:rPr>
                <w:rFonts w:ascii="Arial" w:hAnsi="Arial" w:cs="Arial"/>
                <w:sz w:val="18"/>
                <w:szCs w:val="18"/>
              </w:rPr>
              <w:t>[</w:t>
            </w:r>
            <w:r w:rsidRPr="002B3663">
              <w:rPr>
                <w:rFonts w:ascii="Arial" w:hAnsi="Arial" w:cs="Arial"/>
                <w:sz w:val="18"/>
                <w:szCs w:val="18"/>
              </w:rPr>
              <w:t>NC WW/GW LC</w:t>
            </w:r>
            <w:r>
              <w:rPr>
                <w:rFonts w:ascii="Arial" w:hAnsi="Arial" w:cs="Arial"/>
                <w:sz w:val="18"/>
                <w:szCs w:val="18"/>
              </w:rPr>
              <w:t>B</w:t>
            </w:r>
            <w:r w:rsidRPr="002B3663">
              <w:rPr>
                <w:rFonts w:ascii="Arial" w:hAnsi="Arial" w:cs="Arial"/>
                <w:sz w:val="18"/>
                <w:szCs w:val="18"/>
              </w:rPr>
              <w:t xml:space="preserve"> </w:t>
            </w:r>
            <w:r>
              <w:rPr>
                <w:rFonts w:ascii="Arial" w:hAnsi="Arial" w:cs="Arial"/>
                <w:sz w:val="18"/>
                <w:szCs w:val="18"/>
              </w:rPr>
              <w:t>Approved Procedure for the Analysis of Salinity]</w:t>
            </w:r>
            <w:r>
              <w:rPr>
                <w:rFonts w:ascii="Arial" w:hAnsi="Arial"/>
                <w:spacing w:val="-2"/>
                <w:sz w:val="18"/>
                <w:szCs w:val="18"/>
              </w:rPr>
              <w:t xml:space="preserve"> </w:t>
            </w:r>
          </w:p>
        </w:tc>
        <w:tc>
          <w:tcPr>
            <w:tcW w:w="431" w:type="dxa"/>
            <w:shd w:val="clear" w:color="auto" w:fill="FFFFFF" w:themeFill="background1"/>
            <w:noWrap/>
            <w:vAlign w:val="center"/>
          </w:tcPr>
          <w:p w14:paraId="211A77D1"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0F734068" w14:textId="77777777" w:rsidR="00D374BC" w:rsidRPr="00A0149B" w:rsidRDefault="00D374BC" w:rsidP="00D374BC">
            <w:pPr>
              <w:rPr>
                <w:rFonts w:ascii="Arial" w:hAnsi="Arial" w:cs="Arial"/>
                <w:sz w:val="18"/>
                <w:szCs w:val="18"/>
              </w:rPr>
            </w:pPr>
          </w:p>
        </w:tc>
        <w:tc>
          <w:tcPr>
            <w:tcW w:w="4896" w:type="dxa"/>
            <w:vAlign w:val="center"/>
          </w:tcPr>
          <w:p w14:paraId="537A8117" w14:textId="77777777" w:rsidR="00D374BC" w:rsidRPr="00A0149B" w:rsidRDefault="00D374BC" w:rsidP="00D374BC">
            <w:pPr>
              <w:jc w:val="both"/>
              <w:rPr>
                <w:rFonts w:ascii="Arial" w:hAnsi="Arial" w:cs="Arial"/>
                <w:sz w:val="18"/>
                <w:szCs w:val="18"/>
              </w:rPr>
            </w:pPr>
            <w:r w:rsidRPr="005D54E4">
              <w:rPr>
                <w:rFonts w:ascii="Arial" w:hAnsi="Arial" w:cs="Arial"/>
                <w:sz w:val="18"/>
                <w:szCs w:val="18"/>
              </w:rPr>
              <w:t xml:space="preserve">It is recommended that a mid-day or a mid-batch calibration verification be performed when samples are analyzed over an extended </w:t>
            </w:r>
            <w:proofErr w:type="gramStart"/>
            <w:r w:rsidRPr="005D54E4">
              <w:rPr>
                <w:rFonts w:ascii="Arial" w:hAnsi="Arial" w:cs="Arial"/>
                <w:sz w:val="18"/>
                <w:szCs w:val="18"/>
              </w:rPr>
              <w:t>period of time</w:t>
            </w:r>
            <w:proofErr w:type="gramEnd"/>
            <w:r w:rsidRPr="005D54E4">
              <w:rPr>
                <w:rFonts w:ascii="Arial" w:hAnsi="Arial" w:cs="Arial"/>
                <w:sz w:val="18"/>
                <w:szCs w:val="18"/>
              </w:rPr>
              <w:t>.</w:t>
            </w:r>
          </w:p>
        </w:tc>
      </w:tr>
      <w:tr w:rsidR="00D374BC" w:rsidRPr="00A0149B" w14:paraId="40AC2D34" w14:textId="77777777" w:rsidTr="00B6519D">
        <w:trPr>
          <w:trHeight w:val="264"/>
        </w:trPr>
        <w:tc>
          <w:tcPr>
            <w:tcW w:w="350" w:type="dxa"/>
            <w:noWrap/>
            <w:vAlign w:val="center"/>
          </w:tcPr>
          <w:p w14:paraId="16A2F59D"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04B553CB" w14:textId="762F9D97" w:rsidR="00D374BC" w:rsidRPr="00235FA9" w:rsidRDefault="00D374BC" w:rsidP="00D374BC">
            <w:pPr>
              <w:jc w:val="both"/>
              <w:rPr>
                <w:rFonts w:ascii="Arial" w:hAnsi="Arial" w:cs="Arial"/>
                <w:sz w:val="18"/>
                <w:szCs w:val="18"/>
              </w:rPr>
            </w:pPr>
            <w:r>
              <w:rPr>
                <w:rFonts w:ascii="Arial" w:hAnsi="Arial" w:cs="Arial"/>
                <w:sz w:val="18"/>
                <w:szCs w:val="18"/>
              </w:rPr>
              <w:t>Is the acceptance criterion of the post-analysis calibration verification check-standard ±10% of the true value? [</w:t>
            </w:r>
            <w:r w:rsidRPr="002B3663">
              <w:rPr>
                <w:rFonts w:ascii="Arial" w:hAnsi="Arial" w:cs="Arial"/>
                <w:sz w:val="18"/>
                <w:szCs w:val="18"/>
              </w:rPr>
              <w:t>NC WW/GW LC</w:t>
            </w:r>
            <w:r>
              <w:rPr>
                <w:rFonts w:ascii="Arial" w:hAnsi="Arial" w:cs="Arial"/>
                <w:sz w:val="18"/>
                <w:szCs w:val="18"/>
              </w:rPr>
              <w:t>B</w:t>
            </w:r>
            <w:r w:rsidRPr="002B3663">
              <w:rPr>
                <w:rFonts w:ascii="Arial" w:hAnsi="Arial" w:cs="Arial"/>
                <w:sz w:val="18"/>
                <w:szCs w:val="18"/>
              </w:rPr>
              <w:t xml:space="preserve"> </w:t>
            </w:r>
            <w:r>
              <w:rPr>
                <w:rFonts w:ascii="Arial" w:hAnsi="Arial" w:cs="Arial"/>
                <w:sz w:val="18"/>
                <w:szCs w:val="18"/>
              </w:rPr>
              <w:t>Approved Procedure for the Analysis of Salinity]</w:t>
            </w:r>
          </w:p>
        </w:tc>
        <w:tc>
          <w:tcPr>
            <w:tcW w:w="431" w:type="dxa"/>
            <w:shd w:val="clear" w:color="auto" w:fill="FFFFFF" w:themeFill="background1"/>
            <w:noWrap/>
            <w:vAlign w:val="center"/>
          </w:tcPr>
          <w:p w14:paraId="3B5C385C"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5BEB024E" w14:textId="77777777" w:rsidR="00D374BC" w:rsidRPr="00A0149B" w:rsidRDefault="00D374BC" w:rsidP="00D374BC">
            <w:pPr>
              <w:rPr>
                <w:rFonts w:ascii="Arial" w:hAnsi="Arial" w:cs="Arial"/>
                <w:sz w:val="18"/>
                <w:szCs w:val="18"/>
              </w:rPr>
            </w:pPr>
          </w:p>
        </w:tc>
        <w:tc>
          <w:tcPr>
            <w:tcW w:w="4896" w:type="dxa"/>
            <w:vAlign w:val="center"/>
          </w:tcPr>
          <w:p w14:paraId="61C43EDA" w14:textId="77777777" w:rsidR="00D374BC" w:rsidRPr="00A0149B" w:rsidRDefault="00D374BC" w:rsidP="00D374BC">
            <w:pPr>
              <w:jc w:val="both"/>
              <w:rPr>
                <w:rFonts w:ascii="Arial" w:hAnsi="Arial" w:cs="Arial"/>
                <w:sz w:val="18"/>
                <w:szCs w:val="18"/>
              </w:rPr>
            </w:pPr>
            <w:r>
              <w:rPr>
                <w:rFonts w:ascii="Arial" w:hAnsi="Arial" w:cs="Arial"/>
                <w:sz w:val="18"/>
                <w:szCs w:val="18"/>
              </w:rPr>
              <w:t xml:space="preserve">If the obtained value is not ±10% of the true value, corrective action must be taken. </w:t>
            </w:r>
            <w:r w:rsidRPr="004B6C62">
              <w:rPr>
                <w:rFonts w:ascii="Arial" w:hAnsi="Arial" w:cs="Arial"/>
                <w:sz w:val="18"/>
                <w:szCs w:val="18"/>
              </w:rPr>
              <w:t>If recalibration is necessary, all samples analyzed since the last acceptable calibration verification must be reanalyzed, if possible. If samples cannot be reanalyzed, the data must be qualified.</w:t>
            </w:r>
          </w:p>
        </w:tc>
      </w:tr>
      <w:tr w:rsidR="00D374BC" w:rsidRPr="00A0149B" w14:paraId="71F7FE7D" w14:textId="77777777" w:rsidTr="00B6519D">
        <w:trPr>
          <w:trHeight w:val="264"/>
        </w:trPr>
        <w:tc>
          <w:tcPr>
            <w:tcW w:w="350" w:type="dxa"/>
            <w:noWrap/>
            <w:vAlign w:val="center"/>
          </w:tcPr>
          <w:p w14:paraId="0A11CFF0"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680E374E" w14:textId="30B9347C" w:rsidR="00D374BC" w:rsidRDefault="00D374BC" w:rsidP="00D374BC">
            <w:pPr>
              <w:jc w:val="both"/>
              <w:rPr>
                <w:rFonts w:ascii="Arial" w:hAnsi="Arial" w:cs="Arial"/>
                <w:sz w:val="18"/>
                <w:szCs w:val="18"/>
              </w:rPr>
            </w:pPr>
            <w:r w:rsidRPr="00425060">
              <w:rPr>
                <w:rFonts w:ascii="Arial" w:hAnsi="Arial" w:cs="Arial"/>
                <w:sz w:val="18"/>
                <w:szCs w:val="18"/>
              </w:rPr>
              <w:t xml:space="preserve">What corrective action is taken if the </w:t>
            </w:r>
            <w:r>
              <w:rPr>
                <w:rFonts w:ascii="Arial" w:hAnsi="Arial" w:cs="Arial"/>
                <w:sz w:val="18"/>
                <w:szCs w:val="18"/>
              </w:rPr>
              <w:t>post-analysis calibration verification</w:t>
            </w:r>
            <w:r w:rsidRPr="00425060">
              <w:rPr>
                <w:rFonts w:ascii="Arial" w:hAnsi="Arial" w:cs="Arial"/>
                <w:sz w:val="18"/>
                <w:szCs w:val="18"/>
              </w:rPr>
              <w:t xml:space="preserve"> </w:t>
            </w:r>
            <w:r>
              <w:rPr>
                <w:rFonts w:ascii="Arial" w:hAnsi="Arial" w:cs="Arial"/>
                <w:sz w:val="18"/>
                <w:szCs w:val="18"/>
              </w:rPr>
              <w:t>check-</w:t>
            </w:r>
            <w:r w:rsidRPr="00425060">
              <w:rPr>
                <w:rFonts w:ascii="Arial" w:hAnsi="Arial" w:cs="Arial"/>
                <w:sz w:val="18"/>
                <w:szCs w:val="18"/>
              </w:rPr>
              <w:t xml:space="preserve">standard does not meet the acceptance </w:t>
            </w:r>
            <w:proofErr w:type="gramStart"/>
            <w:r w:rsidRPr="00425060">
              <w:rPr>
                <w:rFonts w:ascii="Arial" w:hAnsi="Arial" w:cs="Arial"/>
                <w:sz w:val="18"/>
                <w:szCs w:val="18"/>
              </w:rPr>
              <w:t>criterion</w:t>
            </w:r>
            <w:proofErr w:type="gramEnd"/>
            <w:r w:rsidRPr="00425060">
              <w:rPr>
                <w:rFonts w:ascii="Arial" w:hAnsi="Arial" w:cs="Arial"/>
                <w:sz w:val="18"/>
                <w:szCs w:val="18"/>
              </w:rPr>
              <w:t xml:space="preserve">? </w:t>
            </w:r>
            <w:r>
              <w:rPr>
                <w:rFonts w:ascii="Arial" w:hAnsi="Arial" w:cs="Arial"/>
                <w:sz w:val="18"/>
                <w:szCs w:val="18"/>
              </w:rPr>
              <w:t>[</w:t>
            </w:r>
            <w:r w:rsidRPr="00425060">
              <w:rPr>
                <w:rFonts w:ascii="Arial" w:hAnsi="Arial" w:cs="Arial"/>
                <w:sz w:val="18"/>
                <w:szCs w:val="18"/>
              </w:rPr>
              <w:t xml:space="preserve">15A NCAC </w:t>
            </w:r>
            <w:r>
              <w:rPr>
                <w:rFonts w:ascii="Arial" w:hAnsi="Arial" w:cs="Arial"/>
                <w:sz w:val="18"/>
                <w:szCs w:val="18"/>
              </w:rPr>
              <w:t>0</w:t>
            </w:r>
            <w:r w:rsidRPr="00425060">
              <w:rPr>
                <w:rFonts w:ascii="Arial" w:hAnsi="Arial" w:cs="Arial"/>
                <w:sz w:val="18"/>
                <w:szCs w:val="18"/>
              </w:rPr>
              <w:t>2H .0805 (g) (8)]</w:t>
            </w:r>
          </w:p>
          <w:p w14:paraId="1BBE5C1B" w14:textId="77777777" w:rsidR="00D374BC" w:rsidRDefault="00D374BC" w:rsidP="00D374BC">
            <w:pPr>
              <w:jc w:val="both"/>
              <w:rPr>
                <w:rFonts w:ascii="Arial" w:hAnsi="Arial" w:cs="Arial"/>
                <w:sz w:val="18"/>
                <w:szCs w:val="18"/>
              </w:rPr>
            </w:pPr>
          </w:p>
          <w:p w14:paraId="21A3FC30" w14:textId="5673EF1D" w:rsidR="00D374BC" w:rsidRDefault="00D374BC" w:rsidP="00D374BC">
            <w:pPr>
              <w:jc w:val="both"/>
              <w:rPr>
                <w:rFonts w:ascii="Arial" w:hAnsi="Arial" w:cs="Arial"/>
                <w:b/>
                <w:bCs/>
                <w:sz w:val="18"/>
                <w:szCs w:val="18"/>
              </w:rPr>
            </w:pPr>
            <w:r>
              <w:rPr>
                <w:rFonts w:ascii="Arial" w:hAnsi="Arial" w:cs="Arial"/>
                <w:b/>
                <w:bCs/>
                <w:sz w:val="18"/>
                <w:szCs w:val="18"/>
              </w:rPr>
              <w:t>Answer:</w:t>
            </w:r>
          </w:p>
          <w:p w14:paraId="1049BBA1" w14:textId="77777777" w:rsidR="00D374BC" w:rsidRDefault="00D374BC" w:rsidP="00D374BC">
            <w:pPr>
              <w:jc w:val="both"/>
              <w:rPr>
                <w:rFonts w:ascii="Arial" w:hAnsi="Arial" w:cs="Arial"/>
                <w:sz w:val="18"/>
                <w:szCs w:val="18"/>
              </w:rPr>
            </w:pPr>
          </w:p>
          <w:p w14:paraId="022ABBD5" w14:textId="77777777" w:rsidR="00D374BC" w:rsidRDefault="00D374BC" w:rsidP="00D374BC">
            <w:pPr>
              <w:jc w:val="both"/>
              <w:rPr>
                <w:rFonts w:ascii="Arial" w:hAnsi="Arial" w:cs="Arial"/>
                <w:sz w:val="18"/>
                <w:szCs w:val="18"/>
              </w:rPr>
            </w:pPr>
          </w:p>
          <w:p w14:paraId="6862EBAC" w14:textId="2BE81999" w:rsidR="00D374BC" w:rsidRPr="007741AB" w:rsidRDefault="00D374BC" w:rsidP="00D374BC">
            <w:pPr>
              <w:jc w:val="both"/>
              <w:rPr>
                <w:rFonts w:ascii="Arial" w:hAnsi="Arial" w:cs="Arial"/>
                <w:sz w:val="18"/>
                <w:szCs w:val="18"/>
              </w:rPr>
            </w:pPr>
          </w:p>
        </w:tc>
        <w:tc>
          <w:tcPr>
            <w:tcW w:w="431" w:type="dxa"/>
            <w:shd w:val="clear" w:color="auto" w:fill="D9D9D9" w:themeFill="background1" w:themeFillShade="D9"/>
            <w:noWrap/>
            <w:vAlign w:val="center"/>
          </w:tcPr>
          <w:p w14:paraId="35F81C3F"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0A6072E8" w14:textId="77777777" w:rsidR="00D374BC" w:rsidRPr="00A0149B" w:rsidRDefault="00D374BC" w:rsidP="00D374BC">
            <w:pPr>
              <w:rPr>
                <w:rFonts w:ascii="Arial" w:hAnsi="Arial" w:cs="Arial"/>
                <w:sz w:val="18"/>
                <w:szCs w:val="18"/>
              </w:rPr>
            </w:pPr>
          </w:p>
        </w:tc>
        <w:tc>
          <w:tcPr>
            <w:tcW w:w="4896" w:type="dxa"/>
            <w:vAlign w:val="center"/>
          </w:tcPr>
          <w:p w14:paraId="3124F5D7" w14:textId="77777777" w:rsidR="00D374BC" w:rsidRPr="008B380B" w:rsidRDefault="00D374BC" w:rsidP="00D374BC">
            <w:pPr>
              <w:rPr>
                <w:rFonts w:ascii="Arial" w:hAnsi="Arial" w:cs="Arial"/>
                <w:sz w:val="18"/>
                <w:szCs w:val="18"/>
              </w:rPr>
            </w:pPr>
          </w:p>
        </w:tc>
      </w:tr>
      <w:tr w:rsidR="00D374BC" w:rsidRPr="00A0149B" w14:paraId="3733696C" w14:textId="77777777" w:rsidTr="00B6519D">
        <w:trPr>
          <w:trHeight w:val="264"/>
        </w:trPr>
        <w:tc>
          <w:tcPr>
            <w:tcW w:w="350" w:type="dxa"/>
            <w:noWrap/>
            <w:vAlign w:val="center"/>
          </w:tcPr>
          <w:p w14:paraId="32257DAB" w14:textId="77777777" w:rsidR="00D374BC" w:rsidRDefault="00D374BC" w:rsidP="00D374BC">
            <w:pPr>
              <w:pStyle w:val="ListParagraph"/>
              <w:numPr>
                <w:ilvl w:val="0"/>
                <w:numId w:val="6"/>
              </w:numPr>
              <w:ind w:left="0" w:firstLine="0"/>
              <w:rPr>
                <w:rFonts w:ascii="Arial" w:hAnsi="Arial" w:cs="Arial"/>
                <w:sz w:val="18"/>
                <w:szCs w:val="18"/>
              </w:rPr>
            </w:pPr>
          </w:p>
        </w:tc>
        <w:tc>
          <w:tcPr>
            <w:tcW w:w="4896" w:type="dxa"/>
            <w:noWrap/>
            <w:vAlign w:val="center"/>
          </w:tcPr>
          <w:p w14:paraId="6352C6B6" w14:textId="4556FF13" w:rsidR="00D374BC" w:rsidRDefault="00D374BC" w:rsidP="00D374BC">
            <w:pPr>
              <w:jc w:val="both"/>
              <w:rPr>
                <w:rFonts w:ascii="Arial" w:hAnsi="Arial" w:cs="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02H .0805 (e) (5)</w:t>
            </w:r>
            <w:r w:rsidRPr="007741AB">
              <w:rPr>
                <w:rFonts w:ascii="Arial" w:hAnsi="Arial"/>
                <w:sz w:val="18"/>
                <w:szCs w:val="18"/>
              </w:rPr>
              <w:t>]</w:t>
            </w:r>
          </w:p>
        </w:tc>
        <w:tc>
          <w:tcPr>
            <w:tcW w:w="431" w:type="dxa"/>
            <w:shd w:val="clear" w:color="auto" w:fill="FFFFFF" w:themeFill="background1"/>
            <w:noWrap/>
            <w:vAlign w:val="center"/>
          </w:tcPr>
          <w:p w14:paraId="799E19CB" w14:textId="77777777" w:rsidR="00D374BC" w:rsidRPr="00A0149B" w:rsidRDefault="00D374BC" w:rsidP="00D374BC">
            <w:pPr>
              <w:rPr>
                <w:rFonts w:ascii="Arial" w:hAnsi="Arial" w:cs="Arial"/>
                <w:sz w:val="18"/>
                <w:szCs w:val="18"/>
              </w:rPr>
            </w:pPr>
          </w:p>
        </w:tc>
        <w:tc>
          <w:tcPr>
            <w:tcW w:w="422" w:type="dxa"/>
            <w:shd w:val="clear" w:color="auto" w:fill="FFFFFF" w:themeFill="background1"/>
            <w:noWrap/>
            <w:vAlign w:val="center"/>
          </w:tcPr>
          <w:p w14:paraId="41506D3E" w14:textId="77777777" w:rsidR="00D374BC" w:rsidRPr="00A0149B" w:rsidRDefault="00D374BC" w:rsidP="00D374BC">
            <w:pPr>
              <w:rPr>
                <w:rFonts w:ascii="Arial" w:hAnsi="Arial" w:cs="Arial"/>
                <w:sz w:val="18"/>
                <w:szCs w:val="18"/>
              </w:rPr>
            </w:pPr>
          </w:p>
        </w:tc>
        <w:tc>
          <w:tcPr>
            <w:tcW w:w="4896" w:type="dxa"/>
            <w:vAlign w:val="center"/>
          </w:tcPr>
          <w:p w14:paraId="457BBDF6" w14:textId="65372041" w:rsidR="00D374BC" w:rsidRPr="00A0149B" w:rsidRDefault="00D374BC" w:rsidP="00D374BC">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6792180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AB10D93" w14:textId="4525FE1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AF1D4C">
        <w:rPr>
          <w:rFonts w:ascii="Arial" w:hAnsi="Arial" w:cs="Arial"/>
          <w:sz w:val="18"/>
          <w:szCs w:val="18"/>
        </w:rPr>
        <w:t>___</w:t>
      </w:r>
    </w:p>
    <w:p w14:paraId="2562A75B" w14:textId="770EA690"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AF1D4C">
        <w:rPr>
          <w:rFonts w:ascii="Arial" w:hAnsi="Arial" w:cs="Arial"/>
          <w:sz w:val="18"/>
          <w:szCs w:val="18"/>
        </w:rPr>
        <w:t>___</w:t>
      </w:r>
    </w:p>
    <w:p w14:paraId="54BB1790" w14:textId="1FBE85A5"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AF1D4C">
        <w:rPr>
          <w:rFonts w:ascii="Arial" w:hAnsi="Arial" w:cs="Arial"/>
          <w:sz w:val="18"/>
          <w:szCs w:val="18"/>
        </w:rPr>
        <w:t>___</w:t>
      </w:r>
    </w:p>
    <w:p w14:paraId="2883D06C" w14:textId="6B6D688E"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AF1D4C">
        <w:rPr>
          <w:rFonts w:ascii="Arial" w:hAnsi="Arial" w:cs="Arial"/>
          <w:sz w:val="18"/>
          <w:szCs w:val="18"/>
        </w:rPr>
        <w:t>___</w:t>
      </w:r>
    </w:p>
    <w:p w14:paraId="48C6B2D1" w14:textId="77777777" w:rsidR="00FE2467" w:rsidRDefault="00C37462" w:rsidP="00FE246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AF1D4C">
        <w:rPr>
          <w:rFonts w:ascii="Arial" w:hAnsi="Arial" w:cs="Arial"/>
          <w:sz w:val="18"/>
          <w:szCs w:val="18"/>
        </w:rPr>
        <w:t>___</w:t>
      </w:r>
      <w:r w:rsidR="00FE2467">
        <w:rPr>
          <w:rFonts w:ascii="Arial" w:hAnsi="Arial" w:cs="Arial"/>
          <w:sz w:val="18"/>
          <w:szCs w:val="18"/>
        </w:rPr>
        <w:t>______________________________________________________________________________________________________________</w:t>
      </w:r>
    </w:p>
    <w:p w14:paraId="09C6D552" w14:textId="77777777" w:rsidR="00FE2467" w:rsidRDefault="00FE2467" w:rsidP="00FE246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BF252A7" w14:textId="77777777" w:rsidR="00FE2467" w:rsidRDefault="00FE2467" w:rsidP="00FE246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A599C6D" w14:textId="77777777" w:rsidR="00FE2467" w:rsidRDefault="00FE2467" w:rsidP="00FE246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E180775" w14:textId="77777777" w:rsidR="00A340C4" w:rsidRDefault="00A340C4" w:rsidP="00A340C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AE2FB82" w14:textId="77777777" w:rsidR="00A340C4" w:rsidRDefault="00A340C4" w:rsidP="00A340C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0D76233" w14:textId="77777777" w:rsidR="00A340C4" w:rsidRDefault="00A340C4" w:rsidP="00A340C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5572C09" w14:textId="37F2A6B7" w:rsidR="00C37462" w:rsidRPr="00351E5A" w:rsidRDefault="00C37462" w:rsidP="002837BB">
      <w:pPr>
        <w:spacing w:before="240"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AF1D4C">
        <w:rPr>
          <w:rFonts w:ascii="Arial" w:hAnsi="Arial" w:cs="Arial"/>
          <w:sz w:val="18"/>
          <w:szCs w:val="18"/>
        </w:rPr>
        <w:t>___</w:t>
      </w:r>
    </w:p>
    <w:sectPr w:rsidR="00C37462" w:rsidRPr="00351E5A" w:rsidSect="00AF1D4C">
      <w:headerReference w:type="default" r:id="rId11"/>
      <w:footerReference w:type="default" r:id="rId12"/>
      <w:headerReference w:type="first" r:id="rId13"/>
      <w:footerReference w:type="first" r:id="rId14"/>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A241" w14:textId="77777777" w:rsidR="00E76063" w:rsidRDefault="00E76063">
      <w:r>
        <w:separator/>
      </w:r>
    </w:p>
  </w:endnote>
  <w:endnote w:type="continuationSeparator" w:id="0">
    <w:p w14:paraId="38C662F5" w14:textId="77777777" w:rsidR="00E76063" w:rsidRDefault="00E76063">
      <w:r>
        <w:continuationSeparator/>
      </w:r>
    </w:p>
  </w:endnote>
  <w:endnote w:type="continuationNotice" w:id="1">
    <w:p w14:paraId="7BF11D13" w14:textId="77777777" w:rsidR="00E76063" w:rsidRDefault="00E76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A8F5" w14:textId="223F4321" w:rsidR="00EA3E48" w:rsidRDefault="00EA3E48" w:rsidP="00AD028C">
    <w:pPr>
      <w:spacing w:line="360" w:lineRule="auto"/>
    </w:pPr>
    <w:r>
      <w:rPr>
        <w:rFonts w:ascii="Arial" w:hAnsi="Arial" w:cs="Arial"/>
        <w:sz w:val="16"/>
        <w:szCs w:val="16"/>
      </w:rPr>
      <w:t xml:space="preserve">Revised </w:t>
    </w:r>
    <w:r w:rsidR="00AD028C">
      <w:rPr>
        <w:rFonts w:ascii="Arial" w:hAnsi="Arial" w:cs="Arial"/>
        <w:sz w:val="16"/>
        <w:szCs w:val="16"/>
      </w:rPr>
      <w:t>1</w:t>
    </w:r>
    <w:r w:rsidR="00CE57D5">
      <w:rPr>
        <w:rFonts w:ascii="Arial" w:hAnsi="Arial" w:cs="Arial"/>
        <w:sz w:val="16"/>
        <w:szCs w:val="16"/>
      </w:rPr>
      <w:t>2/17/2025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3F8" w14:textId="53349DFF"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D36497">
      <w:rPr>
        <w:rFonts w:ascii="Arial" w:hAnsi="Arial" w:cs="Arial"/>
        <w:sz w:val="16"/>
        <w:szCs w:val="16"/>
      </w:rPr>
      <w:t>1</w:t>
    </w:r>
    <w:r w:rsidR="00D56100">
      <w:rPr>
        <w:rFonts w:ascii="Arial" w:hAnsi="Arial" w:cs="Arial"/>
        <w:sz w:val="16"/>
        <w:szCs w:val="16"/>
      </w:rPr>
      <w:t>2/17/2025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B847" w14:textId="77777777" w:rsidR="00E76063" w:rsidRDefault="00E76063">
      <w:r>
        <w:separator/>
      </w:r>
    </w:p>
  </w:footnote>
  <w:footnote w:type="continuationSeparator" w:id="0">
    <w:p w14:paraId="47EC677E" w14:textId="77777777" w:rsidR="00E76063" w:rsidRDefault="00E76063">
      <w:r>
        <w:continuationSeparator/>
      </w:r>
    </w:p>
  </w:footnote>
  <w:footnote w:type="continuationNotice" w:id="1">
    <w:p w14:paraId="05D5BE0C" w14:textId="77777777" w:rsidR="00E76063" w:rsidRDefault="00E76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4D37" w14:textId="5C83662C" w:rsidR="00EA3E48" w:rsidRPr="0058752C" w:rsidRDefault="009C4F4A" w:rsidP="005222F8">
    <w:pPr>
      <w:pStyle w:val="Header"/>
      <w:rPr>
        <w:rFonts w:ascii="Arial" w:hAnsi="Arial" w:cs="Arial"/>
        <w:sz w:val="16"/>
        <w:szCs w:val="16"/>
      </w:rPr>
    </w:pPr>
    <w:r>
      <w:rPr>
        <w:rFonts w:ascii="Arial" w:hAnsi="Arial" w:cs="Arial"/>
        <w:sz w:val="16"/>
        <w:szCs w:val="16"/>
      </w:rPr>
      <w:t>Salinity</w:t>
    </w:r>
    <w:r w:rsidR="00027BE5">
      <w:rPr>
        <w:rFonts w:ascii="Arial" w:hAnsi="Arial" w:cs="Arial"/>
        <w:sz w:val="16"/>
        <w:szCs w:val="16"/>
      </w:rPr>
      <w:t>:</w:t>
    </w:r>
    <w:r w:rsidR="005222F8">
      <w:rPr>
        <w:rFonts w:ascii="Arial" w:hAnsi="Arial" w:cs="Arial"/>
        <w:sz w:val="16"/>
        <w:szCs w:val="16"/>
      </w:rPr>
      <w:t xml:space="preserve"> SM </w:t>
    </w:r>
    <w:r w:rsidR="005F434F">
      <w:rPr>
        <w:rFonts w:ascii="Arial" w:hAnsi="Arial" w:cs="Arial"/>
        <w:sz w:val="16"/>
        <w:szCs w:val="16"/>
      </w:rPr>
      <w:t>2520 B</w:t>
    </w:r>
    <w:r w:rsidR="00020DD0">
      <w:rPr>
        <w:rFonts w:ascii="Arial" w:hAnsi="Arial" w:cs="Arial"/>
        <w:sz w:val="16"/>
        <w:szCs w:val="16"/>
      </w:rPr>
      <w:t>-</w:t>
    </w:r>
    <w:r w:rsidR="00D374BC">
      <w:rPr>
        <w:rFonts w:ascii="Arial" w:hAnsi="Arial" w:cs="Arial"/>
        <w:sz w:val="16"/>
        <w:szCs w:val="16"/>
      </w:rPr>
      <w:t>2021</w:t>
    </w:r>
    <w:r w:rsidR="00020DD0">
      <w:rPr>
        <w:rFonts w:ascii="Arial" w:hAnsi="Arial" w:cs="Arial"/>
        <w:sz w:val="16"/>
        <w:szCs w:val="16"/>
      </w:rPr>
      <w:tab/>
    </w:r>
    <w:r w:rsidR="00020DD0">
      <w:rPr>
        <w:rFonts w:ascii="Arial" w:hAnsi="Arial" w:cs="Arial"/>
        <w:sz w:val="16"/>
        <w:szCs w:val="16"/>
      </w:rPr>
      <w:tab/>
    </w:r>
    <w:r w:rsidR="00020DD0">
      <w:rPr>
        <w:rFonts w:ascii="Arial" w:hAnsi="Arial" w:cs="Arial"/>
        <w:sz w:val="16"/>
        <w:szCs w:val="16"/>
      </w:rPr>
      <w:tab/>
    </w:r>
    <w:r w:rsidR="00020DD0">
      <w:rPr>
        <w:rFonts w:ascii="Arial" w:hAnsi="Arial" w:cs="Arial"/>
        <w:sz w:val="16"/>
        <w:szCs w:val="16"/>
      </w:rPr>
      <w:tab/>
      <w:t xml:space="preserve">        </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B70FFC">
      <w:rPr>
        <w:rFonts w:ascii="Arial" w:hAnsi="Arial" w:cs="Arial"/>
        <w:noProof/>
        <w:sz w:val="16"/>
        <w:szCs w:val="16"/>
      </w:rPr>
      <w:t>3</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EE4A" w14:textId="6F6C49A4" w:rsidR="003046C3" w:rsidRPr="003046C3" w:rsidRDefault="003046C3" w:rsidP="003046C3">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17205A72"/>
    <w:multiLevelType w:val="hybridMultilevel"/>
    <w:tmpl w:val="13CAA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E224C5"/>
    <w:multiLevelType w:val="hybridMultilevel"/>
    <w:tmpl w:val="15C23A52"/>
    <w:lvl w:ilvl="0" w:tplc="AB9C0D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10ADD"/>
    <w:multiLevelType w:val="hybridMultilevel"/>
    <w:tmpl w:val="E488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F2BBB"/>
    <w:multiLevelType w:val="hybridMultilevel"/>
    <w:tmpl w:val="CEAE6C1C"/>
    <w:lvl w:ilvl="0" w:tplc="65FC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091330">
    <w:abstractNumId w:val="0"/>
  </w:num>
  <w:num w:numId="2" w16cid:durableId="2124112451">
    <w:abstractNumId w:val="2"/>
  </w:num>
  <w:num w:numId="3" w16cid:durableId="1085031803">
    <w:abstractNumId w:val="3"/>
  </w:num>
  <w:num w:numId="4" w16cid:durableId="97020239">
    <w:abstractNumId w:val="4"/>
  </w:num>
  <w:num w:numId="5" w16cid:durableId="210655742">
    <w:abstractNumId w:val="1"/>
  </w:num>
  <w:num w:numId="6" w16cid:durableId="1904294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B8"/>
    <w:rsid w:val="000018B1"/>
    <w:rsid w:val="000030B0"/>
    <w:rsid w:val="000032C9"/>
    <w:rsid w:val="00003D54"/>
    <w:rsid w:val="00003E46"/>
    <w:rsid w:val="0000402D"/>
    <w:rsid w:val="00005556"/>
    <w:rsid w:val="00011CDC"/>
    <w:rsid w:val="00012793"/>
    <w:rsid w:val="00014CF9"/>
    <w:rsid w:val="00017E63"/>
    <w:rsid w:val="00020DD0"/>
    <w:rsid w:val="00023A70"/>
    <w:rsid w:val="00026092"/>
    <w:rsid w:val="00026C37"/>
    <w:rsid w:val="00027BE5"/>
    <w:rsid w:val="00032566"/>
    <w:rsid w:val="000326A6"/>
    <w:rsid w:val="00040473"/>
    <w:rsid w:val="00045E87"/>
    <w:rsid w:val="000561AA"/>
    <w:rsid w:val="00065478"/>
    <w:rsid w:val="00072F5C"/>
    <w:rsid w:val="00073E4F"/>
    <w:rsid w:val="00080231"/>
    <w:rsid w:val="00084E36"/>
    <w:rsid w:val="000860B4"/>
    <w:rsid w:val="00090717"/>
    <w:rsid w:val="00091ECE"/>
    <w:rsid w:val="00092B7A"/>
    <w:rsid w:val="000A7EB1"/>
    <w:rsid w:val="000B2169"/>
    <w:rsid w:val="000B3622"/>
    <w:rsid w:val="000B540D"/>
    <w:rsid w:val="000C0D75"/>
    <w:rsid w:val="000C1A84"/>
    <w:rsid w:val="000C462A"/>
    <w:rsid w:val="000D5965"/>
    <w:rsid w:val="000E0924"/>
    <w:rsid w:val="000E0DFC"/>
    <w:rsid w:val="000E68CB"/>
    <w:rsid w:val="000F6A9E"/>
    <w:rsid w:val="001003C8"/>
    <w:rsid w:val="0011624A"/>
    <w:rsid w:val="00120D34"/>
    <w:rsid w:val="00123D04"/>
    <w:rsid w:val="0013063A"/>
    <w:rsid w:val="001310A7"/>
    <w:rsid w:val="00132AEF"/>
    <w:rsid w:val="00132D72"/>
    <w:rsid w:val="001366DB"/>
    <w:rsid w:val="0014637C"/>
    <w:rsid w:val="001547DC"/>
    <w:rsid w:val="0015761A"/>
    <w:rsid w:val="00157C6C"/>
    <w:rsid w:val="0016563C"/>
    <w:rsid w:val="001759BF"/>
    <w:rsid w:val="00177581"/>
    <w:rsid w:val="0018096E"/>
    <w:rsid w:val="00183909"/>
    <w:rsid w:val="001920D1"/>
    <w:rsid w:val="00192C85"/>
    <w:rsid w:val="00195DEA"/>
    <w:rsid w:val="001969AD"/>
    <w:rsid w:val="001A00D2"/>
    <w:rsid w:val="001A0414"/>
    <w:rsid w:val="001A41F1"/>
    <w:rsid w:val="001A45B7"/>
    <w:rsid w:val="001A5CF5"/>
    <w:rsid w:val="001B1AF3"/>
    <w:rsid w:val="001B2604"/>
    <w:rsid w:val="001B2DEC"/>
    <w:rsid w:val="001B6CAD"/>
    <w:rsid w:val="001C0AD0"/>
    <w:rsid w:val="001D29F6"/>
    <w:rsid w:val="001D390E"/>
    <w:rsid w:val="001D3B75"/>
    <w:rsid w:val="001E07DB"/>
    <w:rsid w:val="001E1CCB"/>
    <w:rsid w:val="001E6F37"/>
    <w:rsid w:val="001F0F2E"/>
    <w:rsid w:val="001F1308"/>
    <w:rsid w:val="001F5E26"/>
    <w:rsid w:val="001F739B"/>
    <w:rsid w:val="001F7E69"/>
    <w:rsid w:val="00217722"/>
    <w:rsid w:val="00220618"/>
    <w:rsid w:val="00222C1A"/>
    <w:rsid w:val="00231F44"/>
    <w:rsid w:val="00237EF6"/>
    <w:rsid w:val="002437DC"/>
    <w:rsid w:val="00250E06"/>
    <w:rsid w:val="00253D85"/>
    <w:rsid w:val="00262780"/>
    <w:rsid w:val="002627CC"/>
    <w:rsid w:val="00266754"/>
    <w:rsid w:val="002706F1"/>
    <w:rsid w:val="00272BCC"/>
    <w:rsid w:val="00276917"/>
    <w:rsid w:val="002778BD"/>
    <w:rsid w:val="00280C43"/>
    <w:rsid w:val="002811D2"/>
    <w:rsid w:val="00282B3B"/>
    <w:rsid w:val="002837BB"/>
    <w:rsid w:val="00283D06"/>
    <w:rsid w:val="00286764"/>
    <w:rsid w:val="00290F00"/>
    <w:rsid w:val="00292DE5"/>
    <w:rsid w:val="00297CE1"/>
    <w:rsid w:val="002A6A8B"/>
    <w:rsid w:val="002B1817"/>
    <w:rsid w:val="002B25F8"/>
    <w:rsid w:val="002B3663"/>
    <w:rsid w:val="002C010D"/>
    <w:rsid w:val="002C2E86"/>
    <w:rsid w:val="002D5042"/>
    <w:rsid w:val="002D739D"/>
    <w:rsid w:val="002D7E51"/>
    <w:rsid w:val="002E0D22"/>
    <w:rsid w:val="002E1481"/>
    <w:rsid w:val="002E46B3"/>
    <w:rsid w:val="002E5B06"/>
    <w:rsid w:val="002E6668"/>
    <w:rsid w:val="002F410E"/>
    <w:rsid w:val="00300DBD"/>
    <w:rsid w:val="0030115B"/>
    <w:rsid w:val="00302AE1"/>
    <w:rsid w:val="00303DCA"/>
    <w:rsid w:val="003046C3"/>
    <w:rsid w:val="00310634"/>
    <w:rsid w:val="00312389"/>
    <w:rsid w:val="003130C7"/>
    <w:rsid w:val="003159C0"/>
    <w:rsid w:val="0032234F"/>
    <w:rsid w:val="00322D7F"/>
    <w:rsid w:val="00327CA6"/>
    <w:rsid w:val="003311B2"/>
    <w:rsid w:val="00336BCB"/>
    <w:rsid w:val="003370E8"/>
    <w:rsid w:val="0034181F"/>
    <w:rsid w:val="00344F4B"/>
    <w:rsid w:val="00364AC7"/>
    <w:rsid w:val="0036531A"/>
    <w:rsid w:val="003665F1"/>
    <w:rsid w:val="00366976"/>
    <w:rsid w:val="003745E4"/>
    <w:rsid w:val="00374FBB"/>
    <w:rsid w:val="00383356"/>
    <w:rsid w:val="00390FB1"/>
    <w:rsid w:val="00391B9C"/>
    <w:rsid w:val="003942F4"/>
    <w:rsid w:val="003A0766"/>
    <w:rsid w:val="003C0CB4"/>
    <w:rsid w:val="003C6AD8"/>
    <w:rsid w:val="003D44BB"/>
    <w:rsid w:val="003D5D83"/>
    <w:rsid w:val="003E4575"/>
    <w:rsid w:val="003E70BD"/>
    <w:rsid w:val="003F3463"/>
    <w:rsid w:val="0040085C"/>
    <w:rsid w:val="004058C1"/>
    <w:rsid w:val="0041037E"/>
    <w:rsid w:val="00425060"/>
    <w:rsid w:val="0043799E"/>
    <w:rsid w:val="00441E3E"/>
    <w:rsid w:val="0045357F"/>
    <w:rsid w:val="00457FE3"/>
    <w:rsid w:val="00464CD7"/>
    <w:rsid w:val="00470741"/>
    <w:rsid w:val="004747BF"/>
    <w:rsid w:val="00481E99"/>
    <w:rsid w:val="00481EC0"/>
    <w:rsid w:val="004828E8"/>
    <w:rsid w:val="00482B41"/>
    <w:rsid w:val="00485EB0"/>
    <w:rsid w:val="00487B6F"/>
    <w:rsid w:val="004949D5"/>
    <w:rsid w:val="00494D11"/>
    <w:rsid w:val="00497573"/>
    <w:rsid w:val="00497AB8"/>
    <w:rsid w:val="004B189C"/>
    <w:rsid w:val="004B5420"/>
    <w:rsid w:val="004B5D93"/>
    <w:rsid w:val="004B5DA2"/>
    <w:rsid w:val="004B6C62"/>
    <w:rsid w:val="004C7A47"/>
    <w:rsid w:val="004E76D4"/>
    <w:rsid w:val="004F0E45"/>
    <w:rsid w:val="004F3742"/>
    <w:rsid w:val="004F5487"/>
    <w:rsid w:val="00502D08"/>
    <w:rsid w:val="00503815"/>
    <w:rsid w:val="00511086"/>
    <w:rsid w:val="005144E5"/>
    <w:rsid w:val="00521A98"/>
    <w:rsid w:val="005222F8"/>
    <w:rsid w:val="005225E7"/>
    <w:rsid w:val="00522D45"/>
    <w:rsid w:val="00524C31"/>
    <w:rsid w:val="0052705D"/>
    <w:rsid w:val="00536B60"/>
    <w:rsid w:val="005416C0"/>
    <w:rsid w:val="0054425D"/>
    <w:rsid w:val="005471C6"/>
    <w:rsid w:val="00550967"/>
    <w:rsid w:val="00550C3D"/>
    <w:rsid w:val="00551463"/>
    <w:rsid w:val="00551826"/>
    <w:rsid w:val="005521F6"/>
    <w:rsid w:val="00560E41"/>
    <w:rsid w:val="0056387B"/>
    <w:rsid w:val="0056577A"/>
    <w:rsid w:val="00565804"/>
    <w:rsid w:val="00566753"/>
    <w:rsid w:val="0058233C"/>
    <w:rsid w:val="0058421F"/>
    <w:rsid w:val="00585AAD"/>
    <w:rsid w:val="005A0A61"/>
    <w:rsid w:val="005A571D"/>
    <w:rsid w:val="005B305F"/>
    <w:rsid w:val="005B3806"/>
    <w:rsid w:val="005C0E08"/>
    <w:rsid w:val="005C2F5E"/>
    <w:rsid w:val="005D54E4"/>
    <w:rsid w:val="005E100B"/>
    <w:rsid w:val="005E297C"/>
    <w:rsid w:val="005F434F"/>
    <w:rsid w:val="005F50A6"/>
    <w:rsid w:val="005F7EF1"/>
    <w:rsid w:val="00614AC4"/>
    <w:rsid w:val="00614B3E"/>
    <w:rsid w:val="006175C8"/>
    <w:rsid w:val="006210D6"/>
    <w:rsid w:val="006216F7"/>
    <w:rsid w:val="00622039"/>
    <w:rsid w:val="006262D7"/>
    <w:rsid w:val="00633213"/>
    <w:rsid w:val="00651E40"/>
    <w:rsid w:val="00656F62"/>
    <w:rsid w:val="006623D8"/>
    <w:rsid w:val="00664CCC"/>
    <w:rsid w:val="006674CA"/>
    <w:rsid w:val="006850C8"/>
    <w:rsid w:val="006927C7"/>
    <w:rsid w:val="0069412C"/>
    <w:rsid w:val="006955B9"/>
    <w:rsid w:val="006A0C5F"/>
    <w:rsid w:val="006A368C"/>
    <w:rsid w:val="006A5A5A"/>
    <w:rsid w:val="006A6788"/>
    <w:rsid w:val="006B3EB7"/>
    <w:rsid w:val="006B5E09"/>
    <w:rsid w:val="006C3115"/>
    <w:rsid w:val="006C72B3"/>
    <w:rsid w:val="006C7AAE"/>
    <w:rsid w:val="006C7DC9"/>
    <w:rsid w:val="006D1B43"/>
    <w:rsid w:val="006D764F"/>
    <w:rsid w:val="006E23C8"/>
    <w:rsid w:val="006E66F9"/>
    <w:rsid w:val="006E7B4C"/>
    <w:rsid w:val="007005FE"/>
    <w:rsid w:val="007011FF"/>
    <w:rsid w:val="007019B6"/>
    <w:rsid w:val="0070296C"/>
    <w:rsid w:val="00702EBA"/>
    <w:rsid w:val="007045C9"/>
    <w:rsid w:val="0071161D"/>
    <w:rsid w:val="00713D43"/>
    <w:rsid w:val="00727EAB"/>
    <w:rsid w:val="007417BD"/>
    <w:rsid w:val="007427D8"/>
    <w:rsid w:val="00746079"/>
    <w:rsid w:val="0075230C"/>
    <w:rsid w:val="00764029"/>
    <w:rsid w:val="00774FB0"/>
    <w:rsid w:val="00781263"/>
    <w:rsid w:val="007862D0"/>
    <w:rsid w:val="0079584F"/>
    <w:rsid w:val="00796BAD"/>
    <w:rsid w:val="007B7BC8"/>
    <w:rsid w:val="007C07B1"/>
    <w:rsid w:val="007C22CC"/>
    <w:rsid w:val="007C60D0"/>
    <w:rsid w:val="007D2945"/>
    <w:rsid w:val="007D56C7"/>
    <w:rsid w:val="007D68D6"/>
    <w:rsid w:val="007E2F00"/>
    <w:rsid w:val="007E3B10"/>
    <w:rsid w:val="007E5F97"/>
    <w:rsid w:val="007F5661"/>
    <w:rsid w:val="007F75CF"/>
    <w:rsid w:val="00802B49"/>
    <w:rsid w:val="008051D6"/>
    <w:rsid w:val="0081624E"/>
    <w:rsid w:val="0083093F"/>
    <w:rsid w:val="008352D2"/>
    <w:rsid w:val="00842945"/>
    <w:rsid w:val="00844A2F"/>
    <w:rsid w:val="00855F65"/>
    <w:rsid w:val="00856E0E"/>
    <w:rsid w:val="00861896"/>
    <w:rsid w:val="008624C1"/>
    <w:rsid w:val="00865AA0"/>
    <w:rsid w:val="0086685B"/>
    <w:rsid w:val="0089081B"/>
    <w:rsid w:val="008947B3"/>
    <w:rsid w:val="008955FC"/>
    <w:rsid w:val="008A1EBF"/>
    <w:rsid w:val="008A2A85"/>
    <w:rsid w:val="008A4A81"/>
    <w:rsid w:val="008A785B"/>
    <w:rsid w:val="008A7D95"/>
    <w:rsid w:val="008A7E42"/>
    <w:rsid w:val="008B040A"/>
    <w:rsid w:val="008B5F80"/>
    <w:rsid w:val="008B626A"/>
    <w:rsid w:val="008C0F6C"/>
    <w:rsid w:val="008C1D72"/>
    <w:rsid w:val="008C2411"/>
    <w:rsid w:val="008C4726"/>
    <w:rsid w:val="008C5BB1"/>
    <w:rsid w:val="008D22F4"/>
    <w:rsid w:val="008E4687"/>
    <w:rsid w:val="008E515E"/>
    <w:rsid w:val="008F4674"/>
    <w:rsid w:val="008F5EF6"/>
    <w:rsid w:val="008F7915"/>
    <w:rsid w:val="008F7C8B"/>
    <w:rsid w:val="00911627"/>
    <w:rsid w:val="009170D4"/>
    <w:rsid w:val="009173E4"/>
    <w:rsid w:val="00926E23"/>
    <w:rsid w:val="0093082A"/>
    <w:rsid w:val="00942838"/>
    <w:rsid w:val="0094284D"/>
    <w:rsid w:val="009430E3"/>
    <w:rsid w:val="00943998"/>
    <w:rsid w:val="00943E49"/>
    <w:rsid w:val="00947D76"/>
    <w:rsid w:val="00947EFE"/>
    <w:rsid w:val="00951771"/>
    <w:rsid w:val="009554B7"/>
    <w:rsid w:val="00955C80"/>
    <w:rsid w:val="009578C8"/>
    <w:rsid w:val="009637EC"/>
    <w:rsid w:val="00973622"/>
    <w:rsid w:val="00981762"/>
    <w:rsid w:val="00981D27"/>
    <w:rsid w:val="009952A0"/>
    <w:rsid w:val="009A0C10"/>
    <w:rsid w:val="009A58C6"/>
    <w:rsid w:val="009A5F0B"/>
    <w:rsid w:val="009A7564"/>
    <w:rsid w:val="009B5DE4"/>
    <w:rsid w:val="009B7E10"/>
    <w:rsid w:val="009C11FE"/>
    <w:rsid w:val="009C156D"/>
    <w:rsid w:val="009C2273"/>
    <w:rsid w:val="009C4F4A"/>
    <w:rsid w:val="009D14FD"/>
    <w:rsid w:val="009D40CB"/>
    <w:rsid w:val="009D48B7"/>
    <w:rsid w:val="009D5F6B"/>
    <w:rsid w:val="009E0A3A"/>
    <w:rsid w:val="009E0BE2"/>
    <w:rsid w:val="009E1487"/>
    <w:rsid w:val="009E7BAA"/>
    <w:rsid w:val="009E7DA6"/>
    <w:rsid w:val="009F161E"/>
    <w:rsid w:val="009F4885"/>
    <w:rsid w:val="009F508F"/>
    <w:rsid w:val="00A0266B"/>
    <w:rsid w:val="00A02695"/>
    <w:rsid w:val="00A0717B"/>
    <w:rsid w:val="00A12BF4"/>
    <w:rsid w:val="00A211B9"/>
    <w:rsid w:val="00A25232"/>
    <w:rsid w:val="00A33D2B"/>
    <w:rsid w:val="00A34015"/>
    <w:rsid w:val="00A340C4"/>
    <w:rsid w:val="00A34107"/>
    <w:rsid w:val="00A343C0"/>
    <w:rsid w:val="00A369E6"/>
    <w:rsid w:val="00A42637"/>
    <w:rsid w:val="00A5263F"/>
    <w:rsid w:val="00A55FD8"/>
    <w:rsid w:val="00A576D2"/>
    <w:rsid w:val="00A64DDC"/>
    <w:rsid w:val="00A70041"/>
    <w:rsid w:val="00A717FB"/>
    <w:rsid w:val="00A82EAB"/>
    <w:rsid w:val="00A84541"/>
    <w:rsid w:val="00A852DD"/>
    <w:rsid w:val="00A94690"/>
    <w:rsid w:val="00A96F6B"/>
    <w:rsid w:val="00AA2FAB"/>
    <w:rsid w:val="00AA6D74"/>
    <w:rsid w:val="00AB3973"/>
    <w:rsid w:val="00AB3D94"/>
    <w:rsid w:val="00AB65F4"/>
    <w:rsid w:val="00AB6C19"/>
    <w:rsid w:val="00AB7242"/>
    <w:rsid w:val="00AB7F9C"/>
    <w:rsid w:val="00AC5464"/>
    <w:rsid w:val="00AC5FA1"/>
    <w:rsid w:val="00AC6391"/>
    <w:rsid w:val="00AD028C"/>
    <w:rsid w:val="00AD02A3"/>
    <w:rsid w:val="00AD0392"/>
    <w:rsid w:val="00AD765D"/>
    <w:rsid w:val="00AE42CE"/>
    <w:rsid w:val="00AF1D4C"/>
    <w:rsid w:val="00AF252C"/>
    <w:rsid w:val="00AF58E7"/>
    <w:rsid w:val="00B030B6"/>
    <w:rsid w:val="00B20DFF"/>
    <w:rsid w:val="00B25839"/>
    <w:rsid w:val="00B33269"/>
    <w:rsid w:val="00B41321"/>
    <w:rsid w:val="00B42049"/>
    <w:rsid w:val="00B4601E"/>
    <w:rsid w:val="00B473BC"/>
    <w:rsid w:val="00B52368"/>
    <w:rsid w:val="00B5385B"/>
    <w:rsid w:val="00B54A6F"/>
    <w:rsid w:val="00B55AE5"/>
    <w:rsid w:val="00B6519D"/>
    <w:rsid w:val="00B666B8"/>
    <w:rsid w:val="00B671EE"/>
    <w:rsid w:val="00B70FFC"/>
    <w:rsid w:val="00B713BF"/>
    <w:rsid w:val="00B740FB"/>
    <w:rsid w:val="00B80A24"/>
    <w:rsid w:val="00B851DF"/>
    <w:rsid w:val="00B9717A"/>
    <w:rsid w:val="00BA0F0C"/>
    <w:rsid w:val="00BA4B73"/>
    <w:rsid w:val="00BA4DBE"/>
    <w:rsid w:val="00BA5C11"/>
    <w:rsid w:val="00BA7FBA"/>
    <w:rsid w:val="00BB330A"/>
    <w:rsid w:val="00BB3F9C"/>
    <w:rsid w:val="00BB419D"/>
    <w:rsid w:val="00BB5844"/>
    <w:rsid w:val="00BB59E6"/>
    <w:rsid w:val="00BB69C9"/>
    <w:rsid w:val="00BB729C"/>
    <w:rsid w:val="00BC0A04"/>
    <w:rsid w:val="00BC16AB"/>
    <w:rsid w:val="00BC3779"/>
    <w:rsid w:val="00BD0625"/>
    <w:rsid w:val="00BD2649"/>
    <w:rsid w:val="00BD5F8B"/>
    <w:rsid w:val="00BE07A0"/>
    <w:rsid w:val="00BE0947"/>
    <w:rsid w:val="00BE7353"/>
    <w:rsid w:val="00BF36DB"/>
    <w:rsid w:val="00BF3DBD"/>
    <w:rsid w:val="00BF3F9B"/>
    <w:rsid w:val="00C159CF"/>
    <w:rsid w:val="00C16EE6"/>
    <w:rsid w:val="00C221EE"/>
    <w:rsid w:val="00C252CD"/>
    <w:rsid w:val="00C31E10"/>
    <w:rsid w:val="00C35F48"/>
    <w:rsid w:val="00C37462"/>
    <w:rsid w:val="00C40011"/>
    <w:rsid w:val="00C4024C"/>
    <w:rsid w:val="00C44FC6"/>
    <w:rsid w:val="00C45F14"/>
    <w:rsid w:val="00C519C4"/>
    <w:rsid w:val="00C529DF"/>
    <w:rsid w:val="00C555E9"/>
    <w:rsid w:val="00C57B62"/>
    <w:rsid w:val="00C6323A"/>
    <w:rsid w:val="00C64507"/>
    <w:rsid w:val="00C71268"/>
    <w:rsid w:val="00C7454F"/>
    <w:rsid w:val="00C751D0"/>
    <w:rsid w:val="00C77EB2"/>
    <w:rsid w:val="00C82B11"/>
    <w:rsid w:val="00C84385"/>
    <w:rsid w:val="00C85AA4"/>
    <w:rsid w:val="00C9319D"/>
    <w:rsid w:val="00C95AB6"/>
    <w:rsid w:val="00CA0050"/>
    <w:rsid w:val="00CA3E76"/>
    <w:rsid w:val="00CB3112"/>
    <w:rsid w:val="00CB3D76"/>
    <w:rsid w:val="00CC0FEF"/>
    <w:rsid w:val="00CD3F65"/>
    <w:rsid w:val="00CD5BD1"/>
    <w:rsid w:val="00CD61FE"/>
    <w:rsid w:val="00CD7670"/>
    <w:rsid w:val="00CE57D5"/>
    <w:rsid w:val="00CF72C0"/>
    <w:rsid w:val="00D01836"/>
    <w:rsid w:val="00D05297"/>
    <w:rsid w:val="00D11F67"/>
    <w:rsid w:val="00D13B4D"/>
    <w:rsid w:val="00D13CBC"/>
    <w:rsid w:val="00D20398"/>
    <w:rsid w:val="00D2734D"/>
    <w:rsid w:val="00D36497"/>
    <w:rsid w:val="00D364D9"/>
    <w:rsid w:val="00D374BC"/>
    <w:rsid w:val="00D44742"/>
    <w:rsid w:val="00D47307"/>
    <w:rsid w:val="00D501CF"/>
    <w:rsid w:val="00D56100"/>
    <w:rsid w:val="00D56E67"/>
    <w:rsid w:val="00D643FA"/>
    <w:rsid w:val="00D678BC"/>
    <w:rsid w:val="00D702E4"/>
    <w:rsid w:val="00D73F57"/>
    <w:rsid w:val="00D76756"/>
    <w:rsid w:val="00D8147E"/>
    <w:rsid w:val="00D81945"/>
    <w:rsid w:val="00D85A3A"/>
    <w:rsid w:val="00D86620"/>
    <w:rsid w:val="00D874FE"/>
    <w:rsid w:val="00DA24EC"/>
    <w:rsid w:val="00DB11C0"/>
    <w:rsid w:val="00DC1270"/>
    <w:rsid w:val="00DC5FFD"/>
    <w:rsid w:val="00DD529F"/>
    <w:rsid w:val="00DD61B9"/>
    <w:rsid w:val="00DE0199"/>
    <w:rsid w:val="00DE088C"/>
    <w:rsid w:val="00DE1939"/>
    <w:rsid w:val="00DF3C81"/>
    <w:rsid w:val="00DF3E45"/>
    <w:rsid w:val="00DF59FB"/>
    <w:rsid w:val="00E02041"/>
    <w:rsid w:val="00E20186"/>
    <w:rsid w:val="00E367A4"/>
    <w:rsid w:val="00E402AD"/>
    <w:rsid w:val="00E41CC2"/>
    <w:rsid w:val="00E50F56"/>
    <w:rsid w:val="00E55344"/>
    <w:rsid w:val="00E55F3D"/>
    <w:rsid w:val="00E70ADA"/>
    <w:rsid w:val="00E7309F"/>
    <w:rsid w:val="00E76063"/>
    <w:rsid w:val="00E778C4"/>
    <w:rsid w:val="00E864C0"/>
    <w:rsid w:val="00E96FF5"/>
    <w:rsid w:val="00E97786"/>
    <w:rsid w:val="00EA3666"/>
    <w:rsid w:val="00EA3E48"/>
    <w:rsid w:val="00EA71AB"/>
    <w:rsid w:val="00EB1591"/>
    <w:rsid w:val="00EB1B0A"/>
    <w:rsid w:val="00EB2F55"/>
    <w:rsid w:val="00EC0915"/>
    <w:rsid w:val="00ED4680"/>
    <w:rsid w:val="00ED6130"/>
    <w:rsid w:val="00EE5A73"/>
    <w:rsid w:val="00EE65C7"/>
    <w:rsid w:val="00EE7768"/>
    <w:rsid w:val="00EF3322"/>
    <w:rsid w:val="00EF3FB5"/>
    <w:rsid w:val="00EF41D1"/>
    <w:rsid w:val="00EF6021"/>
    <w:rsid w:val="00F02684"/>
    <w:rsid w:val="00F031A9"/>
    <w:rsid w:val="00F0547C"/>
    <w:rsid w:val="00F107BE"/>
    <w:rsid w:val="00F14FE8"/>
    <w:rsid w:val="00F216C1"/>
    <w:rsid w:val="00F21F3F"/>
    <w:rsid w:val="00F22ED1"/>
    <w:rsid w:val="00F23DA3"/>
    <w:rsid w:val="00F44BBE"/>
    <w:rsid w:val="00F51CD8"/>
    <w:rsid w:val="00F5777E"/>
    <w:rsid w:val="00F60075"/>
    <w:rsid w:val="00F7229A"/>
    <w:rsid w:val="00F72309"/>
    <w:rsid w:val="00F7416B"/>
    <w:rsid w:val="00F81664"/>
    <w:rsid w:val="00F859E9"/>
    <w:rsid w:val="00FA5977"/>
    <w:rsid w:val="00FA59CB"/>
    <w:rsid w:val="00FA5B52"/>
    <w:rsid w:val="00FB4AD6"/>
    <w:rsid w:val="00FD66F9"/>
    <w:rsid w:val="00FE2467"/>
    <w:rsid w:val="00FF23D5"/>
    <w:rsid w:val="00FF6622"/>
    <w:rsid w:val="00FF6F05"/>
    <w:rsid w:val="00FF7F73"/>
    <w:rsid w:val="560F9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A7AC9"/>
  <w15:chartTrackingRefBased/>
  <w15:docId w15:val="{AED872BA-C587-401B-B844-5B3B42C7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CA3E76"/>
    <w:rPr>
      <w:sz w:val="24"/>
      <w:szCs w:val="24"/>
      <w:lang w:eastAsia="zh-CN"/>
    </w:rPr>
  </w:style>
  <w:style w:type="paragraph" w:styleId="ListParagraph">
    <w:name w:val="List Paragraph"/>
    <w:basedOn w:val="Normal"/>
    <w:uiPriority w:val="34"/>
    <w:qFormat/>
    <w:rsid w:val="008A7D95"/>
    <w:pPr>
      <w:ind w:left="720"/>
      <w:contextualSpacing/>
    </w:pPr>
  </w:style>
  <w:style w:type="paragraph" w:customStyle="1" w:styleId="Default">
    <w:name w:val="Default"/>
    <w:rsid w:val="00C555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EBA96-76C0-4211-8E96-8675B72BBC3A}">
  <ds:schemaRefs>
    <ds:schemaRef ds:uri="http://schemas.openxmlformats.org/officeDocument/2006/bibliography"/>
  </ds:schemaRefs>
</ds:datastoreItem>
</file>

<file path=customXml/itemProps2.xml><?xml version="1.0" encoding="utf-8"?>
<ds:datastoreItem xmlns:ds="http://schemas.openxmlformats.org/officeDocument/2006/customXml" ds:itemID="{3D614F7D-FF72-4167-A0BC-4687F4C303CE}">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457FCA16-A80D-4758-898F-FC80C8530249}">
  <ds:schemaRefs>
    <ds:schemaRef ds:uri="http://schemas.microsoft.com/sharepoint/v3/contenttype/forms"/>
  </ds:schemaRefs>
</ds:datastoreItem>
</file>

<file path=customXml/itemProps4.xml><?xml version="1.0" encoding="utf-8"?>
<ds:datastoreItem xmlns:ds="http://schemas.openxmlformats.org/officeDocument/2006/customXml" ds:itemID="{87F37FD4-BAC4-4C2F-BF28-FB8C2A1E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1473</Words>
  <Characters>9413</Characters>
  <Application>Microsoft Office Word</Application>
  <DocSecurity>0</DocSecurity>
  <Lines>470</Lines>
  <Paragraphs>181</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2011-03-10T00:48:00Z</cp:lastPrinted>
  <dcterms:created xsi:type="dcterms:W3CDTF">2026-02-03T15:46:00Z</dcterms:created>
  <dcterms:modified xsi:type="dcterms:W3CDTF">2026-02-03T15:48:00Z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024">
    <vt:lpwstr>1088</vt:lpwstr>
  </property>
  <property fmtid="{D5CDD505-2E9C-101B-9397-08002B2CF9AE}" pid="4" name="MediaServiceImageTags">
    <vt:lpwstr/>
  </property>
  <property fmtid="{D5CDD505-2E9C-101B-9397-08002B2CF9AE}" pid="5" name="_ExtendedDescription">
    <vt:lpwstr/>
  </property>
</Properties>
</file>