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BF6B" w14:textId="77777777" w:rsidR="00313255" w:rsidRDefault="00EB1E1D">
      <w:pPr>
        <w:pStyle w:val="Title"/>
      </w:pPr>
      <w:r>
        <w:t>SECOND-SOURCE</w:t>
      </w:r>
      <w:r>
        <w:rPr>
          <w:spacing w:val="-14"/>
        </w:rPr>
        <w:t xml:space="preserve"> </w:t>
      </w:r>
      <w:r>
        <w:t>STANDARD</w:t>
      </w:r>
      <w:r>
        <w:rPr>
          <w:spacing w:val="-10"/>
        </w:rPr>
        <w:t xml:space="preserve"> </w:t>
      </w:r>
      <w:r>
        <w:rPr>
          <w:spacing w:val="-2"/>
        </w:rPr>
        <w:t>POLICY</w:t>
      </w:r>
    </w:p>
    <w:p w14:paraId="3FEEBF6C" w14:textId="77777777" w:rsidR="00313255" w:rsidRDefault="00EB1E1D">
      <w:pPr>
        <w:pStyle w:val="BodyText"/>
        <w:spacing w:before="76"/>
        <w:ind w:left="3512" w:right="3391"/>
        <w:jc w:val="center"/>
      </w:pPr>
      <w:r>
        <w:t>(NC</w:t>
      </w:r>
      <w:r>
        <w:rPr>
          <w:spacing w:val="-10"/>
        </w:rPr>
        <w:t xml:space="preserve"> </w:t>
      </w:r>
      <w:r>
        <w:t>WW/GW</w:t>
      </w:r>
      <w:r>
        <w:rPr>
          <w:spacing w:val="-4"/>
        </w:rPr>
        <w:t xml:space="preserve"> </w:t>
      </w:r>
      <w:r>
        <w:t>LCB</w:t>
      </w:r>
      <w:r>
        <w:rPr>
          <w:spacing w:val="-4"/>
        </w:rPr>
        <w:t xml:space="preserve"> </w:t>
      </w:r>
      <w:r>
        <w:rPr>
          <w:spacing w:val="-2"/>
        </w:rPr>
        <w:t>9/24/2021)</w:t>
      </w:r>
    </w:p>
    <w:p w14:paraId="3FEEBF6D" w14:textId="77777777" w:rsidR="00313255" w:rsidRDefault="00313255">
      <w:pPr>
        <w:pStyle w:val="BodyText"/>
        <w:rPr>
          <w:sz w:val="24"/>
        </w:rPr>
      </w:pPr>
    </w:p>
    <w:p w14:paraId="3FEEBF6E" w14:textId="77777777" w:rsidR="00313255" w:rsidRDefault="00313255">
      <w:pPr>
        <w:pStyle w:val="BodyText"/>
        <w:spacing w:before="1"/>
        <w:rPr>
          <w:sz w:val="20"/>
        </w:rPr>
      </w:pPr>
    </w:p>
    <w:p w14:paraId="3FEEBF6F" w14:textId="77777777" w:rsidR="00313255" w:rsidRDefault="00EB1E1D">
      <w:pPr>
        <w:pStyle w:val="BodyText"/>
        <w:spacing w:line="252" w:lineRule="exact"/>
        <w:ind w:left="119"/>
        <w:jc w:val="both"/>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policy</w:t>
      </w:r>
      <w:r>
        <w:rPr>
          <w:spacing w:val="5"/>
        </w:rPr>
        <w:t xml:space="preserve"> </w:t>
      </w:r>
      <w:r>
        <w:t>is</w:t>
      </w:r>
      <w:r>
        <w:rPr>
          <w:spacing w:val="4"/>
        </w:rPr>
        <w:t xml:space="preserve"> </w:t>
      </w:r>
      <w:r>
        <w:t>to</w:t>
      </w:r>
      <w:r>
        <w:rPr>
          <w:spacing w:val="4"/>
        </w:rPr>
        <w:t xml:space="preserve"> </w:t>
      </w:r>
      <w:r>
        <w:t>expand</w:t>
      </w:r>
      <w:r>
        <w:rPr>
          <w:spacing w:val="1"/>
        </w:rPr>
        <w:t xml:space="preserve"> </w:t>
      </w:r>
      <w:r>
        <w:t>upon</w:t>
      </w:r>
      <w:r>
        <w:rPr>
          <w:spacing w:val="4"/>
        </w:rPr>
        <w:t xml:space="preserve"> </w:t>
      </w:r>
      <w:r>
        <w:t>and</w:t>
      </w:r>
      <w:r>
        <w:rPr>
          <w:spacing w:val="2"/>
        </w:rPr>
        <w:t xml:space="preserve"> </w:t>
      </w:r>
      <w:r>
        <w:t>explain</w:t>
      </w:r>
      <w:r>
        <w:rPr>
          <w:spacing w:val="3"/>
        </w:rPr>
        <w:t xml:space="preserve"> </w:t>
      </w:r>
      <w:r>
        <w:t>the</w:t>
      </w:r>
      <w:r>
        <w:rPr>
          <w:spacing w:val="3"/>
        </w:rPr>
        <w:t xml:space="preserve"> </w:t>
      </w:r>
      <w:r>
        <w:t>requirements</w:t>
      </w:r>
      <w:r>
        <w:rPr>
          <w:spacing w:val="3"/>
        </w:rPr>
        <w:t xml:space="preserve"> </w:t>
      </w:r>
      <w:r>
        <w:t>described</w:t>
      </w:r>
      <w:r>
        <w:rPr>
          <w:spacing w:val="4"/>
        </w:rPr>
        <w:t xml:space="preserve"> </w:t>
      </w:r>
      <w:r>
        <w:t>in</w:t>
      </w:r>
      <w:r>
        <w:rPr>
          <w:spacing w:val="3"/>
        </w:rPr>
        <w:t xml:space="preserve"> </w:t>
      </w:r>
      <w:r>
        <w:t>15A</w:t>
      </w:r>
      <w:r>
        <w:rPr>
          <w:spacing w:val="4"/>
        </w:rPr>
        <w:t xml:space="preserve"> </w:t>
      </w:r>
      <w:r>
        <w:t>NCAC</w:t>
      </w:r>
      <w:r>
        <w:rPr>
          <w:spacing w:val="3"/>
        </w:rPr>
        <w:t xml:space="preserve"> </w:t>
      </w:r>
      <w:r>
        <w:t>02H</w:t>
      </w:r>
      <w:r>
        <w:rPr>
          <w:spacing w:val="4"/>
        </w:rPr>
        <w:t xml:space="preserve"> </w:t>
      </w:r>
      <w:r>
        <w:rPr>
          <w:spacing w:val="-2"/>
        </w:rPr>
        <w:t>.0805</w:t>
      </w:r>
    </w:p>
    <w:p w14:paraId="3FEEBF70" w14:textId="77777777" w:rsidR="00313255" w:rsidRDefault="00EB1E1D">
      <w:pPr>
        <w:pStyle w:val="BodyText"/>
        <w:spacing w:line="252" w:lineRule="exact"/>
        <w:ind w:left="119"/>
      </w:pPr>
      <w:r>
        <w:t>(a)</w:t>
      </w:r>
      <w:r>
        <w:rPr>
          <w:spacing w:val="-5"/>
        </w:rPr>
        <w:t xml:space="preserve"> </w:t>
      </w:r>
      <w:r>
        <w:t>(7)</w:t>
      </w:r>
      <w:r>
        <w:rPr>
          <w:spacing w:val="-3"/>
        </w:rPr>
        <w:t xml:space="preserve"> </w:t>
      </w:r>
      <w:r>
        <w:t>(H)</w:t>
      </w:r>
      <w:r>
        <w:rPr>
          <w:spacing w:val="-3"/>
        </w:rPr>
        <w:t xml:space="preserve"> </w:t>
      </w:r>
      <w:r>
        <w:rPr>
          <w:spacing w:val="-2"/>
        </w:rPr>
        <w:t>(ii).</w:t>
      </w:r>
    </w:p>
    <w:p w14:paraId="3FEEBF71" w14:textId="77777777" w:rsidR="00313255" w:rsidRDefault="00313255">
      <w:pPr>
        <w:pStyle w:val="BodyText"/>
        <w:spacing w:before="1"/>
      </w:pPr>
    </w:p>
    <w:p w14:paraId="3FEEBF72" w14:textId="77777777" w:rsidR="00313255" w:rsidRDefault="00EB1E1D">
      <w:pPr>
        <w:pStyle w:val="BodyText"/>
        <w:ind w:left="119" w:right="107"/>
        <w:jc w:val="both"/>
      </w:pPr>
      <w:r>
        <w:t>When a calibration curve is manually prepared (as opposed to a factory-set calibration curve), it is required to analyze one known standard in addition to the calibration standards each time the curve is analyzed and in accordance with the reference method requirements thereafter to</w:t>
      </w:r>
      <w:r>
        <w:rPr>
          <w:spacing w:val="40"/>
        </w:rPr>
        <w:t xml:space="preserve"> </w:t>
      </w:r>
      <w:r>
        <w:t>document accuracy. This standard (often referred to as a second-source standard or external reference standard) must be prepared from materials obtained from a source independent from the one used for preparing the calibration standards and treated in the same manner. A second-source standard may be:</w:t>
      </w:r>
    </w:p>
    <w:p w14:paraId="3FEEBF73" w14:textId="77777777" w:rsidR="00313255" w:rsidRDefault="00313255">
      <w:pPr>
        <w:pStyle w:val="BodyText"/>
        <w:spacing w:before="3"/>
        <w:rPr>
          <w:sz w:val="23"/>
        </w:rPr>
      </w:pPr>
    </w:p>
    <w:p w14:paraId="3FEEBF74" w14:textId="2DAC1B77" w:rsidR="00313255" w:rsidRDefault="00EB1E1D" w:rsidP="00EB1E1D">
      <w:pPr>
        <w:pStyle w:val="BodyText"/>
        <w:numPr>
          <w:ilvl w:val="0"/>
          <w:numId w:val="1"/>
        </w:numPr>
        <w:ind w:left="900"/>
      </w:pPr>
      <w:r>
        <w:t>a</w:t>
      </w:r>
      <w:r>
        <w:rPr>
          <w:spacing w:val="-6"/>
        </w:rPr>
        <w:t xml:space="preserve"> </w:t>
      </w:r>
      <w:r>
        <w:t>certified</w:t>
      </w:r>
      <w:r>
        <w:rPr>
          <w:spacing w:val="-8"/>
        </w:rPr>
        <w:t xml:space="preserve"> </w:t>
      </w:r>
      <w:r>
        <w:t>standard</w:t>
      </w:r>
      <w:r>
        <w:rPr>
          <w:spacing w:val="-5"/>
        </w:rPr>
        <w:t xml:space="preserve"> </w:t>
      </w:r>
      <w:r>
        <w:t>obtained</w:t>
      </w:r>
      <w:r>
        <w:rPr>
          <w:spacing w:val="-6"/>
        </w:rPr>
        <w:t xml:space="preserve"> </w:t>
      </w:r>
      <w:r>
        <w:t>from</w:t>
      </w:r>
      <w:r>
        <w:rPr>
          <w:spacing w:val="-5"/>
        </w:rPr>
        <w:t xml:space="preserve"> </w:t>
      </w:r>
      <w:r>
        <w:t>a</w:t>
      </w:r>
      <w:r>
        <w:rPr>
          <w:spacing w:val="-7"/>
        </w:rPr>
        <w:t xml:space="preserve"> </w:t>
      </w:r>
      <w:r>
        <w:rPr>
          <w:spacing w:val="-2"/>
        </w:rPr>
        <w:t>vendor,</w:t>
      </w:r>
    </w:p>
    <w:p w14:paraId="3FEEBF75" w14:textId="77777777" w:rsidR="00313255" w:rsidRDefault="00EB1E1D" w:rsidP="00EB1E1D">
      <w:pPr>
        <w:pStyle w:val="BodyText"/>
        <w:numPr>
          <w:ilvl w:val="0"/>
          <w:numId w:val="1"/>
        </w:numPr>
        <w:spacing w:before="16"/>
        <w:ind w:left="900"/>
      </w:pPr>
      <w:r>
        <w:t>a</w:t>
      </w:r>
      <w:r>
        <w:rPr>
          <w:spacing w:val="-5"/>
        </w:rPr>
        <w:t xml:space="preserve"> </w:t>
      </w:r>
      <w:r>
        <w:t>standard</w:t>
      </w:r>
      <w:r>
        <w:rPr>
          <w:spacing w:val="-7"/>
        </w:rPr>
        <w:t xml:space="preserve"> </w:t>
      </w:r>
      <w:r>
        <w:t>prepared</w:t>
      </w:r>
      <w:r>
        <w:rPr>
          <w:spacing w:val="-11"/>
        </w:rPr>
        <w:t xml:space="preserve"> </w:t>
      </w:r>
      <w:r>
        <w:t>from</w:t>
      </w:r>
      <w:r>
        <w:rPr>
          <w:spacing w:val="-3"/>
        </w:rPr>
        <w:t xml:space="preserve"> </w:t>
      </w:r>
      <w:r>
        <w:t>primary</w:t>
      </w:r>
      <w:r>
        <w:rPr>
          <w:spacing w:val="-6"/>
        </w:rPr>
        <w:t xml:space="preserve"> </w:t>
      </w:r>
      <w:r>
        <w:t>standards</w:t>
      </w:r>
      <w:r>
        <w:rPr>
          <w:spacing w:val="-7"/>
        </w:rPr>
        <w:t xml:space="preserve"> </w:t>
      </w:r>
      <w:r>
        <w:t>obtained</w:t>
      </w:r>
      <w:r>
        <w:rPr>
          <w:spacing w:val="-6"/>
        </w:rPr>
        <w:t xml:space="preserve"> </w:t>
      </w:r>
      <w:r>
        <w:t>from</w:t>
      </w:r>
      <w:r>
        <w:rPr>
          <w:spacing w:val="-6"/>
        </w:rPr>
        <w:t xml:space="preserve"> </w:t>
      </w:r>
      <w:r>
        <w:t>a</w:t>
      </w:r>
      <w:r>
        <w:rPr>
          <w:spacing w:val="-4"/>
        </w:rPr>
        <w:t xml:space="preserve"> </w:t>
      </w:r>
      <w:r>
        <w:t>second</w:t>
      </w:r>
      <w:r>
        <w:rPr>
          <w:spacing w:val="-9"/>
        </w:rPr>
        <w:t xml:space="preserve"> </w:t>
      </w:r>
      <w:r>
        <w:t>vendor,</w:t>
      </w:r>
      <w:r>
        <w:rPr>
          <w:spacing w:val="-4"/>
        </w:rPr>
        <w:t xml:space="preserve"> </w:t>
      </w:r>
      <w:r>
        <w:rPr>
          <w:spacing w:val="-5"/>
        </w:rPr>
        <w:t>or</w:t>
      </w:r>
    </w:p>
    <w:p w14:paraId="3FEEBF76" w14:textId="77777777" w:rsidR="00313255" w:rsidRDefault="00EB1E1D" w:rsidP="00EB1E1D">
      <w:pPr>
        <w:pStyle w:val="BodyText"/>
        <w:numPr>
          <w:ilvl w:val="0"/>
          <w:numId w:val="1"/>
        </w:numPr>
        <w:spacing w:before="14"/>
        <w:ind w:left="900"/>
      </w:pPr>
      <w:r>
        <w:t>a standard</w:t>
      </w:r>
      <w:r>
        <w:rPr>
          <w:spacing w:val="-4"/>
        </w:rPr>
        <w:t xml:space="preserve"> </w:t>
      </w:r>
      <w:r>
        <w:t>made</w:t>
      </w:r>
      <w:r>
        <w:rPr>
          <w:spacing w:val="-4"/>
        </w:rPr>
        <w:t xml:space="preserve"> </w:t>
      </w:r>
      <w:r>
        <w:t>from primary</w:t>
      </w:r>
      <w:r>
        <w:rPr>
          <w:spacing w:val="-4"/>
        </w:rPr>
        <w:t xml:space="preserve"> </w:t>
      </w:r>
      <w:r>
        <w:t>standards</w:t>
      </w:r>
      <w:r>
        <w:rPr>
          <w:spacing w:val="-4"/>
        </w:rPr>
        <w:t xml:space="preserve"> </w:t>
      </w:r>
      <w:r>
        <w:t>from the</w:t>
      </w:r>
      <w:r>
        <w:rPr>
          <w:spacing w:val="-4"/>
        </w:rPr>
        <w:t xml:space="preserve"> </w:t>
      </w:r>
      <w:r>
        <w:t>same vendor but from a</w:t>
      </w:r>
      <w:r>
        <w:rPr>
          <w:spacing w:val="-4"/>
        </w:rPr>
        <w:t xml:space="preserve"> </w:t>
      </w:r>
      <w:r>
        <w:t>different lot number (i.e., an independent lot) as those used to make the calibration standards.</w:t>
      </w:r>
    </w:p>
    <w:p w14:paraId="3FEEBF77" w14:textId="77777777" w:rsidR="00313255" w:rsidRDefault="00313255">
      <w:pPr>
        <w:pStyle w:val="BodyText"/>
        <w:spacing w:before="4"/>
      </w:pPr>
    </w:p>
    <w:p w14:paraId="3FEEBF78" w14:textId="77777777" w:rsidR="00313255" w:rsidRDefault="00EB1E1D">
      <w:pPr>
        <w:pStyle w:val="BodyText"/>
        <w:ind w:left="119" w:right="110"/>
        <w:jc w:val="both"/>
      </w:pPr>
      <w:r>
        <w:t xml:space="preserve">Second-source standards must be evaluated using one of the following: vendor supplied criteria, method- defined acceptance criteria, in-house calculated acceptance limits that are </w:t>
      </w:r>
      <w:proofErr w:type="gramStart"/>
      <w:r>
        <w:t>statistically-derived</w:t>
      </w:r>
      <w:proofErr w:type="gramEnd"/>
      <w:r>
        <w:t xml:space="preserve"> from historical data based on three standard deviations from the mean in the detectable range or other statistically viable evaluation </w:t>
      </w:r>
      <w:proofErr w:type="gramStart"/>
      <w:r>
        <w:t>criterion</w:t>
      </w:r>
      <w:proofErr w:type="gramEnd"/>
      <w:r>
        <w:t>. If the results fall outside of acceptance limits, the analysis must be terminated, and the problem corrected prior to sample analysis.</w:t>
      </w:r>
    </w:p>
    <w:sectPr w:rsidR="00313255">
      <w:type w:val="continuous"/>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43885"/>
    <w:multiLevelType w:val="hybridMultilevel"/>
    <w:tmpl w:val="EF92321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6704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13255"/>
    <w:rsid w:val="00313255"/>
    <w:rsid w:val="00382232"/>
    <w:rsid w:val="00EB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BF6B"/>
  <w15:docId w15:val="{CBB2093F-48E3-46FB-A34A-49601FAC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5"/>
      <w:ind w:left="3512" w:right="3392"/>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4EDA0-38EB-4C2B-878B-FAC5FC61BFF7}"/>
</file>

<file path=customXml/itemProps2.xml><?xml version="1.0" encoding="utf-8"?>
<ds:datastoreItem xmlns:ds="http://schemas.openxmlformats.org/officeDocument/2006/customXml" ds:itemID="{3D32C018-D202-49F3-ACAC-4D59FEF9BF4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814276BC-4DB7-4E05-BAC3-A54BE5553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CONTROL STANDARD (LCS) </dc:title>
  <dc:creator>j_meyer</dc:creator>
  <cp:lastModifiedBy>Swanson, Beth</cp:lastModifiedBy>
  <cp:revision>2</cp:revision>
  <dcterms:created xsi:type="dcterms:W3CDTF">2023-08-09T19:17:00Z</dcterms:created>
  <dcterms:modified xsi:type="dcterms:W3CDTF">2025-12-09T18:56:00Z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Created">
    <vt:filetime>2021-09-24T00:00:00Z</vt:filetime>
  </property>
  <property fmtid="{D5CDD505-2E9C-101B-9397-08002B2CF9AE}" pid="4" name="Creator">
    <vt:lpwstr>Acrobat PDFMaker 21 for Word</vt:lpwstr>
  </property>
  <property fmtid="{D5CDD505-2E9C-101B-9397-08002B2CF9AE}" pid="5" name="LastSaved">
    <vt:filetime>2023-08-09T00:00:00Z</vt:filetime>
  </property>
  <property fmtid="{D5CDD505-2E9C-101B-9397-08002B2CF9AE}" pid="6" name="Producer">
    <vt:lpwstr>Adobe PDF Library 21.1.174</vt:lpwstr>
  </property>
  <property fmtid="{D5CDD505-2E9C-101B-9397-08002B2CF9AE}" pid="7" name="SourceModified">
    <vt:lpwstr/>
  </property>
  <property fmtid="{D5CDD505-2E9C-101B-9397-08002B2CF9AE}" pid="8" name="Order">
    <vt:r8>11742400</vt:r8>
  </property>
  <property fmtid="{D5CDD505-2E9C-101B-9397-08002B2CF9AE}" pid="9" name="_ExtendedDescription">
    <vt:lpwstr/>
  </property>
  <property fmtid="{D5CDD505-2E9C-101B-9397-08002B2CF9AE}" pid="10" name="MediaServiceImageTags">
    <vt:lpwstr/>
  </property>
</Properties>
</file>