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D926" w14:textId="77777777" w:rsidR="004D3CCF" w:rsidRDefault="00F70058" w:rsidP="004975DA">
      <w:pPr>
        <w:jc w:val="center"/>
        <w:rPr>
          <w:b/>
          <w:sz w:val="28"/>
          <w:szCs w:val="28"/>
        </w:rPr>
      </w:pPr>
      <w:r w:rsidRPr="0060000C">
        <w:rPr>
          <w:b/>
          <w:sz w:val="28"/>
          <w:szCs w:val="28"/>
        </w:rPr>
        <w:t xml:space="preserve">SW-846 Method Implementation </w:t>
      </w:r>
      <w:r w:rsidR="004D3CCF">
        <w:rPr>
          <w:b/>
          <w:sz w:val="28"/>
          <w:szCs w:val="28"/>
        </w:rPr>
        <w:t>Policy</w:t>
      </w:r>
    </w:p>
    <w:p w14:paraId="54A146F1" w14:textId="77777777" w:rsidR="00F70058" w:rsidRPr="00AF32CB" w:rsidRDefault="00AF0A30" w:rsidP="004975DA">
      <w:pPr>
        <w:jc w:val="center"/>
        <w:rPr>
          <w:sz w:val="28"/>
          <w:szCs w:val="28"/>
        </w:rPr>
      </w:pPr>
      <w:r w:rsidRPr="00E412C4">
        <w:rPr>
          <w:sz w:val="28"/>
          <w:szCs w:val="28"/>
        </w:rPr>
        <w:t xml:space="preserve">(NC WW/GW LC </w:t>
      </w:r>
      <w:r w:rsidR="00326227">
        <w:rPr>
          <w:sz w:val="28"/>
          <w:szCs w:val="28"/>
        </w:rPr>
        <w:t>07/</w:t>
      </w:r>
      <w:r w:rsidR="004E72C1">
        <w:rPr>
          <w:sz w:val="28"/>
          <w:szCs w:val="28"/>
        </w:rPr>
        <w:t>22/2020</w:t>
      </w:r>
      <w:r w:rsidRPr="00AF32CB">
        <w:rPr>
          <w:sz w:val="28"/>
          <w:szCs w:val="28"/>
        </w:rPr>
        <w:t>)</w:t>
      </w:r>
    </w:p>
    <w:p w14:paraId="4A2B77F9" w14:textId="77777777" w:rsidR="00F70058" w:rsidRDefault="00761903" w:rsidP="00F34E41">
      <w:pPr>
        <w:jc w:val="both"/>
      </w:pPr>
      <w:r w:rsidRPr="00761903">
        <w:t>The EPA publication</w:t>
      </w:r>
      <w:r w:rsidR="007670C4">
        <w:t>,</w:t>
      </w:r>
      <w:r w:rsidRPr="00761903">
        <w:t xml:space="preserve">  </w:t>
      </w:r>
      <w:r w:rsidRPr="00761903">
        <w:rPr>
          <w:i/>
        </w:rPr>
        <w:t>Test Methods for Evaluating Solid Waste, Physical/Chemical Methods</w:t>
      </w:r>
      <w:r w:rsidRPr="00761903">
        <w:t xml:space="preserve">, </w:t>
      </w:r>
      <w:r w:rsidR="007670C4">
        <w:t xml:space="preserve">also known as </w:t>
      </w:r>
      <w:hyperlink r:id="rId8" w:history="1">
        <w:r w:rsidR="007670C4" w:rsidRPr="00761903">
          <w:rPr>
            <w:rStyle w:val="Hyperlink"/>
          </w:rPr>
          <w:t>SW-846</w:t>
        </w:r>
      </w:hyperlink>
      <w:r w:rsidR="007670C4">
        <w:rPr>
          <w:rStyle w:val="Hyperlink"/>
        </w:rPr>
        <w:t xml:space="preserve">, </w:t>
      </w:r>
      <w:r w:rsidRPr="00761903">
        <w:t xml:space="preserve">is the Office of Solid Waste's (OSW's) official compendium of analytical and sampling methods that have been evaluated and approved for use in complying with the </w:t>
      </w:r>
      <w:r w:rsidR="00CE3BF5" w:rsidRPr="00CE3BF5">
        <w:t>Resource Conservation and Recovery Act (</w:t>
      </w:r>
      <w:r w:rsidRPr="00761903">
        <w:t>RCRA</w:t>
      </w:r>
      <w:r w:rsidR="00CE3BF5">
        <w:t>)</w:t>
      </w:r>
      <w:r w:rsidRPr="00761903">
        <w:t xml:space="preserve"> regulations.</w:t>
      </w:r>
      <w:r w:rsidR="00A02EE7">
        <w:t xml:space="preserve"> </w:t>
      </w:r>
      <w:r w:rsidR="006B2132">
        <w:t xml:space="preserve">The </w:t>
      </w:r>
      <w:r w:rsidR="00A02EE7">
        <w:t>North Carolina Administrative Code</w:t>
      </w:r>
      <w:r w:rsidR="00903FDD">
        <w:t>,</w:t>
      </w:r>
      <w:r w:rsidR="00A02EE7">
        <w:t xml:space="preserve"> 15A NCAC 02L .0112 lists </w:t>
      </w:r>
      <w:r w:rsidR="00A02EE7" w:rsidRPr="00422BEB">
        <w:rPr>
          <w:i/>
        </w:rPr>
        <w:t>Test Methods for Evaluating Solid Wastes: Physical/Chemical Methods, 3</w:t>
      </w:r>
      <w:r w:rsidR="00A02EE7" w:rsidRPr="00422BEB">
        <w:rPr>
          <w:i/>
          <w:vertAlign w:val="superscript"/>
        </w:rPr>
        <w:t>rd</w:t>
      </w:r>
      <w:r w:rsidR="00A02EE7" w:rsidRPr="00422BEB">
        <w:rPr>
          <w:i/>
        </w:rPr>
        <w:t xml:space="preserve"> Edition, 1986, U.S. Environmental Protection Agency publication number SW-846</w:t>
      </w:r>
      <w:r w:rsidR="00A02EE7">
        <w:t xml:space="preserve"> as an approved procedures document for determination of compliance or noncompliance with the standards established in Rule .0202 of this Subchapter.</w:t>
      </w:r>
      <w:r w:rsidR="008814A6">
        <w:t xml:space="preserve"> Therefore, only methods included in the 3</w:t>
      </w:r>
      <w:r w:rsidR="008814A6" w:rsidRPr="00422BEB">
        <w:rPr>
          <w:vertAlign w:val="superscript"/>
        </w:rPr>
        <w:t>rd</w:t>
      </w:r>
      <w:r w:rsidR="008814A6">
        <w:t xml:space="preserve"> Edition and applicable updates </w:t>
      </w:r>
      <w:r w:rsidR="00D15681">
        <w:t>to the 3</w:t>
      </w:r>
      <w:r w:rsidR="00D15681" w:rsidRPr="00422BEB">
        <w:rPr>
          <w:vertAlign w:val="superscript"/>
        </w:rPr>
        <w:t>rd</w:t>
      </w:r>
      <w:r w:rsidR="00D15681">
        <w:t xml:space="preserve"> Edition </w:t>
      </w:r>
      <w:r w:rsidR="008814A6">
        <w:t>are to be used for North Carolina compliance monitoring.</w:t>
      </w:r>
    </w:p>
    <w:p w14:paraId="00A65EEE" w14:textId="77777777" w:rsidR="00DD2C06" w:rsidRDefault="00863733" w:rsidP="00F34E41">
      <w:pPr>
        <w:jc w:val="both"/>
      </w:pPr>
      <w:r w:rsidRPr="00863733">
        <w:t>SW-846 contains the analytical and test methods that EPA has evaluated and found to be among those acceptable for testing under subtitle C of the RCRA</w:t>
      </w:r>
      <w:r w:rsidR="00190D82">
        <w:t xml:space="preserve"> regulations</w:t>
      </w:r>
      <w:r w:rsidRPr="00863733">
        <w:t>. In most situations, SW-846 functions as a guidance document setting forth acceptable, although not required, methods to be implemented by the user, as appropriate, in responding to RCRA-related sampling and analysis requirements.</w:t>
      </w:r>
      <w:r w:rsidR="00DD2C06">
        <w:t xml:space="preserve"> </w:t>
      </w:r>
      <w:r w:rsidR="00214867" w:rsidRPr="00214867">
        <w:t xml:space="preserve">As such, the </w:t>
      </w:r>
      <w:r w:rsidR="0060000C">
        <w:t>Quality Assurance/Quality Control (</w:t>
      </w:r>
      <w:r w:rsidR="00214867" w:rsidRPr="00214867">
        <w:t>QA/QC</w:t>
      </w:r>
      <w:r w:rsidR="0060000C">
        <w:t>)</w:t>
      </w:r>
      <w:r w:rsidR="00214867" w:rsidRPr="00214867">
        <w:t xml:space="preserve"> requirements in SW-846 are</w:t>
      </w:r>
      <w:r w:rsidR="00DD2C06">
        <w:t xml:space="preserve"> stated as</w:t>
      </w:r>
      <w:r w:rsidR="00214867" w:rsidRPr="00214867">
        <w:t xml:space="preserve"> guidelines.  </w:t>
      </w:r>
    </w:p>
    <w:p w14:paraId="09949147" w14:textId="77777777" w:rsidR="00DD2C06" w:rsidRDefault="00214867" w:rsidP="00F34E41">
      <w:pPr>
        <w:jc w:val="both"/>
      </w:pPr>
      <w:r w:rsidRPr="00214867">
        <w:t xml:space="preserve">When SW-846 </w:t>
      </w:r>
      <w:r w:rsidR="00DD2C06" w:rsidRPr="00214867">
        <w:t>methods were developed, it was anticipated that most projects utilizing these methods would have an associated Quality Assurance Project Plan (</w:t>
      </w:r>
      <w:r w:rsidRPr="00214867">
        <w:t>QAPP</w:t>
      </w:r>
      <w:r w:rsidR="00DD2C06" w:rsidRPr="00214867">
        <w:t>), which would document the specific QA</w:t>
      </w:r>
      <w:r w:rsidRPr="00214867">
        <w:t>/</w:t>
      </w:r>
      <w:r w:rsidR="00DD2C06" w:rsidRPr="00214867">
        <w:t>QC requirements for the project</w:t>
      </w:r>
      <w:r w:rsidRPr="00214867">
        <w:t xml:space="preserve">. </w:t>
      </w:r>
      <w:r w:rsidR="00DD2C06" w:rsidRPr="00214867">
        <w:t>However, in practice most</w:t>
      </w:r>
      <w:r w:rsidRPr="00214867">
        <w:t xml:space="preserve"> projects did not have a QAPP</w:t>
      </w:r>
      <w:r w:rsidR="00DD2C06">
        <w:t xml:space="preserve"> and now SW-846 methods are widely used for a variety of environmental regulatory programs.</w:t>
      </w:r>
      <w:r w:rsidRPr="00214867">
        <w:t xml:space="preserve"> </w:t>
      </w:r>
    </w:p>
    <w:p w14:paraId="239608D8" w14:textId="77777777" w:rsidR="0060000C" w:rsidRPr="0060000C" w:rsidRDefault="0060000C" w:rsidP="00F34E41">
      <w:pPr>
        <w:jc w:val="both"/>
        <w:rPr>
          <w:b/>
        </w:rPr>
      </w:pPr>
      <w:r w:rsidRPr="0060000C">
        <w:rPr>
          <w:b/>
        </w:rPr>
        <w:t>SW-846 QA/QC Policy</w:t>
      </w:r>
    </w:p>
    <w:p w14:paraId="4DDE005A" w14:textId="77777777" w:rsidR="00DD2C06" w:rsidRDefault="00921F49" w:rsidP="00F34E41">
      <w:pPr>
        <w:jc w:val="both"/>
      </w:pPr>
      <w:r w:rsidRPr="00921F49">
        <w:t>The NC WW/GW Laboratory Certification Branch must confirm that analytical data is valid by reviewing the QA/QC data generated during the sampling and analysis procedures</w:t>
      </w:r>
      <w:r w:rsidR="00D813FF">
        <w:t xml:space="preserve"> when implementing SW-846 methods </w:t>
      </w:r>
      <w:proofErr w:type="gramStart"/>
      <w:r w:rsidR="00D813FF">
        <w:t>i</w:t>
      </w:r>
      <w:r w:rsidRPr="00921F49">
        <w:t>n order to</w:t>
      </w:r>
      <w:proofErr w:type="gramEnd"/>
      <w:r w:rsidRPr="00921F49">
        <w:t xml:space="preserve"> be assured that scientifically sound decisions are made which will be protective of human health and the environment.  </w:t>
      </w:r>
      <w:r w:rsidR="00DD2C06" w:rsidRPr="00DD2C06">
        <w:t>To promote consistency with the use of SW-846 methods</w:t>
      </w:r>
      <w:r w:rsidR="00431072">
        <w:t xml:space="preserve"> a</w:t>
      </w:r>
      <w:r w:rsidR="00DD2C06" w:rsidRPr="00DD2C06">
        <w:t xml:space="preserve">nd </w:t>
      </w:r>
      <w:r w:rsidR="00C53B2F">
        <w:t xml:space="preserve">to </w:t>
      </w:r>
      <w:r w:rsidR="00DD2C06" w:rsidRPr="00DD2C06">
        <w:t xml:space="preserve">assure generation of data of </w:t>
      </w:r>
      <w:r w:rsidR="00431072">
        <w:t xml:space="preserve">known </w:t>
      </w:r>
      <w:r w:rsidR="00DD2C06" w:rsidRPr="00DD2C06">
        <w:t>quality</w:t>
      </w:r>
      <w:r w:rsidR="00C53B2F">
        <w:t>,</w:t>
      </w:r>
      <w:r w:rsidR="00DD2C06" w:rsidRPr="00DD2C06">
        <w:t xml:space="preserve"> </w:t>
      </w:r>
      <w:r w:rsidR="00C53B2F">
        <w:t>t</w:t>
      </w:r>
      <w:r w:rsidR="00DD2C06" w:rsidRPr="00DD2C06">
        <w:t xml:space="preserve">he </w:t>
      </w:r>
      <w:r w:rsidR="00C53B2F">
        <w:t xml:space="preserve">minimum recommended </w:t>
      </w:r>
      <w:r w:rsidR="00DD2C06" w:rsidRPr="00DD2C06">
        <w:t xml:space="preserve">quality control benchmarks in the methods will be considered the minimum </w:t>
      </w:r>
      <w:r w:rsidR="00431072">
        <w:t xml:space="preserve">QA/QC </w:t>
      </w:r>
      <w:r w:rsidR="00DD2C06" w:rsidRPr="00DD2C06">
        <w:t>requirements.</w:t>
      </w:r>
      <w:r w:rsidR="00422BEB">
        <w:t xml:space="preserve"> For example, where a method states, “</w:t>
      </w:r>
      <w:r w:rsidR="00422BEB" w:rsidRPr="00DC5AFD">
        <w:rPr>
          <w:i/>
        </w:rPr>
        <w:t xml:space="preserve">Documenting the effect of the matrix on target analyte measurements </w:t>
      </w:r>
      <w:r w:rsidR="00422BEB" w:rsidRPr="00DC5AFD">
        <w:rPr>
          <w:i/>
          <w:u w:val="single"/>
        </w:rPr>
        <w:t>should</w:t>
      </w:r>
      <w:r w:rsidR="00422BEB" w:rsidRPr="00DC5AFD">
        <w:rPr>
          <w:i/>
        </w:rPr>
        <w:t xml:space="preserve"> include the analysis of at least one matrix spike and one duplicate unspiked samples or one matrix spike/matrix spike duplicate pair</w:t>
      </w:r>
      <w:r w:rsidR="00422BEB">
        <w:t xml:space="preserve">.”, the laboratory </w:t>
      </w:r>
      <w:r w:rsidR="00422BEB" w:rsidRPr="00DC5AFD">
        <w:rPr>
          <w:u w:val="single"/>
        </w:rPr>
        <w:t>must</w:t>
      </w:r>
      <w:r w:rsidR="00422BEB">
        <w:t xml:space="preserve"> analyze at least one matrix spike and one duplicate unspiked sample or one matrix spike/matrix spike duplicate pair. </w:t>
      </w:r>
      <w:r w:rsidR="00D813FF">
        <w:t xml:space="preserve">Laboratories may adopt more stringent QC acceptance criteria for method performance but may not omit or use less stringent criteria than </w:t>
      </w:r>
      <w:proofErr w:type="gramStart"/>
      <w:r w:rsidR="00D813FF">
        <w:t>that</w:t>
      </w:r>
      <w:proofErr w:type="gramEnd"/>
      <w:r w:rsidR="00D813FF">
        <w:t xml:space="preserve"> stated in SW-846 methods.</w:t>
      </w:r>
    </w:p>
    <w:p w14:paraId="58C04F87" w14:textId="77777777" w:rsidR="00431072" w:rsidRPr="00431072" w:rsidRDefault="00431072" w:rsidP="00F34E41">
      <w:pPr>
        <w:jc w:val="both"/>
        <w:rPr>
          <w:b/>
        </w:rPr>
      </w:pPr>
      <w:r w:rsidRPr="00431072">
        <w:rPr>
          <w:b/>
        </w:rPr>
        <w:t xml:space="preserve">QA/QC </w:t>
      </w:r>
      <w:r w:rsidR="00D813FF">
        <w:rPr>
          <w:b/>
        </w:rPr>
        <w:t>Precedence</w:t>
      </w:r>
    </w:p>
    <w:p w14:paraId="64B7D37E" w14:textId="77777777" w:rsidR="00214867" w:rsidRDefault="00214867" w:rsidP="00F34E41">
      <w:pPr>
        <w:jc w:val="both"/>
      </w:pPr>
      <w:r w:rsidRPr="00214867">
        <w:t xml:space="preserve">Chapter One contains general QC guidance for analyses using SW­846 methods.  QC guidance specific to a given analytical technique (e.g., extraction, cleanup, sample introduction, or analysis) may be found in Methods 3500, 3600, 5000, 7000, and 8000.  Method­specific QC criteria may be found in Sec. 8.0 of </w:t>
      </w:r>
      <w:proofErr w:type="gramStart"/>
      <w:r w:rsidRPr="00214867">
        <w:t>most older</w:t>
      </w:r>
      <w:proofErr w:type="gramEnd"/>
      <w:r w:rsidRPr="00214867">
        <w:t xml:space="preserve"> individual methods, in Sec. 9.0 of newer methods. When inconsistencies exist between the information in these locations, method­specific QC criteria take precedence over both technique­specific criteria and those criteria given in Chapter One, and technique­specific QC criteria take precedence over the criteria in Chapter One.</w:t>
      </w:r>
    </w:p>
    <w:p w14:paraId="7B3986B9" w14:textId="77777777" w:rsidR="00921F49" w:rsidRPr="00921F49" w:rsidRDefault="00921F49" w:rsidP="00F34E41">
      <w:pPr>
        <w:jc w:val="both"/>
        <w:rPr>
          <w:b/>
        </w:rPr>
      </w:pPr>
      <w:r w:rsidRPr="00921F49">
        <w:rPr>
          <w:b/>
        </w:rPr>
        <w:lastRenderedPageBreak/>
        <w:t>Procedural Modifications</w:t>
      </w:r>
    </w:p>
    <w:p w14:paraId="68F2745F" w14:textId="77777777" w:rsidR="00F70058" w:rsidRDefault="00DD2C06" w:rsidP="00F34E41">
      <w:pPr>
        <w:jc w:val="both"/>
      </w:pPr>
      <w:r>
        <w:t xml:space="preserve">In addition, for </w:t>
      </w:r>
      <w:r w:rsidR="00921F49">
        <w:t xml:space="preserve">procedural </w:t>
      </w:r>
      <w:r>
        <w:t>modifications,</w:t>
      </w:r>
      <w:r w:rsidR="00F34E41">
        <w:t xml:space="preserve"> we will follow the conventions for allowed flexibility in 40 CFR Part 136.</w:t>
      </w:r>
      <w:r w:rsidR="00126CAF">
        <w:t xml:space="preserve">6. Modifications will be allowed if the underlying chemistry and determinative technique in a modified method are essentially the same as the referenced method. </w:t>
      </w:r>
    </w:p>
    <w:p w14:paraId="38674272" w14:textId="77777777" w:rsidR="00071D9F" w:rsidRDefault="00071D9F" w:rsidP="00F34E41">
      <w:pPr>
        <w:jc w:val="both"/>
      </w:pPr>
      <w:r>
        <w:t>Where modifications meet these requirements, the method must be fully validated with analyses of standards employing those modifications</w:t>
      </w:r>
      <w:r w:rsidR="00126CAF">
        <w:t xml:space="preserve"> to document that the performance of the modified method, in the matrix to which the modified method will be applied, is equivalent to the performance of the referenced method</w:t>
      </w:r>
      <w:r>
        <w:t>.</w:t>
      </w:r>
      <w:r w:rsidR="00126CAF">
        <w:t xml:space="preserve"> Supporting documentation must include the routine initial demonstration of capability and ongoing QC including determination of precision and accuracy, detection limits, and matrix spike recoveries.</w:t>
      </w:r>
      <w:r>
        <w:t xml:space="preserve"> </w:t>
      </w:r>
      <w:r w:rsidR="00126CAF">
        <w:t>The method user’s Standard Operating Procedure (SOP) must clearly document the modifications made to the reference method.</w:t>
      </w:r>
    </w:p>
    <w:p w14:paraId="6C6CD266" w14:textId="77777777" w:rsidR="00092693" w:rsidRPr="00092693" w:rsidRDefault="00092693" w:rsidP="00F34E41">
      <w:pPr>
        <w:jc w:val="both"/>
        <w:rPr>
          <w:b/>
        </w:rPr>
      </w:pPr>
      <w:r w:rsidRPr="00092693">
        <w:rPr>
          <w:b/>
        </w:rPr>
        <w:t>Method-defined Parameters</w:t>
      </w:r>
    </w:p>
    <w:p w14:paraId="25D07BBB" w14:textId="77777777" w:rsidR="00D93830" w:rsidRDefault="00092693" w:rsidP="00092693">
      <w:pPr>
        <w:jc w:val="both"/>
      </w:pPr>
      <w:r>
        <w:t xml:space="preserve">SW-846 also contains procedures for method-defined parameters, where the analytical result is wholly dependent on the process used to make the measurement. </w:t>
      </w:r>
      <w:r w:rsidR="00F70058">
        <w:t>These methods (listed below) must be followed exactly as written, or the resulting data cannot be used to ensure regulatory compliance.</w:t>
      </w:r>
    </w:p>
    <w:p w14:paraId="4A278555" w14:textId="77777777" w:rsidR="00F70058" w:rsidRDefault="00092693" w:rsidP="00F34E41">
      <w:pPr>
        <w:jc w:val="both"/>
      </w:pPr>
      <w:r>
        <w:t xml:space="preserve">Table I. Method-defined </w:t>
      </w:r>
      <w:r w:rsidR="00733AB4">
        <w:t>P</w:t>
      </w:r>
      <w:r>
        <w:t xml:space="preserve">arameters in </w:t>
      </w:r>
      <w:r w:rsidR="00733AB4">
        <w:t>SW-846</w:t>
      </w:r>
      <w:r w:rsidR="00411C21">
        <w:t xml:space="preserve"> Applicable to NC WW/GW L</w:t>
      </w:r>
      <w:r w:rsidR="00F72961">
        <w:t xml:space="preserve">aboratory </w:t>
      </w:r>
      <w:r w:rsidR="00411C21">
        <w:t>C</w:t>
      </w:r>
      <w:r w:rsidR="00F72961">
        <w:t>ertification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70058" w:rsidRPr="000B4F68" w14:paraId="6E58461E" w14:textId="77777777" w:rsidTr="000B4F68">
        <w:tc>
          <w:tcPr>
            <w:tcW w:w="1870" w:type="dxa"/>
          </w:tcPr>
          <w:p w14:paraId="6932E3E5" w14:textId="77777777" w:rsidR="00F70058" w:rsidRPr="000B4F68" w:rsidRDefault="008C25A9" w:rsidP="000B4F68">
            <w:pPr>
              <w:spacing w:after="0" w:line="240" w:lineRule="auto"/>
              <w:jc w:val="both"/>
            </w:pPr>
            <w:r w:rsidRPr="000B4F68">
              <w:t>1010B</w:t>
            </w:r>
          </w:p>
        </w:tc>
        <w:tc>
          <w:tcPr>
            <w:tcW w:w="1870" w:type="dxa"/>
          </w:tcPr>
          <w:p w14:paraId="605DB61C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1311</w:t>
            </w:r>
          </w:p>
        </w:tc>
        <w:tc>
          <w:tcPr>
            <w:tcW w:w="1870" w:type="dxa"/>
          </w:tcPr>
          <w:p w14:paraId="06203BEC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9010C</w:t>
            </w:r>
          </w:p>
        </w:tc>
        <w:tc>
          <w:tcPr>
            <w:tcW w:w="1870" w:type="dxa"/>
          </w:tcPr>
          <w:p w14:paraId="1DA787DB" w14:textId="77777777" w:rsidR="00F70058" w:rsidRPr="000B4F68" w:rsidRDefault="005D5B24" w:rsidP="000B4F68">
            <w:pPr>
              <w:spacing w:after="0" w:line="240" w:lineRule="auto"/>
              <w:jc w:val="both"/>
            </w:pPr>
            <w:r w:rsidRPr="000B4F68">
              <w:t>9050A</w:t>
            </w:r>
          </w:p>
        </w:tc>
        <w:tc>
          <w:tcPr>
            <w:tcW w:w="1870" w:type="dxa"/>
          </w:tcPr>
          <w:p w14:paraId="3F139C19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9070A</w:t>
            </w:r>
          </w:p>
        </w:tc>
      </w:tr>
      <w:tr w:rsidR="00F70058" w:rsidRPr="000B4F68" w14:paraId="479B3480" w14:textId="77777777" w:rsidTr="000B4F68">
        <w:tc>
          <w:tcPr>
            <w:tcW w:w="1870" w:type="dxa"/>
          </w:tcPr>
          <w:p w14:paraId="4B86E156" w14:textId="77777777" w:rsidR="00F70058" w:rsidRPr="000B4F68" w:rsidRDefault="008C25A9" w:rsidP="000B4F68">
            <w:pPr>
              <w:spacing w:after="0" w:line="240" w:lineRule="auto"/>
              <w:jc w:val="both"/>
            </w:pPr>
            <w:r w:rsidRPr="000B4F68">
              <w:t>1020C</w:t>
            </w:r>
          </w:p>
        </w:tc>
        <w:tc>
          <w:tcPr>
            <w:tcW w:w="1870" w:type="dxa"/>
          </w:tcPr>
          <w:p w14:paraId="107F8493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1312</w:t>
            </w:r>
          </w:p>
        </w:tc>
        <w:tc>
          <w:tcPr>
            <w:tcW w:w="1870" w:type="dxa"/>
          </w:tcPr>
          <w:p w14:paraId="070DB733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9040C</w:t>
            </w:r>
          </w:p>
        </w:tc>
        <w:tc>
          <w:tcPr>
            <w:tcW w:w="1870" w:type="dxa"/>
          </w:tcPr>
          <w:p w14:paraId="3439D10E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9060A</w:t>
            </w:r>
          </w:p>
        </w:tc>
        <w:tc>
          <w:tcPr>
            <w:tcW w:w="1870" w:type="dxa"/>
          </w:tcPr>
          <w:p w14:paraId="2915E266" w14:textId="77777777" w:rsidR="00F70058" w:rsidRPr="000B4F68" w:rsidRDefault="00F70058" w:rsidP="000B4F68">
            <w:pPr>
              <w:spacing w:after="0" w:line="240" w:lineRule="auto"/>
              <w:jc w:val="both"/>
            </w:pPr>
            <w:r w:rsidRPr="000B4F68">
              <w:t>9071B</w:t>
            </w:r>
          </w:p>
        </w:tc>
      </w:tr>
      <w:tr w:rsidR="00D8408F" w:rsidRPr="000B4F68" w14:paraId="115DD92F" w14:textId="77777777" w:rsidTr="000B4F68">
        <w:tc>
          <w:tcPr>
            <w:tcW w:w="1870" w:type="dxa"/>
          </w:tcPr>
          <w:p w14:paraId="2839FD59" w14:textId="77777777" w:rsidR="00D8408F" w:rsidRPr="000B4F68" w:rsidRDefault="00D8408F" w:rsidP="000B4F68">
            <w:pPr>
              <w:spacing w:after="0" w:line="240" w:lineRule="auto"/>
              <w:jc w:val="both"/>
            </w:pPr>
            <w:r w:rsidRPr="000B4F68">
              <w:t>1030</w:t>
            </w:r>
          </w:p>
        </w:tc>
        <w:tc>
          <w:tcPr>
            <w:tcW w:w="1870" w:type="dxa"/>
          </w:tcPr>
          <w:p w14:paraId="53B919EB" w14:textId="77777777" w:rsidR="00D8408F" w:rsidRPr="000B4F68" w:rsidRDefault="00D8408F" w:rsidP="000B4F68">
            <w:pPr>
              <w:spacing w:after="0" w:line="240" w:lineRule="auto"/>
              <w:jc w:val="both"/>
            </w:pPr>
          </w:p>
        </w:tc>
        <w:tc>
          <w:tcPr>
            <w:tcW w:w="1870" w:type="dxa"/>
          </w:tcPr>
          <w:p w14:paraId="7F243D5C" w14:textId="77777777" w:rsidR="00D8408F" w:rsidRPr="000B4F68" w:rsidRDefault="005D5B24" w:rsidP="000B4F68">
            <w:pPr>
              <w:spacing w:after="0" w:line="240" w:lineRule="auto"/>
              <w:jc w:val="both"/>
            </w:pPr>
            <w:r w:rsidRPr="000B4F68">
              <w:t>9045D</w:t>
            </w:r>
          </w:p>
        </w:tc>
        <w:tc>
          <w:tcPr>
            <w:tcW w:w="1870" w:type="dxa"/>
          </w:tcPr>
          <w:p w14:paraId="2C52EF54" w14:textId="77777777" w:rsidR="00D8408F" w:rsidRPr="000B4F68" w:rsidRDefault="00D8408F" w:rsidP="000B4F68">
            <w:pPr>
              <w:spacing w:after="0" w:line="240" w:lineRule="auto"/>
              <w:jc w:val="both"/>
            </w:pPr>
          </w:p>
        </w:tc>
        <w:tc>
          <w:tcPr>
            <w:tcW w:w="1870" w:type="dxa"/>
          </w:tcPr>
          <w:p w14:paraId="04B43B91" w14:textId="77777777" w:rsidR="00D8408F" w:rsidRPr="000B4F68" w:rsidRDefault="00D8408F" w:rsidP="000B4F68">
            <w:pPr>
              <w:spacing w:after="0" w:line="240" w:lineRule="auto"/>
              <w:jc w:val="both"/>
            </w:pPr>
            <w:r w:rsidRPr="000B4F68">
              <w:t>9095B</w:t>
            </w:r>
          </w:p>
        </w:tc>
      </w:tr>
    </w:tbl>
    <w:p w14:paraId="586199B1" w14:textId="77777777" w:rsidR="00F70058" w:rsidRDefault="00F70058" w:rsidP="00F34E41">
      <w:pPr>
        <w:jc w:val="both"/>
      </w:pPr>
    </w:p>
    <w:sectPr w:rsidR="00F70058" w:rsidSect="004975D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58"/>
    <w:rsid w:val="00010A3C"/>
    <w:rsid w:val="00027601"/>
    <w:rsid w:val="00045FA4"/>
    <w:rsid w:val="00063FD0"/>
    <w:rsid w:val="00071D9F"/>
    <w:rsid w:val="00092693"/>
    <w:rsid w:val="000A6F28"/>
    <w:rsid w:val="000B4F68"/>
    <w:rsid w:val="000F7765"/>
    <w:rsid w:val="00123F3E"/>
    <w:rsid w:val="00126CAF"/>
    <w:rsid w:val="00187F9D"/>
    <w:rsid w:val="00190D82"/>
    <w:rsid w:val="001A280F"/>
    <w:rsid w:val="001B6389"/>
    <w:rsid w:val="001E6D0B"/>
    <w:rsid w:val="00214867"/>
    <w:rsid w:val="0026097B"/>
    <w:rsid w:val="002A3C4D"/>
    <w:rsid w:val="002A473F"/>
    <w:rsid w:val="002C297A"/>
    <w:rsid w:val="002C6FE4"/>
    <w:rsid w:val="00307372"/>
    <w:rsid w:val="00326227"/>
    <w:rsid w:val="003C0792"/>
    <w:rsid w:val="00411C21"/>
    <w:rsid w:val="00422BEB"/>
    <w:rsid w:val="00431072"/>
    <w:rsid w:val="00485CA8"/>
    <w:rsid w:val="004975DA"/>
    <w:rsid w:val="004D3CCF"/>
    <w:rsid w:val="004E72C1"/>
    <w:rsid w:val="005045C5"/>
    <w:rsid w:val="00511B62"/>
    <w:rsid w:val="005D5B24"/>
    <w:rsid w:val="0060000C"/>
    <w:rsid w:val="006012EC"/>
    <w:rsid w:val="0069619A"/>
    <w:rsid w:val="006B2132"/>
    <w:rsid w:val="006F64D9"/>
    <w:rsid w:val="00733AB4"/>
    <w:rsid w:val="007442F2"/>
    <w:rsid w:val="00761903"/>
    <w:rsid w:val="007670C4"/>
    <w:rsid w:val="00794DF7"/>
    <w:rsid w:val="008106F4"/>
    <w:rsid w:val="008279B2"/>
    <w:rsid w:val="0083708B"/>
    <w:rsid w:val="00863733"/>
    <w:rsid w:val="00874698"/>
    <w:rsid w:val="008814A6"/>
    <w:rsid w:val="008B00FB"/>
    <w:rsid w:val="008C25A9"/>
    <w:rsid w:val="00903FDD"/>
    <w:rsid w:val="00921F49"/>
    <w:rsid w:val="00932644"/>
    <w:rsid w:val="00943A33"/>
    <w:rsid w:val="0095483C"/>
    <w:rsid w:val="009F007C"/>
    <w:rsid w:val="00A02EE7"/>
    <w:rsid w:val="00A43D2B"/>
    <w:rsid w:val="00A76AE1"/>
    <w:rsid w:val="00AF0A30"/>
    <w:rsid w:val="00AF32CB"/>
    <w:rsid w:val="00AF3EE8"/>
    <w:rsid w:val="00B151B3"/>
    <w:rsid w:val="00B81B17"/>
    <w:rsid w:val="00C53B2F"/>
    <w:rsid w:val="00CA2ACD"/>
    <w:rsid w:val="00CA7979"/>
    <w:rsid w:val="00CD02B9"/>
    <w:rsid w:val="00CE3BF5"/>
    <w:rsid w:val="00CF2332"/>
    <w:rsid w:val="00D05D89"/>
    <w:rsid w:val="00D15681"/>
    <w:rsid w:val="00D21ABC"/>
    <w:rsid w:val="00D50FDA"/>
    <w:rsid w:val="00D813FF"/>
    <w:rsid w:val="00D8408F"/>
    <w:rsid w:val="00D93830"/>
    <w:rsid w:val="00DC5AFD"/>
    <w:rsid w:val="00DD2C06"/>
    <w:rsid w:val="00DF666F"/>
    <w:rsid w:val="00E412C4"/>
    <w:rsid w:val="00E4192C"/>
    <w:rsid w:val="00E6601C"/>
    <w:rsid w:val="00E90BA3"/>
    <w:rsid w:val="00E97F78"/>
    <w:rsid w:val="00EA45FB"/>
    <w:rsid w:val="00F04AEE"/>
    <w:rsid w:val="00F2544F"/>
    <w:rsid w:val="00F34E41"/>
    <w:rsid w:val="00F70058"/>
    <w:rsid w:val="00F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97CF13"/>
  <w15:chartTrackingRefBased/>
  <w15:docId w15:val="{526F811B-776F-48E2-A37C-F1D6E1C2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34E41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84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4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4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408F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CE3BF5"/>
    <w:rPr>
      <w:color w:val="954F72"/>
      <w:u w:val="single"/>
    </w:rPr>
  </w:style>
  <w:style w:type="character" w:styleId="UnresolvedMention">
    <w:name w:val="Unresolved Mention"/>
    <w:uiPriority w:val="99"/>
    <w:unhideWhenUsed/>
    <w:rsid w:val="002A473F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2A473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C07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hw-sw84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A1463-7DA9-41EE-928D-8471688086A2}"/>
</file>

<file path=customXml/itemProps2.xml><?xml version="1.0" encoding="utf-8"?>
<ds:datastoreItem xmlns:ds="http://schemas.openxmlformats.org/officeDocument/2006/customXml" ds:itemID="{1C877441-6D31-493E-B6E7-A9846641C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743C8-D5D7-4DE4-8629-EE69B8D4A42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159397-5B87-4C60-AE04-E78A7C61BE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Links>
    <vt:vector size="6" baseType="variant"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https://www.epa.gov/hw-sw846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Satterwhite, Dana</dc:creator>
  <cp:keywords/>
  <dc:description/>
  <cp:lastModifiedBy>Swanson, Beth</cp:lastModifiedBy>
  <cp:revision>2</cp:revision>
  <dcterms:created xsi:type="dcterms:W3CDTF">2025-12-09T18:58:00Z</dcterms:created>
  <dcterms:modified xsi:type="dcterms:W3CDTF">2025-12-09T18:58:00Z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Ostendorff, Anna C</vt:lpwstr>
  </property>
  <property fmtid="{D5CDD505-2E9C-101B-9397-08002B2CF9AE}" pid="6" name="display_urn:schemas-microsoft-com:office:office#Author">
    <vt:lpwstr>Crawford, Todd</vt:lpwstr>
  </property>
  <property fmtid="{D5CDD505-2E9C-101B-9397-08002B2CF9AE}" pid="7" name="_ExtendedDescription">
    <vt:lpwstr/>
  </property>
</Properties>
</file>