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9D0A6D5"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8A18DE5"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48CD60B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A04DE46"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77CFCBF6" w14:textId="77777777" w:rsidR="00C37462" w:rsidRPr="00F23DA3" w:rsidRDefault="00C37462" w:rsidP="00F23DA3">
            <w:pPr>
              <w:jc w:val="center"/>
              <w:rPr>
                <w:rFonts w:ascii="Arial" w:hAnsi="Arial" w:cs="Arial"/>
                <w:sz w:val="18"/>
                <w:szCs w:val="18"/>
              </w:rPr>
            </w:pPr>
          </w:p>
        </w:tc>
      </w:tr>
      <w:tr w:rsidR="00C37462" w:rsidRPr="00A0149B" w14:paraId="15BA3E8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49D2CFE"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CD3F09B"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9C2261A"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083C8B57" w14:textId="77777777" w:rsidR="00C37462" w:rsidRPr="00F23DA3" w:rsidRDefault="00C37462" w:rsidP="00F23DA3">
            <w:pPr>
              <w:jc w:val="center"/>
              <w:rPr>
                <w:rFonts w:ascii="Arial" w:hAnsi="Arial" w:cs="Arial"/>
                <w:sz w:val="18"/>
                <w:szCs w:val="18"/>
              </w:rPr>
            </w:pPr>
          </w:p>
        </w:tc>
      </w:tr>
      <w:tr w:rsidR="00C37462" w:rsidRPr="00A0149B" w14:paraId="2FE626B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4FE9F09"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727E0C1" w14:textId="77777777" w:rsidR="00C37462" w:rsidRPr="00F23DA3" w:rsidRDefault="00C37462" w:rsidP="00F23DA3">
            <w:pPr>
              <w:jc w:val="center"/>
              <w:rPr>
                <w:rFonts w:ascii="Arial" w:hAnsi="Arial" w:cs="Arial"/>
                <w:sz w:val="18"/>
                <w:szCs w:val="18"/>
              </w:rPr>
            </w:pPr>
          </w:p>
        </w:tc>
      </w:tr>
      <w:tr w:rsidR="00C37462" w:rsidRPr="00A0149B" w14:paraId="6C69BB6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B67920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F59A05C" w14:textId="77777777" w:rsidR="00C37462" w:rsidRPr="00F23DA3" w:rsidRDefault="00C37462" w:rsidP="00F23DA3">
            <w:pPr>
              <w:jc w:val="center"/>
              <w:rPr>
                <w:rFonts w:ascii="Arial" w:hAnsi="Arial" w:cs="Arial"/>
                <w:sz w:val="18"/>
                <w:szCs w:val="18"/>
              </w:rPr>
            </w:pPr>
          </w:p>
        </w:tc>
      </w:tr>
    </w:tbl>
    <w:p w14:paraId="2F46E098" w14:textId="77777777" w:rsidR="00C37462" w:rsidRPr="00A0149B" w:rsidRDefault="00C37462">
      <w:pPr>
        <w:rPr>
          <w:rFonts w:ascii="Arial" w:hAnsi="Arial" w:cs="Arial"/>
          <w:sz w:val="18"/>
          <w:szCs w:val="18"/>
        </w:rPr>
      </w:pPr>
    </w:p>
    <w:p w14:paraId="4D22E509" w14:textId="6B865B35" w:rsidR="00C37462" w:rsidRPr="00282818" w:rsidRDefault="00C37462" w:rsidP="00F351DD">
      <w:pPr>
        <w:ind w:left="90"/>
        <w:jc w:val="center"/>
        <w:rPr>
          <w:rFonts w:ascii="Arial" w:hAnsi="Arial" w:cs="Arial"/>
          <w:sz w:val="18"/>
          <w:szCs w:val="18"/>
        </w:rPr>
      </w:pPr>
      <w:r w:rsidRPr="00A0149B">
        <w:rPr>
          <w:rFonts w:ascii="Arial" w:hAnsi="Arial" w:cs="Arial"/>
          <w:sz w:val="18"/>
          <w:szCs w:val="18"/>
        </w:rPr>
        <w:t>Parameter:</w:t>
      </w:r>
      <w:r w:rsidRPr="000B76A7">
        <w:rPr>
          <w:rFonts w:ascii="Arial" w:hAnsi="Arial" w:cs="Arial"/>
          <w:b/>
          <w:bCs/>
          <w:sz w:val="18"/>
          <w:szCs w:val="18"/>
        </w:rPr>
        <w:t xml:space="preserve"> </w:t>
      </w:r>
      <w:r w:rsidR="00F351DD" w:rsidRPr="000B76A7">
        <w:rPr>
          <w:rFonts w:ascii="Arial" w:hAnsi="Arial" w:cs="Arial"/>
          <w:b/>
          <w:bCs/>
          <w:sz w:val="18"/>
          <w:szCs w:val="18"/>
        </w:rPr>
        <w:t>Volatile Petroleum Hydrocarbons (VPH</w:t>
      </w:r>
      <w:r w:rsidR="00F351DD" w:rsidRPr="009A198D">
        <w:rPr>
          <w:rFonts w:ascii="Arial" w:hAnsi="Arial" w:cs="Arial"/>
          <w:b/>
          <w:bCs/>
          <w:sz w:val="18"/>
          <w:szCs w:val="18"/>
        </w:rPr>
        <w:t>)</w:t>
      </w:r>
    </w:p>
    <w:p w14:paraId="4EB95E7D" w14:textId="6B98E92D" w:rsidR="00C37462" w:rsidRDefault="00C37462" w:rsidP="00492892">
      <w:pPr>
        <w:ind w:left="90"/>
        <w:jc w:val="center"/>
        <w:rPr>
          <w:rFonts w:ascii="Arial" w:hAnsi="Arial" w:cs="Arial"/>
          <w:b/>
          <w:bCs/>
          <w:sz w:val="18"/>
          <w:szCs w:val="18"/>
        </w:rPr>
      </w:pPr>
      <w:r>
        <w:rPr>
          <w:rFonts w:ascii="Arial" w:hAnsi="Arial" w:cs="Arial"/>
          <w:sz w:val="18"/>
          <w:szCs w:val="18"/>
        </w:rPr>
        <w:t>Method:</w:t>
      </w:r>
      <w:r w:rsidR="00F351DD" w:rsidRPr="00F351DD">
        <w:t xml:space="preserve"> </w:t>
      </w:r>
      <w:r w:rsidR="00F351DD" w:rsidRPr="00492892">
        <w:rPr>
          <w:rFonts w:ascii="Arial" w:hAnsi="Arial" w:cs="Arial"/>
          <w:b/>
          <w:bCs/>
          <w:sz w:val="18"/>
          <w:szCs w:val="18"/>
        </w:rPr>
        <w:t xml:space="preserve">Massachusetts </w:t>
      </w:r>
      <w:r w:rsidR="001A2C7B">
        <w:rPr>
          <w:rFonts w:ascii="Arial" w:hAnsi="Arial" w:cs="Arial"/>
          <w:b/>
          <w:bCs/>
          <w:sz w:val="18"/>
          <w:szCs w:val="18"/>
        </w:rPr>
        <w:t xml:space="preserve">Department </w:t>
      </w:r>
      <w:r w:rsidR="00E83182">
        <w:rPr>
          <w:rFonts w:ascii="Arial" w:hAnsi="Arial" w:cs="Arial"/>
          <w:b/>
          <w:bCs/>
          <w:sz w:val="18"/>
          <w:szCs w:val="18"/>
        </w:rPr>
        <w:t xml:space="preserve">of Environmental Protection </w:t>
      </w:r>
      <w:r w:rsidR="00F351DD" w:rsidRPr="00492892">
        <w:rPr>
          <w:rFonts w:ascii="Arial" w:hAnsi="Arial" w:cs="Arial"/>
          <w:b/>
          <w:bCs/>
          <w:sz w:val="18"/>
          <w:szCs w:val="18"/>
        </w:rPr>
        <w:t>VPH</w:t>
      </w:r>
      <w:r w:rsidR="005C75E9" w:rsidRPr="00492892">
        <w:rPr>
          <w:rFonts w:ascii="Arial" w:hAnsi="Arial" w:cs="Arial"/>
          <w:b/>
          <w:bCs/>
          <w:sz w:val="18"/>
          <w:szCs w:val="18"/>
        </w:rPr>
        <w:t>, February 2018 Rev. 2.1 (Aqueous &amp; Non-Aqueous)</w:t>
      </w:r>
    </w:p>
    <w:p w14:paraId="5BEB3DE9" w14:textId="77777777" w:rsidR="00EE06CB" w:rsidRDefault="00EE06CB" w:rsidP="00F351DD">
      <w:pPr>
        <w:ind w:left="3510"/>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880"/>
        <w:gridCol w:w="7650"/>
      </w:tblGrid>
      <w:tr w:rsidR="00052E38" w:rsidRPr="00341E1A" w14:paraId="3D5734F5" w14:textId="77777777" w:rsidTr="002E19DB">
        <w:trPr>
          <w:trHeight w:val="272"/>
        </w:trPr>
        <w:tc>
          <w:tcPr>
            <w:tcW w:w="461" w:type="dxa"/>
            <w:tcBorders>
              <w:top w:val="single" w:sz="4" w:space="0" w:color="auto"/>
              <w:bottom w:val="single" w:sz="4" w:space="0" w:color="auto"/>
              <w:right w:val="single" w:sz="4" w:space="0" w:color="auto"/>
            </w:tcBorders>
          </w:tcPr>
          <w:p w14:paraId="386AC18B" w14:textId="77777777" w:rsidR="00052E38" w:rsidRPr="00341E1A" w:rsidRDefault="00052E38" w:rsidP="002E19DB">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728FCD0E" w14:textId="77777777" w:rsidR="00052E38" w:rsidRPr="00341E1A" w:rsidRDefault="00052E38" w:rsidP="002E19DB">
            <w:pPr>
              <w:jc w:val="right"/>
              <w:rPr>
                <w:rFonts w:ascii="Arial" w:hAnsi="Arial" w:cs="Arial"/>
                <w:sz w:val="18"/>
                <w:szCs w:val="18"/>
              </w:rPr>
            </w:pPr>
            <w:r w:rsidRPr="00341E1A">
              <w:rPr>
                <w:rFonts w:ascii="Arial" w:hAnsi="Arial" w:cs="Arial"/>
                <w:sz w:val="18"/>
                <w:szCs w:val="18"/>
              </w:rPr>
              <w:t>Purge &amp; Trap System - Model:</w:t>
            </w:r>
          </w:p>
        </w:tc>
        <w:tc>
          <w:tcPr>
            <w:tcW w:w="7650" w:type="dxa"/>
            <w:tcBorders>
              <w:top w:val="single" w:sz="4" w:space="0" w:color="auto"/>
              <w:bottom w:val="single" w:sz="4" w:space="0" w:color="auto"/>
              <w:right w:val="single" w:sz="4" w:space="0" w:color="auto"/>
            </w:tcBorders>
            <w:vAlign w:val="center"/>
          </w:tcPr>
          <w:p w14:paraId="11BA90F1" w14:textId="77777777" w:rsidR="00052E38" w:rsidRPr="00341E1A" w:rsidRDefault="00052E38" w:rsidP="002E19DB">
            <w:pPr>
              <w:rPr>
                <w:rFonts w:ascii="Arial" w:hAnsi="Arial" w:cs="Arial"/>
                <w:sz w:val="18"/>
                <w:szCs w:val="18"/>
              </w:rPr>
            </w:pPr>
          </w:p>
        </w:tc>
      </w:tr>
      <w:tr w:rsidR="00052E38" w:rsidRPr="00341E1A" w14:paraId="723FDE90" w14:textId="77777777" w:rsidTr="002E19DB">
        <w:trPr>
          <w:trHeight w:val="272"/>
        </w:trPr>
        <w:tc>
          <w:tcPr>
            <w:tcW w:w="461" w:type="dxa"/>
            <w:tcBorders>
              <w:top w:val="single" w:sz="4" w:space="0" w:color="auto"/>
              <w:bottom w:val="single" w:sz="4" w:space="0" w:color="auto"/>
              <w:right w:val="single" w:sz="4" w:space="0" w:color="auto"/>
            </w:tcBorders>
          </w:tcPr>
          <w:p w14:paraId="559778D0" w14:textId="77777777" w:rsidR="00052E38" w:rsidRPr="00341E1A" w:rsidRDefault="00052E38" w:rsidP="002E19DB">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2F02AD4A" w14:textId="77777777" w:rsidR="00052E38" w:rsidRPr="00341E1A" w:rsidRDefault="00052E38" w:rsidP="002E19DB">
            <w:pPr>
              <w:jc w:val="right"/>
              <w:rPr>
                <w:rFonts w:ascii="Arial" w:hAnsi="Arial" w:cs="Arial"/>
                <w:sz w:val="18"/>
                <w:szCs w:val="18"/>
              </w:rPr>
            </w:pPr>
            <w:r w:rsidRPr="00341E1A">
              <w:rPr>
                <w:rFonts w:ascii="Arial" w:hAnsi="Arial" w:cs="Arial"/>
                <w:sz w:val="18"/>
                <w:szCs w:val="18"/>
              </w:rPr>
              <w:t>Gas Chromatograph - Model:</w:t>
            </w:r>
          </w:p>
        </w:tc>
        <w:tc>
          <w:tcPr>
            <w:tcW w:w="7650" w:type="dxa"/>
            <w:tcBorders>
              <w:top w:val="single" w:sz="4" w:space="0" w:color="auto"/>
              <w:bottom w:val="single" w:sz="4" w:space="0" w:color="auto"/>
              <w:right w:val="single" w:sz="4" w:space="0" w:color="auto"/>
            </w:tcBorders>
            <w:vAlign w:val="center"/>
          </w:tcPr>
          <w:p w14:paraId="14BEAEAD" w14:textId="77777777" w:rsidR="00052E38" w:rsidRPr="00341E1A" w:rsidRDefault="00052E38" w:rsidP="002E19DB">
            <w:pPr>
              <w:rPr>
                <w:rFonts w:ascii="Arial" w:hAnsi="Arial" w:cs="Arial"/>
                <w:sz w:val="18"/>
                <w:szCs w:val="18"/>
              </w:rPr>
            </w:pPr>
          </w:p>
        </w:tc>
      </w:tr>
      <w:tr w:rsidR="00052E38" w:rsidRPr="00341E1A" w14:paraId="2AAA380D" w14:textId="77777777" w:rsidTr="002E19DB">
        <w:trPr>
          <w:trHeight w:val="272"/>
        </w:trPr>
        <w:tc>
          <w:tcPr>
            <w:tcW w:w="461" w:type="dxa"/>
            <w:tcBorders>
              <w:top w:val="single" w:sz="4" w:space="0" w:color="auto"/>
              <w:bottom w:val="single" w:sz="4" w:space="0" w:color="auto"/>
              <w:right w:val="single" w:sz="4" w:space="0" w:color="auto"/>
            </w:tcBorders>
          </w:tcPr>
          <w:p w14:paraId="174A319A" w14:textId="77777777" w:rsidR="00052E38" w:rsidRPr="00341E1A" w:rsidRDefault="00052E38" w:rsidP="002E19DB">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145D9B05" w14:textId="77777777" w:rsidR="00052E38" w:rsidRPr="00341E1A" w:rsidRDefault="005540EA" w:rsidP="002E19DB">
            <w:pPr>
              <w:jc w:val="right"/>
              <w:rPr>
                <w:rFonts w:ascii="Arial" w:hAnsi="Arial" w:cs="Arial"/>
                <w:sz w:val="18"/>
                <w:szCs w:val="18"/>
              </w:rPr>
            </w:pPr>
            <w:r>
              <w:rPr>
                <w:rFonts w:ascii="Arial" w:hAnsi="Arial" w:cs="Arial"/>
                <w:sz w:val="18"/>
                <w:szCs w:val="18"/>
              </w:rPr>
              <w:t>PID &amp; FID – Model:</w:t>
            </w:r>
          </w:p>
        </w:tc>
        <w:tc>
          <w:tcPr>
            <w:tcW w:w="7650" w:type="dxa"/>
            <w:tcBorders>
              <w:top w:val="single" w:sz="4" w:space="0" w:color="auto"/>
              <w:bottom w:val="single" w:sz="4" w:space="0" w:color="auto"/>
              <w:right w:val="single" w:sz="4" w:space="0" w:color="auto"/>
            </w:tcBorders>
            <w:vAlign w:val="center"/>
          </w:tcPr>
          <w:p w14:paraId="6610B986" w14:textId="77777777" w:rsidR="00052E38" w:rsidRPr="00341E1A" w:rsidRDefault="00052E38" w:rsidP="002E19DB">
            <w:pPr>
              <w:rPr>
                <w:rFonts w:ascii="Arial" w:hAnsi="Arial" w:cs="Arial"/>
                <w:sz w:val="18"/>
                <w:szCs w:val="18"/>
              </w:rPr>
            </w:pPr>
          </w:p>
        </w:tc>
      </w:tr>
      <w:tr w:rsidR="005540EA" w:rsidRPr="00341E1A" w14:paraId="2CCC5463" w14:textId="77777777" w:rsidTr="002E19DB">
        <w:trPr>
          <w:trHeight w:val="272"/>
        </w:trPr>
        <w:tc>
          <w:tcPr>
            <w:tcW w:w="461" w:type="dxa"/>
            <w:tcBorders>
              <w:top w:val="single" w:sz="4" w:space="0" w:color="auto"/>
              <w:bottom w:val="single" w:sz="4" w:space="0" w:color="auto"/>
              <w:right w:val="single" w:sz="4" w:space="0" w:color="auto"/>
            </w:tcBorders>
          </w:tcPr>
          <w:p w14:paraId="5F35138D" w14:textId="77777777" w:rsidR="005540EA" w:rsidRPr="00341E1A" w:rsidRDefault="005540EA" w:rsidP="005540EA">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123BF758" w14:textId="77777777" w:rsidR="005540EA" w:rsidRPr="00341E1A" w:rsidRDefault="005540EA" w:rsidP="005540EA">
            <w:pPr>
              <w:jc w:val="right"/>
              <w:rPr>
                <w:rFonts w:ascii="Arial" w:hAnsi="Arial" w:cs="Arial"/>
                <w:sz w:val="18"/>
                <w:szCs w:val="18"/>
              </w:rPr>
            </w:pPr>
            <w:r w:rsidRPr="00341E1A">
              <w:rPr>
                <w:rFonts w:ascii="Arial" w:hAnsi="Arial" w:cs="Arial"/>
                <w:sz w:val="18"/>
                <w:szCs w:val="18"/>
              </w:rPr>
              <w:t xml:space="preserve">Capillary GC </w:t>
            </w:r>
            <w:r>
              <w:rPr>
                <w:rFonts w:ascii="Arial" w:hAnsi="Arial" w:cs="Arial"/>
                <w:sz w:val="18"/>
                <w:szCs w:val="18"/>
              </w:rPr>
              <w:t>C</w:t>
            </w:r>
            <w:r w:rsidRPr="00341E1A">
              <w:rPr>
                <w:rFonts w:ascii="Arial" w:hAnsi="Arial" w:cs="Arial"/>
                <w:sz w:val="18"/>
                <w:szCs w:val="18"/>
              </w:rPr>
              <w:t>olumn:</w:t>
            </w:r>
          </w:p>
        </w:tc>
        <w:tc>
          <w:tcPr>
            <w:tcW w:w="7650" w:type="dxa"/>
            <w:tcBorders>
              <w:top w:val="single" w:sz="4" w:space="0" w:color="auto"/>
              <w:bottom w:val="single" w:sz="4" w:space="0" w:color="auto"/>
              <w:right w:val="single" w:sz="4" w:space="0" w:color="auto"/>
            </w:tcBorders>
            <w:vAlign w:val="center"/>
          </w:tcPr>
          <w:p w14:paraId="218CACC2" w14:textId="77777777" w:rsidR="005540EA" w:rsidRPr="00341E1A" w:rsidRDefault="005540EA" w:rsidP="005540EA">
            <w:pPr>
              <w:rPr>
                <w:rFonts w:ascii="Arial" w:hAnsi="Arial" w:cs="Arial"/>
                <w:sz w:val="18"/>
                <w:szCs w:val="18"/>
              </w:rPr>
            </w:pPr>
            <w:r w:rsidRPr="00B12822">
              <w:rPr>
                <w:rFonts w:ascii="Arial" w:hAnsi="Arial" w:cs="Arial"/>
                <w:sz w:val="18"/>
                <w:szCs w:val="18"/>
              </w:rPr>
              <w:t xml:space="preserve">105 m x 0.53 mm 1.0., 3.0 µm </w:t>
            </w:r>
            <w:proofErr w:type="spellStart"/>
            <w:r w:rsidRPr="00B12822">
              <w:rPr>
                <w:rFonts w:ascii="Arial" w:hAnsi="Arial" w:cs="Arial"/>
                <w:sz w:val="18"/>
                <w:szCs w:val="18"/>
              </w:rPr>
              <w:t>Restek</w:t>
            </w:r>
            <w:proofErr w:type="spellEnd"/>
            <w:r w:rsidRPr="00B12822">
              <w:rPr>
                <w:rFonts w:ascii="Arial" w:hAnsi="Arial" w:cs="Arial"/>
                <w:sz w:val="18"/>
                <w:szCs w:val="18"/>
              </w:rPr>
              <w:t xml:space="preserve"> </w:t>
            </w:r>
            <w:proofErr w:type="spellStart"/>
            <w:r w:rsidRPr="00B12822">
              <w:rPr>
                <w:rFonts w:ascii="Arial" w:hAnsi="Arial" w:cs="Arial"/>
                <w:sz w:val="18"/>
                <w:szCs w:val="18"/>
              </w:rPr>
              <w:t>Rtx</w:t>
            </w:r>
            <w:proofErr w:type="spellEnd"/>
            <w:r w:rsidRPr="00B12822">
              <w:rPr>
                <w:rFonts w:ascii="Arial" w:hAnsi="Arial" w:cs="Arial"/>
                <w:sz w:val="18"/>
                <w:szCs w:val="18"/>
              </w:rPr>
              <w:t>- 502.2 or equivalent (Required)</w:t>
            </w:r>
          </w:p>
        </w:tc>
      </w:tr>
    </w:tbl>
    <w:p w14:paraId="35CE1F80" w14:textId="77777777" w:rsidR="00052E38" w:rsidRPr="00341E1A" w:rsidRDefault="00052E38" w:rsidP="00052E38">
      <w:pPr>
        <w:rPr>
          <w:rFonts w:ascii="Arial" w:hAnsi="Arial" w:cs="Arial"/>
          <w:sz w:val="18"/>
          <w:szCs w:val="18"/>
        </w:rPr>
      </w:pPr>
    </w:p>
    <w:p w14:paraId="3F9B3A8E" w14:textId="77777777" w:rsidR="00052E38" w:rsidRPr="00341E1A" w:rsidRDefault="00052E38" w:rsidP="00052E38">
      <w:pP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960"/>
        <w:gridCol w:w="1440"/>
        <w:gridCol w:w="450"/>
        <w:gridCol w:w="4680"/>
      </w:tblGrid>
      <w:tr w:rsidR="00052E38" w:rsidRPr="00341E1A" w14:paraId="7B105F11" w14:textId="77777777" w:rsidTr="002E19DB">
        <w:tc>
          <w:tcPr>
            <w:tcW w:w="4410" w:type="dxa"/>
            <w:gridSpan w:val="2"/>
            <w:tcBorders>
              <w:top w:val="nil"/>
              <w:left w:val="nil"/>
              <w:right w:val="nil"/>
            </w:tcBorders>
          </w:tcPr>
          <w:p w14:paraId="4122373F" w14:textId="77777777" w:rsidR="00052E38" w:rsidRPr="00341E1A" w:rsidRDefault="00052E38" w:rsidP="002E19DB">
            <w:pPr>
              <w:rPr>
                <w:rFonts w:ascii="Arial" w:hAnsi="Arial" w:cs="Arial"/>
                <w:sz w:val="18"/>
                <w:szCs w:val="18"/>
              </w:rPr>
            </w:pPr>
            <w:r w:rsidRPr="00341E1A">
              <w:rPr>
                <w:rFonts w:ascii="Arial" w:hAnsi="Arial" w:cs="Arial"/>
                <w:sz w:val="18"/>
                <w:szCs w:val="18"/>
              </w:rPr>
              <w:t>Equipment:</w:t>
            </w:r>
          </w:p>
        </w:tc>
        <w:tc>
          <w:tcPr>
            <w:tcW w:w="1440" w:type="dxa"/>
            <w:tcBorders>
              <w:top w:val="nil"/>
              <w:left w:val="nil"/>
              <w:bottom w:val="nil"/>
              <w:right w:val="nil"/>
            </w:tcBorders>
          </w:tcPr>
          <w:p w14:paraId="58AE47AC" w14:textId="77777777" w:rsidR="00052E38" w:rsidRPr="00341E1A" w:rsidRDefault="00052E38" w:rsidP="002E19DB">
            <w:pPr>
              <w:rPr>
                <w:rFonts w:ascii="Arial" w:hAnsi="Arial" w:cs="Arial"/>
                <w:sz w:val="18"/>
                <w:szCs w:val="18"/>
              </w:rPr>
            </w:pPr>
          </w:p>
        </w:tc>
        <w:tc>
          <w:tcPr>
            <w:tcW w:w="5130" w:type="dxa"/>
            <w:gridSpan w:val="2"/>
            <w:tcBorders>
              <w:top w:val="nil"/>
              <w:left w:val="nil"/>
              <w:right w:val="nil"/>
            </w:tcBorders>
            <w:vAlign w:val="center"/>
          </w:tcPr>
          <w:p w14:paraId="31007EE2" w14:textId="77777777" w:rsidR="00052E38" w:rsidRPr="00341E1A" w:rsidRDefault="009E26A5" w:rsidP="002E19DB">
            <w:pPr>
              <w:rPr>
                <w:rFonts w:ascii="Arial" w:hAnsi="Arial" w:cs="Arial"/>
                <w:sz w:val="18"/>
                <w:szCs w:val="18"/>
              </w:rPr>
            </w:pPr>
            <w:r>
              <w:rPr>
                <w:rFonts w:ascii="Arial" w:hAnsi="Arial" w:cs="Arial"/>
                <w:sz w:val="18"/>
                <w:szCs w:val="18"/>
              </w:rPr>
              <w:t>Type of Trap</w:t>
            </w:r>
            <w:r w:rsidR="00052E38">
              <w:rPr>
                <w:rFonts w:ascii="Arial" w:hAnsi="Arial" w:cs="Arial"/>
                <w:sz w:val="18"/>
                <w:szCs w:val="18"/>
              </w:rPr>
              <w:t>:</w:t>
            </w:r>
          </w:p>
        </w:tc>
      </w:tr>
      <w:tr w:rsidR="00052E38" w:rsidRPr="00341E1A" w14:paraId="08D493E3" w14:textId="77777777" w:rsidTr="002E19DB">
        <w:tc>
          <w:tcPr>
            <w:tcW w:w="450" w:type="dxa"/>
          </w:tcPr>
          <w:p w14:paraId="3E1C0D81" w14:textId="77777777" w:rsidR="00052E38" w:rsidRPr="00341E1A" w:rsidRDefault="00052E38" w:rsidP="002E19DB">
            <w:pPr>
              <w:rPr>
                <w:rFonts w:ascii="Arial" w:hAnsi="Arial" w:cs="Arial"/>
                <w:sz w:val="18"/>
                <w:szCs w:val="18"/>
              </w:rPr>
            </w:pPr>
          </w:p>
        </w:tc>
        <w:tc>
          <w:tcPr>
            <w:tcW w:w="3960" w:type="dxa"/>
          </w:tcPr>
          <w:p w14:paraId="553EF14B" w14:textId="77777777" w:rsidR="00052E38" w:rsidRPr="00341E1A" w:rsidRDefault="00052E38" w:rsidP="002E19DB">
            <w:pPr>
              <w:rPr>
                <w:rFonts w:ascii="Arial" w:hAnsi="Arial" w:cs="Arial"/>
                <w:sz w:val="18"/>
                <w:szCs w:val="18"/>
              </w:rPr>
            </w:pPr>
            <w:r w:rsidRPr="00341E1A">
              <w:rPr>
                <w:rFonts w:ascii="Arial" w:hAnsi="Arial" w:cs="Arial"/>
                <w:sz w:val="18"/>
                <w:szCs w:val="18"/>
              </w:rPr>
              <w:t>Syringes</w:t>
            </w:r>
          </w:p>
        </w:tc>
        <w:tc>
          <w:tcPr>
            <w:tcW w:w="1440" w:type="dxa"/>
            <w:tcBorders>
              <w:top w:val="nil"/>
              <w:bottom w:val="nil"/>
            </w:tcBorders>
          </w:tcPr>
          <w:p w14:paraId="6ABBA582" w14:textId="77777777" w:rsidR="00052E38" w:rsidRPr="00341E1A" w:rsidRDefault="00052E38" w:rsidP="002E19DB">
            <w:pPr>
              <w:rPr>
                <w:rFonts w:ascii="Arial" w:hAnsi="Arial" w:cs="Arial"/>
                <w:sz w:val="18"/>
                <w:szCs w:val="18"/>
              </w:rPr>
            </w:pPr>
          </w:p>
        </w:tc>
        <w:tc>
          <w:tcPr>
            <w:tcW w:w="450" w:type="dxa"/>
          </w:tcPr>
          <w:p w14:paraId="3BC94F35" w14:textId="77777777" w:rsidR="00052E38" w:rsidRPr="00341E1A" w:rsidRDefault="00052E38" w:rsidP="002E19DB">
            <w:pPr>
              <w:rPr>
                <w:rFonts w:ascii="Arial" w:hAnsi="Arial" w:cs="Arial"/>
                <w:sz w:val="18"/>
                <w:szCs w:val="18"/>
              </w:rPr>
            </w:pPr>
          </w:p>
        </w:tc>
        <w:tc>
          <w:tcPr>
            <w:tcW w:w="4680" w:type="dxa"/>
          </w:tcPr>
          <w:p w14:paraId="34F07C12" w14:textId="77777777" w:rsidR="00052E38" w:rsidRPr="00341E1A" w:rsidRDefault="00052E38" w:rsidP="002E19DB">
            <w:pPr>
              <w:rPr>
                <w:rFonts w:ascii="Arial" w:hAnsi="Arial" w:cs="Arial"/>
                <w:sz w:val="18"/>
                <w:szCs w:val="18"/>
              </w:rPr>
            </w:pPr>
          </w:p>
        </w:tc>
      </w:tr>
      <w:tr w:rsidR="00052E38" w:rsidRPr="00341E1A" w14:paraId="61EF9052" w14:textId="77777777" w:rsidTr="002E19DB">
        <w:tc>
          <w:tcPr>
            <w:tcW w:w="450" w:type="dxa"/>
          </w:tcPr>
          <w:p w14:paraId="5E3A1AAB" w14:textId="77777777" w:rsidR="00052E38" w:rsidRPr="00341E1A" w:rsidRDefault="00052E38" w:rsidP="002E19DB">
            <w:pPr>
              <w:rPr>
                <w:rFonts w:ascii="Arial" w:hAnsi="Arial" w:cs="Arial"/>
                <w:sz w:val="18"/>
                <w:szCs w:val="18"/>
              </w:rPr>
            </w:pPr>
            <w:r w:rsidRPr="00341E1A">
              <w:rPr>
                <w:rFonts w:ascii="Arial" w:hAnsi="Arial" w:cs="Arial"/>
                <w:sz w:val="18"/>
                <w:szCs w:val="18"/>
              </w:rPr>
              <w:t xml:space="preserve">   </w:t>
            </w:r>
          </w:p>
        </w:tc>
        <w:tc>
          <w:tcPr>
            <w:tcW w:w="3960" w:type="dxa"/>
          </w:tcPr>
          <w:p w14:paraId="761DFC97" w14:textId="77777777" w:rsidR="00052E38" w:rsidRPr="00341E1A" w:rsidRDefault="00052E38" w:rsidP="002E19DB">
            <w:pPr>
              <w:rPr>
                <w:rFonts w:ascii="Arial" w:hAnsi="Arial" w:cs="Arial"/>
                <w:sz w:val="18"/>
                <w:szCs w:val="18"/>
              </w:rPr>
            </w:pPr>
            <w:r w:rsidRPr="00341E1A">
              <w:rPr>
                <w:rFonts w:ascii="Arial" w:hAnsi="Arial" w:cs="Arial"/>
                <w:sz w:val="18"/>
                <w:szCs w:val="18"/>
              </w:rPr>
              <w:t>Syringe valves</w:t>
            </w:r>
          </w:p>
        </w:tc>
        <w:tc>
          <w:tcPr>
            <w:tcW w:w="1440" w:type="dxa"/>
            <w:tcBorders>
              <w:top w:val="nil"/>
              <w:bottom w:val="nil"/>
            </w:tcBorders>
          </w:tcPr>
          <w:p w14:paraId="77703153" w14:textId="77777777" w:rsidR="00052E38" w:rsidRPr="00341E1A" w:rsidRDefault="00052E38" w:rsidP="002E19DB">
            <w:pPr>
              <w:rPr>
                <w:rFonts w:ascii="Arial" w:hAnsi="Arial" w:cs="Arial"/>
                <w:sz w:val="18"/>
                <w:szCs w:val="18"/>
              </w:rPr>
            </w:pPr>
          </w:p>
        </w:tc>
        <w:tc>
          <w:tcPr>
            <w:tcW w:w="450" w:type="dxa"/>
          </w:tcPr>
          <w:p w14:paraId="262142C0" w14:textId="77777777" w:rsidR="00052E38" w:rsidRPr="00341E1A" w:rsidRDefault="00052E38" w:rsidP="002E19DB">
            <w:pPr>
              <w:rPr>
                <w:rFonts w:ascii="Arial" w:hAnsi="Arial" w:cs="Arial"/>
                <w:sz w:val="18"/>
                <w:szCs w:val="18"/>
              </w:rPr>
            </w:pPr>
          </w:p>
        </w:tc>
        <w:tc>
          <w:tcPr>
            <w:tcW w:w="4680" w:type="dxa"/>
          </w:tcPr>
          <w:p w14:paraId="650A947E" w14:textId="77777777" w:rsidR="00052E38" w:rsidRPr="00341E1A" w:rsidRDefault="00052E38" w:rsidP="002E19DB">
            <w:pPr>
              <w:rPr>
                <w:rFonts w:ascii="Arial" w:hAnsi="Arial" w:cs="Arial"/>
                <w:sz w:val="18"/>
                <w:szCs w:val="18"/>
              </w:rPr>
            </w:pPr>
          </w:p>
        </w:tc>
      </w:tr>
      <w:tr w:rsidR="00052E38" w:rsidRPr="00341E1A" w14:paraId="738A7105" w14:textId="77777777" w:rsidTr="002E19DB">
        <w:tc>
          <w:tcPr>
            <w:tcW w:w="450" w:type="dxa"/>
          </w:tcPr>
          <w:p w14:paraId="3E807EDE" w14:textId="77777777" w:rsidR="00052E38" w:rsidRPr="00341E1A" w:rsidRDefault="00052E38" w:rsidP="002E19DB">
            <w:pPr>
              <w:rPr>
                <w:rFonts w:ascii="Arial" w:hAnsi="Arial" w:cs="Arial"/>
                <w:sz w:val="18"/>
                <w:szCs w:val="18"/>
              </w:rPr>
            </w:pPr>
          </w:p>
        </w:tc>
        <w:tc>
          <w:tcPr>
            <w:tcW w:w="3960" w:type="dxa"/>
          </w:tcPr>
          <w:p w14:paraId="628FE5C2" w14:textId="77777777" w:rsidR="00052E38" w:rsidRPr="00341E1A" w:rsidRDefault="00B12822" w:rsidP="002E19DB">
            <w:pPr>
              <w:rPr>
                <w:rFonts w:ascii="Arial" w:hAnsi="Arial" w:cs="Arial"/>
                <w:sz w:val="18"/>
                <w:szCs w:val="18"/>
              </w:rPr>
            </w:pPr>
            <w:r w:rsidRPr="00341E1A">
              <w:rPr>
                <w:rFonts w:ascii="Arial" w:hAnsi="Arial" w:cs="Arial"/>
                <w:sz w:val="18"/>
                <w:szCs w:val="18"/>
              </w:rPr>
              <w:t>Micro syringes</w:t>
            </w:r>
          </w:p>
        </w:tc>
        <w:tc>
          <w:tcPr>
            <w:tcW w:w="1440" w:type="dxa"/>
            <w:tcBorders>
              <w:top w:val="nil"/>
              <w:bottom w:val="nil"/>
            </w:tcBorders>
          </w:tcPr>
          <w:p w14:paraId="456E3EE2" w14:textId="77777777" w:rsidR="00052E38" w:rsidRPr="00341E1A" w:rsidRDefault="00052E38" w:rsidP="002E19DB">
            <w:pPr>
              <w:rPr>
                <w:rFonts w:ascii="Arial" w:hAnsi="Arial" w:cs="Arial"/>
                <w:sz w:val="18"/>
                <w:szCs w:val="18"/>
              </w:rPr>
            </w:pPr>
          </w:p>
        </w:tc>
        <w:tc>
          <w:tcPr>
            <w:tcW w:w="450" w:type="dxa"/>
          </w:tcPr>
          <w:p w14:paraId="316F4429" w14:textId="77777777" w:rsidR="00052E38" w:rsidRPr="00341E1A" w:rsidRDefault="00052E38" w:rsidP="002E19DB">
            <w:pPr>
              <w:rPr>
                <w:rFonts w:ascii="Arial" w:hAnsi="Arial" w:cs="Arial"/>
                <w:sz w:val="18"/>
                <w:szCs w:val="18"/>
              </w:rPr>
            </w:pPr>
          </w:p>
        </w:tc>
        <w:tc>
          <w:tcPr>
            <w:tcW w:w="4680" w:type="dxa"/>
          </w:tcPr>
          <w:p w14:paraId="1496AD7E" w14:textId="77777777" w:rsidR="00052E38" w:rsidRPr="00341E1A" w:rsidRDefault="00372890" w:rsidP="002E19DB">
            <w:pPr>
              <w:rPr>
                <w:rFonts w:ascii="Arial" w:hAnsi="Arial" w:cs="Arial"/>
                <w:sz w:val="18"/>
                <w:szCs w:val="18"/>
              </w:rPr>
            </w:pPr>
            <w:r>
              <w:rPr>
                <w:rFonts w:ascii="Arial" w:hAnsi="Arial" w:cs="Arial"/>
                <w:sz w:val="18"/>
                <w:szCs w:val="18"/>
              </w:rPr>
              <w:t>E</w:t>
            </w:r>
            <w:r w:rsidR="00432EB2" w:rsidRPr="00432EB2">
              <w:rPr>
                <w:rFonts w:ascii="Arial" w:hAnsi="Arial" w:cs="Arial"/>
                <w:sz w:val="18"/>
                <w:szCs w:val="18"/>
              </w:rPr>
              <w:t>quivalent to the following</w:t>
            </w:r>
            <w:r>
              <w:rPr>
                <w:rFonts w:ascii="Arial" w:hAnsi="Arial" w:cs="Arial"/>
                <w:sz w:val="18"/>
                <w:szCs w:val="18"/>
              </w:rPr>
              <w:t>? (Y/N)</w:t>
            </w:r>
            <w:r w:rsidR="00432EB2">
              <w:rPr>
                <w:rFonts w:ascii="Arial" w:hAnsi="Arial" w:cs="Arial"/>
                <w:sz w:val="18"/>
                <w:szCs w:val="18"/>
              </w:rPr>
              <w:t>:</w:t>
            </w:r>
          </w:p>
        </w:tc>
      </w:tr>
      <w:tr w:rsidR="00052E38" w:rsidRPr="00341E1A" w14:paraId="0DFB39B8" w14:textId="77777777" w:rsidTr="002E19DB">
        <w:tc>
          <w:tcPr>
            <w:tcW w:w="450" w:type="dxa"/>
          </w:tcPr>
          <w:p w14:paraId="211EBA24" w14:textId="77777777" w:rsidR="00052E38" w:rsidRPr="00341E1A" w:rsidRDefault="00052E38" w:rsidP="002E19DB">
            <w:pPr>
              <w:rPr>
                <w:rFonts w:ascii="Arial" w:hAnsi="Arial" w:cs="Arial"/>
                <w:sz w:val="18"/>
                <w:szCs w:val="18"/>
              </w:rPr>
            </w:pPr>
          </w:p>
        </w:tc>
        <w:tc>
          <w:tcPr>
            <w:tcW w:w="3960" w:type="dxa"/>
          </w:tcPr>
          <w:p w14:paraId="32D7AB28" w14:textId="77777777" w:rsidR="00052E38" w:rsidRPr="00341E1A" w:rsidRDefault="00B12822" w:rsidP="002E19DB">
            <w:pPr>
              <w:rPr>
                <w:rFonts w:ascii="Arial" w:hAnsi="Arial" w:cs="Arial"/>
                <w:sz w:val="18"/>
                <w:szCs w:val="18"/>
              </w:rPr>
            </w:pPr>
            <w:r w:rsidRPr="00B12822">
              <w:rPr>
                <w:rFonts w:ascii="Arial" w:hAnsi="Arial" w:cs="Arial"/>
                <w:sz w:val="18"/>
                <w:szCs w:val="18"/>
              </w:rPr>
              <w:t xml:space="preserve">Analytical Balance </w:t>
            </w:r>
          </w:p>
        </w:tc>
        <w:tc>
          <w:tcPr>
            <w:tcW w:w="1440" w:type="dxa"/>
            <w:tcBorders>
              <w:top w:val="nil"/>
              <w:bottom w:val="nil"/>
            </w:tcBorders>
          </w:tcPr>
          <w:p w14:paraId="16CDDA3A" w14:textId="77777777" w:rsidR="00052E38" w:rsidRPr="00341E1A" w:rsidRDefault="00052E38" w:rsidP="002E19DB">
            <w:pPr>
              <w:rPr>
                <w:rFonts w:ascii="Arial" w:hAnsi="Arial" w:cs="Arial"/>
                <w:sz w:val="18"/>
                <w:szCs w:val="18"/>
              </w:rPr>
            </w:pPr>
          </w:p>
        </w:tc>
        <w:tc>
          <w:tcPr>
            <w:tcW w:w="5130" w:type="dxa"/>
            <w:gridSpan w:val="2"/>
          </w:tcPr>
          <w:p w14:paraId="72399B7D" w14:textId="77777777" w:rsidR="00D51AA1" w:rsidRPr="00D51AA1" w:rsidRDefault="00D51AA1" w:rsidP="00D51AA1">
            <w:pPr>
              <w:rPr>
                <w:rFonts w:ascii="Arial" w:hAnsi="Arial" w:cs="Arial"/>
                <w:sz w:val="18"/>
                <w:szCs w:val="18"/>
              </w:rPr>
            </w:pPr>
            <w:r w:rsidRPr="00D51AA1">
              <w:rPr>
                <w:rFonts w:ascii="Arial" w:hAnsi="Arial" w:cs="Arial"/>
                <w:sz w:val="18"/>
                <w:szCs w:val="18"/>
              </w:rPr>
              <w:t xml:space="preserve">400 mg of </w:t>
            </w:r>
            <w:proofErr w:type="spellStart"/>
            <w:r w:rsidRPr="00D51AA1">
              <w:rPr>
                <w:rFonts w:ascii="Arial" w:hAnsi="Arial" w:cs="Arial"/>
                <w:sz w:val="18"/>
                <w:szCs w:val="18"/>
              </w:rPr>
              <w:t>Carbopack</w:t>
            </w:r>
            <w:proofErr w:type="spellEnd"/>
            <w:r w:rsidRPr="00D51AA1">
              <w:rPr>
                <w:rFonts w:ascii="Arial" w:hAnsi="Arial" w:cs="Arial"/>
                <w:sz w:val="18"/>
                <w:szCs w:val="18"/>
              </w:rPr>
              <w:t xml:space="preserve"> B </w:t>
            </w:r>
          </w:p>
          <w:p w14:paraId="270F01FF" w14:textId="77777777" w:rsidR="00D51AA1" w:rsidRPr="00D51AA1" w:rsidRDefault="00D51AA1" w:rsidP="00D51AA1">
            <w:pPr>
              <w:rPr>
                <w:rFonts w:ascii="Arial" w:hAnsi="Arial" w:cs="Arial"/>
                <w:sz w:val="18"/>
                <w:szCs w:val="18"/>
              </w:rPr>
            </w:pPr>
            <w:r w:rsidRPr="00D51AA1">
              <w:rPr>
                <w:rFonts w:ascii="Arial" w:hAnsi="Arial" w:cs="Arial"/>
                <w:sz w:val="18"/>
                <w:szCs w:val="18"/>
              </w:rPr>
              <w:t xml:space="preserve">7.6 cm </w:t>
            </w:r>
            <w:proofErr w:type="spellStart"/>
            <w:r w:rsidRPr="00D51AA1">
              <w:rPr>
                <w:rFonts w:ascii="Arial" w:hAnsi="Arial" w:cs="Arial"/>
                <w:sz w:val="18"/>
                <w:szCs w:val="18"/>
              </w:rPr>
              <w:t>Carbopack</w:t>
            </w:r>
            <w:proofErr w:type="spellEnd"/>
            <w:r w:rsidRPr="00D51AA1">
              <w:rPr>
                <w:rFonts w:ascii="Arial" w:hAnsi="Arial" w:cs="Arial"/>
                <w:sz w:val="18"/>
                <w:szCs w:val="18"/>
              </w:rPr>
              <w:t xml:space="preserve"> B and 1.3 cm </w:t>
            </w:r>
            <w:proofErr w:type="spellStart"/>
            <w:r w:rsidRPr="00D51AA1">
              <w:rPr>
                <w:rFonts w:ascii="Arial" w:hAnsi="Arial" w:cs="Arial"/>
                <w:sz w:val="18"/>
                <w:szCs w:val="18"/>
              </w:rPr>
              <w:t>Carbosieve</w:t>
            </w:r>
            <w:proofErr w:type="spellEnd"/>
            <w:r w:rsidRPr="00D51AA1">
              <w:rPr>
                <w:rFonts w:ascii="Arial" w:hAnsi="Arial" w:cs="Arial"/>
                <w:sz w:val="18"/>
                <w:szCs w:val="18"/>
              </w:rPr>
              <w:t xml:space="preserve"> S-W (opt.)</w:t>
            </w:r>
          </w:p>
          <w:p w14:paraId="05CC6995" w14:textId="77777777" w:rsidR="00052E38" w:rsidRPr="00341E1A" w:rsidRDefault="00D51AA1" w:rsidP="00D51AA1">
            <w:pPr>
              <w:rPr>
                <w:rFonts w:ascii="Arial" w:hAnsi="Arial" w:cs="Arial"/>
                <w:sz w:val="18"/>
                <w:szCs w:val="18"/>
              </w:rPr>
            </w:pPr>
            <w:r w:rsidRPr="00D51AA1">
              <w:rPr>
                <w:rFonts w:ascii="Arial" w:hAnsi="Arial" w:cs="Arial"/>
                <w:sz w:val="18"/>
                <w:szCs w:val="18"/>
              </w:rPr>
              <w:t xml:space="preserve">7.7 cm </w:t>
            </w:r>
            <w:proofErr w:type="spellStart"/>
            <w:r w:rsidRPr="00D51AA1">
              <w:rPr>
                <w:rFonts w:ascii="Arial" w:hAnsi="Arial" w:cs="Arial"/>
                <w:sz w:val="18"/>
                <w:szCs w:val="18"/>
              </w:rPr>
              <w:t>Carbopack</w:t>
            </w:r>
            <w:proofErr w:type="spellEnd"/>
            <w:r w:rsidRPr="00D51AA1">
              <w:rPr>
                <w:rFonts w:ascii="Arial" w:hAnsi="Arial" w:cs="Arial"/>
                <w:sz w:val="18"/>
                <w:szCs w:val="18"/>
              </w:rPr>
              <w:t xml:space="preserve"> C and 1.2 cm </w:t>
            </w:r>
            <w:proofErr w:type="spellStart"/>
            <w:r w:rsidRPr="00D51AA1">
              <w:rPr>
                <w:rFonts w:ascii="Arial" w:hAnsi="Arial" w:cs="Arial"/>
                <w:sz w:val="18"/>
                <w:szCs w:val="18"/>
              </w:rPr>
              <w:t>Carbopack</w:t>
            </w:r>
            <w:proofErr w:type="spellEnd"/>
            <w:r w:rsidRPr="00D51AA1">
              <w:rPr>
                <w:rFonts w:ascii="Arial" w:hAnsi="Arial" w:cs="Arial"/>
                <w:sz w:val="18"/>
                <w:szCs w:val="18"/>
              </w:rPr>
              <w:t xml:space="preserve"> B (opt.)</w:t>
            </w:r>
          </w:p>
        </w:tc>
      </w:tr>
      <w:tr w:rsidR="00052E38" w:rsidRPr="00341E1A" w14:paraId="6DEAB0FF" w14:textId="77777777" w:rsidTr="002E19DB">
        <w:tc>
          <w:tcPr>
            <w:tcW w:w="450" w:type="dxa"/>
          </w:tcPr>
          <w:p w14:paraId="79E21158" w14:textId="77777777" w:rsidR="00052E38" w:rsidRPr="00341E1A" w:rsidRDefault="00052E38" w:rsidP="002E19DB">
            <w:pPr>
              <w:rPr>
                <w:rFonts w:ascii="Arial" w:hAnsi="Arial" w:cs="Arial"/>
                <w:sz w:val="18"/>
                <w:szCs w:val="18"/>
              </w:rPr>
            </w:pPr>
          </w:p>
        </w:tc>
        <w:tc>
          <w:tcPr>
            <w:tcW w:w="3960" w:type="dxa"/>
          </w:tcPr>
          <w:p w14:paraId="70C06470" w14:textId="77777777" w:rsidR="00052E38" w:rsidRPr="00341E1A" w:rsidRDefault="00B12822" w:rsidP="002E19DB">
            <w:pPr>
              <w:rPr>
                <w:rFonts w:ascii="Arial" w:hAnsi="Arial" w:cs="Arial"/>
                <w:sz w:val="18"/>
                <w:szCs w:val="18"/>
              </w:rPr>
            </w:pPr>
            <w:r w:rsidRPr="00B12822">
              <w:rPr>
                <w:rFonts w:ascii="Arial" w:hAnsi="Arial" w:cs="Arial"/>
                <w:sz w:val="18"/>
                <w:szCs w:val="18"/>
              </w:rPr>
              <w:t xml:space="preserve">103° - 105°C oven </w:t>
            </w:r>
          </w:p>
        </w:tc>
        <w:tc>
          <w:tcPr>
            <w:tcW w:w="1440" w:type="dxa"/>
            <w:tcBorders>
              <w:top w:val="nil"/>
              <w:bottom w:val="nil"/>
            </w:tcBorders>
          </w:tcPr>
          <w:p w14:paraId="1FDA061D" w14:textId="77777777" w:rsidR="00052E38" w:rsidRPr="00341E1A" w:rsidRDefault="00052E38" w:rsidP="002E19DB">
            <w:pPr>
              <w:rPr>
                <w:rFonts w:ascii="Arial" w:hAnsi="Arial" w:cs="Arial"/>
                <w:sz w:val="18"/>
                <w:szCs w:val="18"/>
              </w:rPr>
            </w:pPr>
          </w:p>
        </w:tc>
        <w:tc>
          <w:tcPr>
            <w:tcW w:w="5130" w:type="dxa"/>
            <w:gridSpan w:val="2"/>
          </w:tcPr>
          <w:p w14:paraId="0A294FE5" w14:textId="77777777" w:rsidR="00052E38" w:rsidRPr="00341E1A" w:rsidRDefault="00052E38" w:rsidP="002E19DB">
            <w:pPr>
              <w:rPr>
                <w:rFonts w:ascii="Arial" w:hAnsi="Arial" w:cs="Arial"/>
                <w:sz w:val="18"/>
                <w:szCs w:val="18"/>
              </w:rPr>
            </w:pPr>
            <w:r>
              <w:rPr>
                <w:rFonts w:ascii="Arial" w:hAnsi="Arial" w:cs="Arial"/>
                <w:sz w:val="18"/>
                <w:szCs w:val="18"/>
              </w:rPr>
              <w:t>Reagents:</w:t>
            </w:r>
          </w:p>
        </w:tc>
      </w:tr>
      <w:tr w:rsidR="00052E38" w:rsidRPr="00341E1A" w14:paraId="093AF192" w14:textId="77777777" w:rsidTr="002E19DB">
        <w:tc>
          <w:tcPr>
            <w:tcW w:w="450" w:type="dxa"/>
            <w:tcBorders>
              <w:bottom w:val="single" w:sz="4" w:space="0" w:color="auto"/>
            </w:tcBorders>
          </w:tcPr>
          <w:p w14:paraId="5F95184D" w14:textId="77777777" w:rsidR="00052E38" w:rsidRPr="00341E1A" w:rsidRDefault="00052E38" w:rsidP="002E19DB">
            <w:pPr>
              <w:rPr>
                <w:rFonts w:ascii="Arial" w:hAnsi="Arial" w:cs="Arial"/>
                <w:sz w:val="18"/>
                <w:szCs w:val="18"/>
              </w:rPr>
            </w:pPr>
          </w:p>
        </w:tc>
        <w:tc>
          <w:tcPr>
            <w:tcW w:w="3960" w:type="dxa"/>
            <w:tcBorders>
              <w:bottom w:val="single" w:sz="4" w:space="0" w:color="auto"/>
            </w:tcBorders>
          </w:tcPr>
          <w:p w14:paraId="75D230F0" w14:textId="77777777" w:rsidR="00052E38" w:rsidRPr="00341E1A" w:rsidRDefault="00D012FB" w:rsidP="002E19DB">
            <w:pPr>
              <w:rPr>
                <w:rFonts w:ascii="Arial" w:hAnsi="Arial" w:cs="Arial"/>
                <w:sz w:val="18"/>
                <w:szCs w:val="18"/>
              </w:rPr>
            </w:pPr>
            <w:r>
              <w:rPr>
                <w:rFonts w:ascii="Arial" w:hAnsi="Arial" w:cs="Arial"/>
                <w:sz w:val="18"/>
                <w:szCs w:val="18"/>
              </w:rPr>
              <w:t xml:space="preserve">VOC Vials, </w:t>
            </w:r>
            <w:r w:rsidR="00052E38" w:rsidRPr="00341E1A">
              <w:rPr>
                <w:rFonts w:ascii="Arial" w:hAnsi="Arial" w:cs="Arial"/>
                <w:sz w:val="18"/>
                <w:szCs w:val="18"/>
              </w:rPr>
              <w:t>40-mL</w:t>
            </w:r>
            <w:r>
              <w:rPr>
                <w:rFonts w:ascii="Arial" w:hAnsi="Arial" w:cs="Arial"/>
                <w:sz w:val="18"/>
                <w:szCs w:val="18"/>
              </w:rPr>
              <w:t xml:space="preserve"> (60-mL optional for soil)</w:t>
            </w:r>
            <w:r w:rsidR="00052E38" w:rsidRPr="00341E1A">
              <w:rPr>
                <w:rFonts w:ascii="Arial" w:hAnsi="Arial" w:cs="Arial"/>
                <w:sz w:val="18"/>
                <w:szCs w:val="18"/>
              </w:rPr>
              <w:t xml:space="preserve"> </w:t>
            </w:r>
          </w:p>
        </w:tc>
        <w:tc>
          <w:tcPr>
            <w:tcW w:w="1440" w:type="dxa"/>
            <w:tcBorders>
              <w:top w:val="nil"/>
              <w:bottom w:val="nil"/>
            </w:tcBorders>
          </w:tcPr>
          <w:p w14:paraId="1BAC67C4" w14:textId="77777777" w:rsidR="00052E38" w:rsidRPr="00341E1A" w:rsidRDefault="00052E38" w:rsidP="002E19DB">
            <w:pPr>
              <w:rPr>
                <w:rFonts w:ascii="Arial" w:hAnsi="Arial" w:cs="Arial"/>
                <w:sz w:val="18"/>
                <w:szCs w:val="18"/>
              </w:rPr>
            </w:pPr>
          </w:p>
        </w:tc>
        <w:tc>
          <w:tcPr>
            <w:tcW w:w="450" w:type="dxa"/>
          </w:tcPr>
          <w:p w14:paraId="4015985B" w14:textId="77777777" w:rsidR="00052E38" w:rsidRPr="00341E1A" w:rsidRDefault="00052E38" w:rsidP="002E19DB">
            <w:pPr>
              <w:rPr>
                <w:rFonts w:ascii="Arial" w:hAnsi="Arial" w:cs="Arial"/>
                <w:sz w:val="18"/>
                <w:szCs w:val="18"/>
              </w:rPr>
            </w:pPr>
          </w:p>
        </w:tc>
        <w:tc>
          <w:tcPr>
            <w:tcW w:w="4680" w:type="dxa"/>
          </w:tcPr>
          <w:p w14:paraId="17829FD8" w14:textId="77777777" w:rsidR="00052E38" w:rsidRPr="00341E1A" w:rsidRDefault="00052E38" w:rsidP="002E19DB">
            <w:pPr>
              <w:rPr>
                <w:rFonts w:ascii="Arial" w:hAnsi="Arial" w:cs="Arial"/>
                <w:sz w:val="18"/>
                <w:szCs w:val="18"/>
              </w:rPr>
            </w:pPr>
            <w:r w:rsidRPr="00341E1A">
              <w:rPr>
                <w:rFonts w:ascii="Arial" w:hAnsi="Arial" w:cs="Arial"/>
                <w:sz w:val="18"/>
                <w:szCs w:val="18"/>
              </w:rPr>
              <w:t>Methanol, purge-and-trap grade</w:t>
            </w:r>
          </w:p>
        </w:tc>
      </w:tr>
      <w:tr w:rsidR="00052E38" w:rsidRPr="00341E1A" w14:paraId="02472EE3" w14:textId="77777777" w:rsidTr="002E19DB">
        <w:tc>
          <w:tcPr>
            <w:tcW w:w="450" w:type="dxa"/>
            <w:tcBorders>
              <w:top w:val="single" w:sz="4" w:space="0" w:color="auto"/>
              <w:left w:val="nil"/>
              <w:bottom w:val="nil"/>
              <w:right w:val="nil"/>
            </w:tcBorders>
          </w:tcPr>
          <w:p w14:paraId="3552282F" w14:textId="77777777" w:rsidR="00052E38" w:rsidRPr="00341E1A" w:rsidRDefault="00052E38" w:rsidP="002E19DB">
            <w:pPr>
              <w:rPr>
                <w:rFonts w:ascii="Arial" w:hAnsi="Arial" w:cs="Arial"/>
                <w:sz w:val="18"/>
                <w:szCs w:val="18"/>
              </w:rPr>
            </w:pPr>
          </w:p>
        </w:tc>
        <w:tc>
          <w:tcPr>
            <w:tcW w:w="3960" w:type="dxa"/>
            <w:tcBorders>
              <w:top w:val="single" w:sz="4" w:space="0" w:color="auto"/>
              <w:left w:val="nil"/>
              <w:bottom w:val="nil"/>
              <w:right w:val="nil"/>
            </w:tcBorders>
          </w:tcPr>
          <w:p w14:paraId="2BDC6B1E" w14:textId="77777777" w:rsidR="00052E38" w:rsidRPr="00341E1A" w:rsidRDefault="00052E38" w:rsidP="002E19DB">
            <w:pPr>
              <w:rPr>
                <w:rFonts w:ascii="Arial" w:hAnsi="Arial" w:cs="Arial"/>
                <w:sz w:val="18"/>
                <w:szCs w:val="18"/>
              </w:rPr>
            </w:pPr>
          </w:p>
        </w:tc>
        <w:tc>
          <w:tcPr>
            <w:tcW w:w="1440" w:type="dxa"/>
            <w:tcBorders>
              <w:top w:val="nil"/>
              <w:left w:val="nil"/>
              <w:bottom w:val="nil"/>
            </w:tcBorders>
          </w:tcPr>
          <w:p w14:paraId="420621C9" w14:textId="77777777" w:rsidR="00052E38" w:rsidRPr="00341E1A" w:rsidRDefault="00052E38" w:rsidP="002E19DB">
            <w:pPr>
              <w:rPr>
                <w:rFonts w:ascii="Arial" w:hAnsi="Arial" w:cs="Arial"/>
                <w:sz w:val="18"/>
                <w:szCs w:val="18"/>
              </w:rPr>
            </w:pPr>
          </w:p>
        </w:tc>
        <w:tc>
          <w:tcPr>
            <w:tcW w:w="450" w:type="dxa"/>
          </w:tcPr>
          <w:p w14:paraId="004AE53B" w14:textId="77777777" w:rsidR="00052E38" w:rsidRPr="00341E1A" w:rsidRDefault="00052E38" w:rsidP="002E19DB">
            <w:pPr>
              <w:rPr>
                <w:rFonts w:ascii="Arial" w:hAnsi="Arial" w:cs="Arial"/>
                <w:sz w:val="18"/>
                <w:szCs w:val="18"/>
              </w:rPr>
            </w:pPr>
          </w:p>
        </w:tc>
        <w:tc>
          <w:tcPr>
            <w:tcW w:w="4680" w:type="dxa"/>
          </w:tcPr>
          <w:p w14:paraId="5448A74E" w14:textId="77777777" w:rsidR="00052E38" w:rsidRPr="00341E1A" w:rsidRDefault="00052E38" w:rsidP="002E19DB">
            <w:pPr>
              <w:rPr>
                <w:rFonts w:ascii="Arial" w:hAnsi="Arial" w:cs="Arial"/>
                <w:sz w:val="18"/>
                <w:szCs w:val="18"/>
              </w:rPr>
            </w:pPr>
            <w:r w:rsidRPr="00341E1A">
              <w:rPr>
                <w:rFonts w:ascii="Arial" w:hAnsi="Arial" w:cs="Arial"/>
                <w:sz w:val="18"/>
                <w:szCs w:val="18"/>
              </w:rPr>
              <w:t>Hydrochloric acid: HCl, 1 + 1</w:t>
            </w:r>
          </w:p>
        </w:tc>
      </w:tr>
      <w:tr w:rsidR="00052E38" w:rsidRPr="00341E1A" w14:paraId="4B6FCACE" w14:textId="77777777" w:rsidTr="002E19DB">
        <w:tc>
          <w:tcPr>
            <w:tcW w:w="4410" w:type="dxa"/>
            <w:gridSpan w:val="2"/>
            <w:tcBorders>
              <w:top w:val="nil"/>
              <w:left w:val="nil"/>
              <w:right w:val="nil"/>
            </w:tcBorders>
          </w:tcPr>
          <w:p w14:paraId="7FDE6A44" w14:textId="77777777" w:rsidR="00052E38" w:rsidRPr="00341E1A" w:rsidRDefault="00052E38" w:rsidP="002E19DB">
            <w:pPr>
              <w:rPr>
                <w:rFonts w:ascii="Arial" w:hAnsi="Arial" w:cs="Arial"/>
                <w:sz w:val="18"/>
                <w:szCs w:val="18"/>
              </w:rPr>
            </w:pPr>
            <w:r w:rsidRPr="00341E1A">
              <w:rPr>
                <w:rFonts w:ascii="Arial" w:hAnsi="Arial" w:cs="Arial"/>
                <w:sz w:val="18"/>
                <w:szCs w:val="18"/>
              </w:rPr>
              <w:t>Standards:</w:t>
            </w:r>
          </w:p>
        </w:tc>
        <w:tc>
          <w:tcPr>
            <w:tcW w:w="1440" w:type="dxa"/>
            <w:tcBorders>
              <w:top w:val="nil"/>
              <w:left w:val="nil"/>
              <w:bottom w:val="nil"/>
            </w:tcBorders>
          </w:tcPr>
          <w:p w14:paraId="129FAE91" w14:textId="77777777" w:rsidR="00052E38" w:rsidRPr="00341E1A" w:rsidRDefault="00052E38" w:rsidP="002E19DB">
            <w:pPr>
              <w:rPr>
                <w:rFonts w:ascii="Arial" w:hAnsi="Arial" w:cs="Arial"/>
                <w:sz w:val="18"/>
                <w:szCs w:val="18"/>
              </w:rPr>
            </w:pPr>
          </w:p>
        </w:tc>
        <w:tc>
          <w:tcPr>
            <w:tcW w:w="450" w:type="dxa"/>
          </w:tcPr>
          <w:p w14:paraId="12F89E76" w14:textId="77777777" w:rsidR="00052E38" w:rsidRPr="00341E1A" w:rsidRDefault="00052E38" w:rsidP="002E19DB">
            <w:pPr>
              <w:rPr>
                <w:rFonts w:ascii="Arial" w:hAnsi="Arial" w:cs="Arial"/>
                <w:sz w:val="18"/>
                <w:szCs w:val="18"/>
              </w:rPr>
            </w:pPr>
          </w:p>
        </w:tc>
        <w:tc>
          <w:tcPr>
            <w:tcW w:w="4680" w:type="dxa"/>
          </w:tcPr>
          <w:p w14:paraId="66E3C7AB" w14:textId="77777777" w:rsidR="00052E38" w:rsidRPr="00341E1A" w:rsidRDefault="00B12822" w:rsidP="002E19DB">
            <w:pPr>
              <w:rPr>
                <w:rFonts w:ascii="Arial" w:hAnsi="Arial" w:cs="Arial"/>
                <w:sz w:val="18"/>
                <w:szCs w:val="18"/>
              </w:rPr>
            </w:pPr>
            <w:r w:rsidRPr="00B12822">
              <w:rPr>
                <w:rFonts w:ascii="Arial" w:hAnsi="Arial" w:cs="Arial"/>
                <w:sz w:val="18"/>
                <w:szCs w:val="18"/>
              </w:rPr>
              <w:t>Volatile-free Sand</w:t>
            </w:r>
          </w:p>
        </w:tc>
      </w:tr>
      <w:tr w:rsidR="00052E38" w:rsidRPr="00341E1A" w14:paraId="12728F91" w14:textId="77777777" w:rsidTr="002E19DB">
        <w:tc>
          <w:tcPr>
            <w:tcW w:w="450" w:type="dxa"/>
          </w:tcPr>
          <w:p w14:paraId="1AC418F4" w14:textId="77777777" w:rsidR="00052E38" w:rsidRPr="00341E1A" w:rsidRDefault="00052E38" w:rsidP="002E19DB">
            <w:pPr>
              <w:rPr>
                <w:rFonts w:ascii="Arial" w:hAnsi="Arial" w:cs="Arial"/>
                <w:sz w:val="18"/>
                <w:szCs w:val="18"/>
              </w:rPr>
            </w:pPr>
          </w:p>
        </w:tc>
        <w:tc>
          <w:tcPr>
            <w:tcW w:w="3960" w:type="dxa"/>
          </w:tcPr>
          <w:p w14:paraId="6FFE137E" w14:textId="77777777" w:rsidR="00052E38" w:rsidRPr="00341E1A" w:rsidRDefault="00B03721" w:rsidP="002E19DB">
            <w:pPr>
              <w:rPr>
                <w:rFonts w:ascii="Arial" w:hAnsi="Arial" w:cs="Arial"/>
                <w:sz w:val="18"/>
                <w:szCs w:val="18"/>
              </w:rPr>
            </w:pPr>
            <w:r w:rsidRPr="00B03721">
              <w:rPr>
                <w:rFonts w:ascii="Arial" w:hAnsi="Arial" w:cs="Arial"/>
                <w:sz w:val="18"/>
                <w:szCs w:val="18"/>
              </w:rPr>
              <w:t>Calibration Standards</w:t>
            </w:r>
          </w:p>
        </w:tc>
        <w:tc>
          <w:tcPr>
            <w:tcW w:w="1440" w:type="dxa"/>
            <w:tcBorders>
              <w:top w:val="nil"/>
              <w:bottom w:val="nil"/>
            </w:tcBorders>
          </w:tcPr>
          <w:p w14:paraId="013EB43A" w14:textId="77777777" w:rsidR="00052E38" w:rsidRPr="00341E1A" w:rsidRDefault="00052E38" w:rsidP="002E19DB">
            <w:pPr>
              <w:rPr>
                <w:rFonts w:ascii="Arial" w:hAnsi="Arial" w:cs="Arial"/>
                <w:sz w:val="18"/>
                <w:szCs w:val="18"/>
              </w:rPr>
            </w:pPr>
          </w:p>
        </w:tc>
        <w:tc>
          <w:tcPr>
            <w:tcW w:w="450" w:type="dxa"/>
            <w:tcBorders>
              <w:bottom w:val="single" w:sz="4" w:space="0" w:color="auto"/>
            </w:tcBorders>
          </w:tcPr>
          <w:p w14:paraId="5D94B477" w14:textId="77777777" w:rsidR="00052E38" w:rsidRPr="00341E1A" w:rsidRDefault="00052E38" w:rsidP="002E19DB">
            <w:pPr>
              <w:rPr>
                <w:rFonts w:ascii="Arial" w:hAnsi="Arial" w:cs="Arial"/>
                <w:sz w:val="18"/>
                <w:szCs w:val="18"/>
              </w:rPr>
            </w:pPr>
          </w:p>
        </w:tc>
        <w:tc>
          <w:tcPr>
            <w:tcW w:w="4680" w:type="dxa"/>
            <w:tcBorders>
              <w:bottom w:val="single" w:sz="4" w:space="0" w:color="auto"/>
            </w:tcBorders>
          </w:tcPr>
          <w:p w14:paraId="2CDC1731" w14:textId="77777777" w:rsidR="00052E38" w:rsidRPr="00341E1A" w:rsidRDefault="00052E38" w:rsidP="002E19DB">
            <w:pPr>
              <w:rPr>
                <w:rFonts w:ascii="Arial" w:hAnsi="Arial" w:cs="Arial"/>
                <w:sz w:val="18"/>
                <w:szCs w:val="18"/>
              </w:rPr>
            </w:pPr>
            <w:r w:rsidRPr="00341E1A">
              <w:rPr>
                <w:rFonts w:ascii="Arial" w:hAnsi="Arial" w:cs="Arial"/>
                <w:sz w:val="18"/>
                <w:szCs w:val="18"/>
              </w:rPr>
              <w:t>Ascorbic Acid</w:t>
            </w:r>
          </w:p>
        </w:tc>
      </w:tr>
      <w:tr w:rsidR="00052E38" w:rsidRPr="00341E1A" w14:paraId="0CA54A4A" w14:textId="77777777" w:rsidTr="002E19DB">
        <w:tc>
          <w:tcPr>
            <w:tcW w:w="450" w:type="dxa"/>
          </w:tcPr>
          <w:p w14:paraId="4FFA5C35" w14:textId="77777777" w:rsidR="00052E38" w:rsidRPr="00341E1A" w:rsidRDefault="00052E38" w:rsidP="002E19DB">
            <w:pPr>
              <w:rPr>
                <w:rFonts w:ascii="Arial" w:hAnsi="Arial" w:cs="Arial"/>
                <w:sz w:val="18"/>
                <w:szCs w:val="18"/>
              </w:rPr>
            </w:pPr>
          </w:p>
        </w:tc>
        <w:tc>
          <w:tcPr>
            <w:tcW w:w="3960" w:type="dxa"/>
          </w:tcPr>
          <w:p w14:paraId="52B02F60" w14:textId="77777777" w:rsidR="00052E38" w:rsidRDefault="00052E38" w:rsidP="002E19DB">
            <w:pPr>
              <w:rPr>
                <w:rFonts w:ascii="Arial" w:hAnsi="Arial" w:cs="Arial"/>
                <w:sz w:val="18"/>
                <w:szCs w:val="18"/>
              </w:rPr>
            </w:pPr>
          </w:p>
        </w:tc>
        <w:tc>
          <w:tcPr>
            <w:tcW w:w="1440" w:type="dxa"/>
            <w:tcBorders>
              <w:top w:val="nil"/>
              <w:bottom w:val="nil"/>
            </w:tcBorders>
          </w:tcPr>
          <w:p w14:paraId="4C1652B6" w14:textId="77777777" w:rsidR="00052E38" w:rsidRPr="00341E1A" w:rsidRDefault="00052E38" w:rsidP="002E19DB">
            <w:pPr>
              <w:rPr>
                <w:rFonts w:ascii="Arial" w:hAnsi="Arial" w:cs="Arial"/>
                <w:sz w:val="18"/>
                <w:szCs w:val="18"/>
              </w:rPr>
            </w:pPr>
          </w:p>
        </w:tc>
        <w:tc>
          <w:tcPr>
            <w:tcW w:w="450" w:type="dxa"/>
            <w:tcBorders>
              <w:bottom w:val="single" w:sz="4" w:space="0" w:color="auto"/>
            </w:tcBorders>
          </w:tcPr>
          <w:p w14:paraId="0F6FEBFC" w14:textId="77777777" w:rsidR="00052E38" w:rsidRPr="00341E1A" w:rsidRDefault="00052E38" w:rsidP="002E19DB">
            <w:pPr>
              <w:rPr>
                <w:rFonts w:ascii="Arial" w:hAnsi="Arial" w:cs="Arial"/>
                <w:sz w:val="18"/>
                <w:szCs w:val="18"/>
              </w:rPr>
            </w:pPr>
          </w:p>
        </w:tc>
        <w:tc>
          <w:tcPr>
            <w:tcW w:w="4680" w:type="dxa"/>
            <w:tcBorders>
              <w:bottom w:val="single" w:sz="4" w:space="0" w:color="auto"/>
            </w:tcBorders>
          </w:tcPr>
          <w:p w14:paraId="53BCCA2F" w14:textId="77777777" w:rsidR="00052E38" w:rsidRPr="00341E1A" w:rsidRDefault="00052E38" w:rsidP="002E19DB">
            <w:pPr>
              <w:rPr>
                <w:rFonts w:ascii="Arial" w:hAnsi="Arial" w:cs="Arial"/>
                <w:sz w:val="18"/>
                <w:szCs w:val="18"/>
              </w:rPr>
            </w:pPr>
            <w:r>
              <w:rPr>
                <w:rFonts w:ascii="Arial" w:hAnsi="Arial" w:cs="Arial"/>
                <w:sz w:val="18"/>
                <w:szCs w:val="18"/>
              </w:rPr>
              <w:t>Reagent Water</w:t>
            </w:r>
          </w:p>
        </w:tc>
      </w:tr>
      <w:tr w:rsidR="00B03721" w:rsidRPr="00341E1A" w14:paraId="23CCDC0D" w14:textId="77777777" w:rsidTr="002E19DB">
        <w:tc>
          <w:tcPr>
            <w:tcW w:w="450" w:type="dxa"/>
          </w:tcPr>
          <w:p w14:paraId="3C1FAADC" w14:textId="77777777" w:rsidR="00B03721" w:rsidRPr="00341E1A" w:rsidRDefault="00B03721" w:rsidP="002E19DB">
            <w:pPr>
              <w:rPr>
                <w:rFonts w:ascii="Arial" w:hAnsi="Arial" w:cs="Arial"/>
                <w:sz w:val="18"/>
                <w:szCs w:val="18"/>
              </w:rPr>
            </w:pPr>
          </w:p>
        </w:tc>
        <w:tc>
          <w:tcPr>
            <w:tcW w:w="3960" w:type="dxa"/>
          </w:tcPr>
          <w:p w14:paraId="25EA99AF" w14:textId="77777777" w:rsidR="00B03721" w:rsidRPr="00341E1A" w:rsidRDefault="00B03721" w:rsidP="002E19DB">
            <w:pPr>
              <w:rPr>
                <w:rFonts w:ascii="Arial" w:hAnsi="Arial" w:cs="Arial"/>
                <w:sz w:val="18"/>
                <w:szCs w:val="18"/>
              </w:rPr>
            </w:pPr>
            <w:r w:rsidRPr="00B03721">
              <w:rPr>
                <w:rFonts w:ascii="Arial" w:hAnsi="Arial" w:cs="Arial"/>
                <w:sz w:val="18"/>
                <w:szCs w:val="18"/>
              </w:rPr>
              <w:t>Surrogate</w:t>
            </w:r>
          </w:p>
        </w:tc>
        <w:tc>
          <w:tcPr>
            <w:tcW w:w="1440" w:type="dxa"/>
            <w:tcBorders>
              <w:top w:val="nil"/>
              <w:bottom w:val="nil"/>
              <w:right w:val="nil"/>
            </w:tcBorders>
          </w:tcPr>
          <w:p w14:paraId="3416874C" w14:textId="77777777" w:rsidR="00B03721" w:rsidRPr="00341E1A" w:rsidRDefault="00B03721" w:rsidP="002E19DB">
            <w:pPr>
              <w:rPr>
                <w:rFonts w:ascii="Arial" w:hAnsi="Arial" w:cs="Arial"/>
                <w:sz w:val="18"/>
                <w:szCs w:val="18"/>
              </w:rPr>
            </w:pPr>
          </w:p>
        </w:tc>
        <w:tc>
          <w:tcPr>
            <w:tcW w:w="450" w:type="dxa"/>
            <w:tcBorders>
              <w:top w:val="nil"/>
              <w:left w:val="nil"/>
              <w:bottom w:val="nil"/>
              <w:right w:val="nil"/>
            </w:tcBorders>
          </w:tcPr>
          <w:p w14:paraId="5F513557" w14:textId="77777777" w:rsidR="00B03721" w:rsidRPr="00341E1A" w:rsidRDefault="00B03721" w:rsidP="002E19DB">
            <w:pPr>
              <w:rPr>
                <w:rFonts w:ascii="Arial" w:hAnsi="Arial" w:cs="Arial"/>
                <w:sz w:val="18"/>
                <w:szCs w:val="18"/>
              </w:rPr>
            </w:pPr>
          </w:p>
        </w:tc>
        <w:tc>
          <w:tcPr>
            <w:tcW w:w="4680" w:type="dxa"/>
            <w:tcBorders>
              <w:top w:val="nil"/>
              <w:left w:val="nil"/>
              <w:bottom w:val="nil"/>
              <w:right w:val="nil"/>
            </w:tcBorders>
          </w:tcPr>
          <w:p w14:paraId="4978366D" w14:textId="77777777" w:rsidR="00B03721" w:rsidRPr="00341E1A" w:rsidRDefault="00B03721" w:rsidP="002E19DB">
            <w:pPr>
              <w:rPr>
                <w:rFonts w:ascii="Arial" w:hAnsi="Arial" w:cs="Arial"/>
                <w:sz w:val="18"/>
                <w:szCs w:val="18"/>
              </w:rPr>
            </w:pPr>
          </w:p>
        </w:tc>
      </w:tr>
      <w:tr w:rsidR="00E52511" w:rsidRPr="00341E1A" w14:paraId="39A4A956" w14:textId="77777777" w:rsidTr="002E19DB">
        <w:tc>
          <w:tcPr>
            <w:tcW w:w="450" w:type="dxa"/>
          </w:tcPr>
          <w:p w14:paraId="5E364C13" w14:textId="77777777" w:rsidR="00E52511" w:rsidRPr="00341E1A" w:rsidRDefault="00E52511" w:rsidP="002E19DB">
            <w:pPr>
              <w:rPr>
                <w:rFonts w:ascii="Arial" w:hAnsi="Arial" w:cs="Arial"/>
                <w:sz w:val="18"/>
                <w:szCs w:val="18"/>
              </w:rPr>
            </w:pPr>
          </w:p>
        </w:tc>
        <w:tc>
          <w:tcPr>
            <w:tcW w:w="3960" w:type="dxa"/>
          </w:tcPr>
          <w:p w14:paraId="641162BF" w14:textId="77777777" w:rsidR="00E52511" w:rsidRPr="00B03721" w:rsidRDefault="00E52511" w:rsidP="002E19DB">
            <w:pPr>
              <w:rPr>
                <w:rFonts w:ascii="Arial" w:hAnsi="Arial" w:cs="Arial"/>
                <w:sz w:val="18"/>
                <w:szCs w:val="18"/>
              </w:rPr>
            </w:pPr>
          </w:p>
        </w:tc>
        <w:tc>
          <w:tcPr>
            <w:tcW w:w="1440" w:type="dxa"/>
            <w:tcBorders>
              <w:top w:val="nil"/>
              <w:bottom w:val="nil"/>
              <w:right w:val="nil"/>
            </w:tcBorders>
          </w:tcPr>
          <w:p w14:paraId="0A061E2B" w14:textId="77777777" w:rsidR="00E52511" w:rsidRPr="00341E1A" w:rsidRDefault="00E52511" w:rsidP="002E19DB">
            <w:pPr>
              <w:rPr>
                <w:rFonts w:ascii="Arial" w:hAnsi="Arial" w:cs="Arial"/>
                <w:sz w:val="18"/>
                <w:szCs w:val="18"/>
              </w:rPr>
            </w:pPr>
          </w:p>
        </w:tc>
        <w:tc>
          <w:tcPr>
            <w:tcW w:w="450" w:type="dxa"/>
            <w:tcBorders>
              <w:top w:val="nil"/>
              <w:left w:val="nil"/>
              <w:bottom w:val="nil"/>
              <w:right w:val="nil"/>
            </w:tcBorders>
          </w:tcPr>
          <w:p w14:paraId="27C016DD" w14:textId="77777777" w:rsidR="00E52511" w:rsidRPr="00341E1A" w:rsidRDefault="00E52511" w:rsidP="002E19DB">
            <w:pPr>
              <w:rPr>
                <w:rFonts w:ascii="Arial" w:hAnsi="Arial" w:cs="Arial"/>
                <w:sz w:val="18"/>
                <w:szCs w:val="18"/>
              </w:rPr>
            </w:pPr>
          </w:p>
        </w:tc>
        <w:tc>
          <w:tcPr>
            <w:tcW w:w="4680" w:type="dxa"/>
            <w:tcBorders>
              <w:top w:val="nil"/>
              <w:left w:val="nil"/>
              <w:bottom w:val="nil"/>
              <w:right w:val="nil"/>
            </w:tcBorders>
          </w:tcPr>
          <w:p w14:paraId="0F39DB74" w14:textId="77777777" w:rsidR="00E52511" w:rsidRPr="00341E1A" w:rsidRDefault="00E52511" w:rsidP="002E19DB">
            <w:pPr>
              <w:rPr>
                <w:rFonts w:ascii="Arial" w:hAnsi="Arial" w:cs="Arial"/>
                <w:sz w:val="18"/>
                <w:szCs w:val="18"/>
              </w:rPr>
            </w:pPr>
          </w:p>
        </w:tc>
      </w:tr>
      <w:tr w:rsidR="00052E38" w:rsidRPr="00341E1A" w14:paraId="4DBC764D" w14:textId="77777777" w:rsidTr="002E19DB">
        <w:tc>
          <w:tcPr>
            <w:tcW w:w="450" w:type="dxa"/>
          </w:tcPr>
          <w:p w14:paraId="05229A25" w14:textId="77777777" w:rsidR="00052E38" w:rsidRPr="00341E1A" w:rsidRDefault="00052E38" w:rsidP="002E19DB">
            <w:pPr>
              <w:rPr>
                <w:rFonts w:ascii="Arial" w:hAnsi="Arial" w:cs="Arial"/>
                <w:sz w:val="18"/>
                <w:szCs w:val="18"/>
              </w:rPr>
            </w:pPr>
          </w:p>
        </w:tc>
        <w:tc>
          <w:tcPr>
            <w:tcW w:w="3960" w:type="dxa"/>
          </w:tcPr>
          <w:p w14:paraId="1B80327E" w14:textId="1E3C30D3" w:rsidR="00052E38" w:rsidRPr="00341E1A" w:rsidRDefault="00052E38" w:rsidP="002E19DB">
            <w:pPr>
              <w:rPr>
                <w:rFonts w:ascii="Arial" w:hAnsi="Arial" w:cs="Arial"/>
                <w:sz w:val="18"/>
                <w:szCs w:val="18"/>
              </w:rPr>
            </w:pPr>
          </w:p>
        </w:tc>
        <w:tc>
          <w:tcPr>
            <w:tcW w:w="1440" w:type="dxa"/>
            <w:tcBorders>
              <w:top w:val="nil"/>
              <w:bottom w:val="nil"/>
              <w:right w:val="nil"/>
            </w:tcBorders>
          </w:tcPr>
          <w:p w14:paraId="201DD654" w14:textId="77777777" w:rsidR="00052E38" w:rsidRPr="00341E1A" w:rsidRDefault="00052E38" w:rsidP="002E19DB">
            <w:pPr>
              <w:rPr>
                <w:rFonts w:ascii="Arial" w:hAnsi="Arial" w:cs="Arial"/>
                <w:sz w:val="18"/>
                <w:szCs w:val="18"/>
              </w:rPr>
            </w:pPr>
          </w:p>
        </w:tc>
        <w:tc>
          <w:tcPr>
            <w:tcW w:w="450" w:type="dxa"/>
            <w:tcBorders>
              <w:top w:val="nil"/>
              <w:left w:val="nil"/>
              <w:bottom w:val="nil"/>
              <w:right w:val="nil"/>
            </w:tcBorders>
          </w:tcPr>
          <w:p w14:paraId="33B42417" w14:textId="77777777" w:rsidR="00052E38" w:rsidRPr="00341E1A" w:rsidRDefault="00052E38" w:rsidP="002E19DB">
            <w:pPr>
              <w:rPr>
                <w:rFonts w:ascii="Arial" w:hAnsi="Arial" w:cs="Arial"/>
                <w:sz w:val="18"/>
                <w:szCs w:val="18"/>
              </w:rPr>
            </w:pPr>
          </w:p>
        </w:tc>
        <w:tc>
          <w:tcPr>
            <w:tcW w:w="4680" w:type="dxa"/>
            <w:tcBorders>
              <w:top w:val="nil"/>
              <w:left w:val="nil"/>
              <w:bottom w:val="nil"/>
              <w:right w:val="nil"/>
            </w:tcBorders>
          </w:tcPr>
          <w:p w14:paraId="20D95C73" w14:textId="77777777" w:rsidR="00052E38" w:rsidRPr="00341E1A" w:rsidRDefault="00052E38" w:rsidP="002E19DB">
            <w:pPr>
              <w:rPr>
                <w:rFonts w:ascii="Arial" w:hAnsi="Arial" w:cs="Arial"/>
                <w:sz w:val="18"/>
                <w:szCs w:val="18"/>
              </w:rPr>
            </w:pPr>
          </w:p>
        </w:tc>
      </w:tr>
      <w:tr w:rsidR="00E52511" w:rsidRPr="00341E1A" w14:paraId="1D8FEE99" w14:textId="77777777" w:rsidTr="002E19DB">
        <w:tc>
          <w:tcPr>
            <w:tcW w:w="450" w:type="dxa"/>
          </w:tcPr>
          <w:p w14:paraId="3644D753" w14:textId="77777777" w:rsidR="00E52511" w:rsidRPr="00341E1A" w:rsidRDefault="00E52511" w:rsidP="002E19DB">
            <w:pPr>
              <w:rPr>
                <w:rFonts w:ascii="Arial" w:hAnsi="Arial" w:cs="Arial"/>
                <w:sz w:val="18"/>
                <w:szCs w:val="18"/>
              </w:rPr>
            </w:pPr>
          </w:p>
        </w:tc>
        <w:tc>
          <w:tcPr>
            <w:tcW w:w="3960" w:type="dxa"/>
          </w:tcPr>
          <w:p w14:paraId="0A054A19" w14:textId="77777777" w:rsidR="00E52511" w:rsidRDefault="00E52511" w:rsidP="002E19DB">
            <w:pPr>
              <w:rPr>
                <w:rFonts w:ascii="Arial" w:hAnsi="Arial" w:cs="Arial"/>
                <w:sz w:val="18"/>
                <w:szCs w:val="18"/>
              </w:rPr>
            </w:pPr>
          </w:p>
        </w:tc>
        <w:tc>
          <w:tcPr>
            <w:tcW w:w="1440" w:type="dxa"/>
            <w:tcBorders>
              <w:top w:val="nil"/>
              <w:bottom w:val="nil"/>
              <w:right w:val="nil"/>
            </w:tcBorders>
          </w:tcPr>
          <w:p w14:paraId="07F84461" w14:textId="77777777" w:rsidR="00E52511" w:rsidRPr="00341E1A" w:rsidRDefault="00E52511" w:rsidP="002E19DB">
            <w:pPr>
              <w:rPr>
                <w:rFonts w:ascii="Arial" w:hAnsi="Arial" w:cs="Arial"/>
                <w:sz w:val="18"/>
                <w:szCs w:val="18"/>
              </w:rPr>
            </w:pPr>
          </w:p>
        </w:tc>
        <w:tc>
          <w:tcPr>
            <w:tcW w:w="450" w:type="dxa"/>
            <w:tcBorders>
              <w:top w:val="nil"/>
              <w:left w:val="nil"/>
              <w:bottom w:val="nil"/>
              <w:right w:val="nil"/>
            </w:tcBorders>
          </w:tcPr>
          <w:p w14:paraId="5A63DF8E" w14:textId="77777777" w:rsidR="00E52511" w:rsidRPr="00341E1A" w:rsidRDefault="00E52511" w:rsidP="002E19DB">
            <w:pPr>
              <w:rPr>
                <w:rFonts w:ascii="Arial" w:hAnsi="Arial" w:cs="Arial"/>
                <w:sz w:val="18"/>
                <w:szCs w:val="18"/>
              </w:rPr>
            </w:pPr>
          </w:p>
        </w:tc>
        <w:tc>
          <w:tcPr>
            <w:tcW w:w="4680" w:type="dxa"/>
            <w:tcBorders>
              <w:top w:val="nil"/>
              <w:left w:val="nil"/>
              <w:bottom w:val="nil"/>
              <w:right w:val="nil"/>
            </w:tcBorders>
          </w:tcPr>
          <w:p w14:paraId="44842BC5" w14:textId="77777777" w:rsidR="00E52511" w:rsidRPr="00341E1A" w:rsidRDefault="00E52511" w:rsidP="002E19DB">
            <w:pPr>
              <w:rPr>
                <w:rFonts w:ascii="Arial" w:hAnsi="Arial" w:cs="Arial"/>
                <w:sz w:val="18"/>
                <w:szCs w:val="18"/>
              </w:rPr>
            </w:pPr>
          </w:p>
        </w:tc>
      </w:tr>
      <w:tr w:rsidR="00052E38" w:rsidRPr="00341E1A" w14:paraId="1264B95B" w14:textId="77777777" w:rsidTr="002E19DB">
        <w:tc>
          <w:tcPr>
            <w:tcW w:w="450" w:type="dxa"/>
            <w:tcBorders>
              <w:top w:val="single" w:sz="4" w:space="0" w:color="auto"/>
              <w:left w:val="nil"/>
              <w:bottom w:val="nil"/>
              <w:right w:val="nil"/>
            </w:tcBorders>
          </w:tcPr>
          <w:p w14:paraId="52134F99" w14:textId="77777777" w:rsidR="00052E38" w:rsidRPr="00341E1A" w:rsidRDefault="00052E38" w:rsidP="002E19DB">
            <w:pPr>
              <w:rPr>
                <w:rFonts w:ascii="Arial" w:hAnsi="Arial" w:cs="Arial"/>
                <w:sz w:val="18"/>
                <w:szCs w:val="18"/>
              </w:rPr>
            </w:pPr>
          </w:p>
        </w:tc>
        <w:tc>
          <w:tcPr>
            <w:tcW w:w="3960" w:type="dxa"/>
            <w:tcBorders>
              <w:top w:val="single" w:sz="4" w:space="0" w:color="auto"/>
              <w:left w:val="nil"/>
              <w:bottom w:val="nil"/>
              <w:right w:val="nil"/>
            </w:tcBorders>
          </w:tcPr>
          <w:p w14:paraId="49E18270" w14:textId="77777777" w:rsidR="00052E38" w:rsidRPr="00341E1A" w:rsidRDefault="00052E38" w:rsidP="002E19DB">
            <w:pPr>
              <w:rPr>
                <w:rFonts w:ascii="Arial" w:hAnsi="Arial" w:cs="Arial"/>
                <w:sz w:val="18"/>
                <w:szCs w:val="18"/>
              </w:rPr>
            </w:pPr>
          </w:p>
        </w:tc>
        <w:tc>
          <w:tcPr>
            <w:tcW w:w="1440" w:type="dxa"/>
            <w:tcBorders>
              <w:top w:val="nil"/>
              <w:left w:val="nil"/>
              <w:bottom w:val="nil"/>
              <w:right w:val="nil"/>
            </w:tcBorders>
          </w:tcPr>
          <w:p w14:paraId="6B55E511" w14:textId="77777777" w:rsidR="00052E38" w:rsidRPr="00341E1A" w:rsidRDefault="00052E38" w:rsidP="002E19DB">
            <w:pPr>
              <w:rPr>
                <w:rFonts w:ascii="Arial" w:hAnsi="Arial" w:cs="Arial"/>
                <w:sz w:val="18"/>
                <w:szCs w:val="18"/>
              </w:rPr>
            </w:pPr>
          </w:p>
        </w:tc>
        <w:tc>
          <w:tcPr>
            <w:tcW w:w="450" w:type="dxa"/>
            <w:tcBorders>
              <w:top w:val="nil"/>
              <w:left w:val="nil"/>
              <w:bottom w:val="nil"/>
              <w:right w:val="nil"/>
            </w:tcBorders>
          </w:tcPr>
          <w:p w14:paraId="5941A9F8" w14:textId="77777777" w:rsidR="00052E38" w:rsidRPr="00341E1A" w:rsidRDefault="00052E38" w:rsidP="002E19DB">
            <w:pPr>
              <w:rPr>
                <w:rFonts w:ascii="Arial" w:hAnsi="Arial" w:cs="Arial"/>
                <w:sz w:val="18"/>
                <w:szCs w:val="18"/>
              </w:rPr>
            </w:pPr>
          </w:p>
        </w:tc>
        <w:tc>
          <w:tcPr>
            <w:tcW w:w="4680" w:type="dxa"/>
            <w:tcBorders>
              <w:top w:val="nil"/>
              <w:left w:val="nil"/>
              <w:bottom w:val="nil"/>
              <w:right w:val="nil"/>
            </w:tcBorders>
          </w:tcPr>
          <w:p w14:paraId="47228568" w14:textId="77777777" w:rsidR="00052E38" w:rsidRPr="00341E1A" w:rsidRDefault="00052E38" w:rsidP="002E19DB">
            <w:pPr>
              <w:rPr>
                <w:rFonts w:ascii="Arial" w:hAnsi="Arial" w:cs="Arial"/>
                <w:sz w:val="18"/>
                <w:szCs w:val="18"/>
              </w:rPr>
            </w:pPr>
          </w:p>
        </w:tc>
      </w:tr>
    </w:tbl>
    <w:p w14:paraId="32180D52" w14:textId="77777777" w:rsidR="00C37462" w:rsidRDefault="00C37462">
      <w:pPr>
        <w:rPr>
          <w:rFonts w:ascii="Arial" w:hAnsi="Arial" w:cs="Arial"/>
          <w:sz w:val="18"/>
          <w:szCs w:val="18"/>
        </w:rPr>
      </w:pPr>
    </w:p>
    <w:tbl>
      <w:tblPr>
        <w:tblW w:w="1115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4867"/>
        <w:gridCol w:w="448"/>
        <w:gridCol w:w="448"/>
        <w:gridCol w:w="4732"/>
        <w:gridCol w:w="135"/>
      </w:tblGrid>
      <w:tr w:rsidR="00157C6C" w:rsidRPr="00A0149B" w14:paraId="77E938DD" w14:textId="77777777" w:rsidTr="000D36DE">
        <w:trPr>
          <w:gridAfter w:val="1"/>
          <w:wAfter w:w="135" w:type="dxa"/>
          <w:trHeight w:val="264"/>
        </w:trPr>
        <w:tc>
          <w:tcPr>
            <w:tcW w:w="11024" w:type="dxa"/>
            <w:gridSpan w:val="5"/>
            <w:tcBorders>
              <w:top w:val="nil"/>
              <w:left w:val="nil"/>
              <w:bottom w:val="single" w:sz="4" w:space="0" w:color="auto"/>
              <w:right w:val="nil"/>
            </w:tcBorders>
            <w:noWrap/>
            <w:vAlign w:val="center"/>
          </w:tcPr>
          <w:p w14:paraId="5FC3D309"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7683EEB6"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3E69B248"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7226FE5F" w14:textId="77777777" w:rsidTr="000D36DE">
        <w:trPr>
          <w:trHeight w:val="264"/>
        </w:trPr>
        <w:tc>
          <w:tcPr>
            <w:tcW w:w="529" w:type="dxa"/>
            <w:tcBorders>
              <w:top w:val="single" w:sz="4" w:space="0" w:color="auto"/>
            </w:tcBorders>
            <w:shd w:val="clear" w:color="auto" w:fill="D9D9D9" w:themeFill="background1" w:themeFillShade="D9"/>
            <w:noWrap/>
            <w:vAlign w:val="center"/>
          </w:tcPr>
          <w:p w14:paraId="493765C7" w14:textId="77777777" w:rsidR="00157C6C" w:rsidRPr="008352D2" w:rsidRDefault="00157C6C" w:rsidP="00157C6C">
            <w:pPr>
              <w:jc w:val="center"/>
              <w:rPr>
                <w:rFonts w:ascii="Arial" w:hAnsi="Arial" w:cs="Arial"/>
                <w:b/>
                <w:sz w:val="18"/>
                <w:szCs w:val="18"/>
              </w:rPr>
            </w:pPr>
          </w:p>
        </w:tc>
        <w:tc>
          <w:tcPr>
            <w:tcW w:w="4867" w:type="dxa"/>
            <w:tcBorders>
              <w:top w:val="single" w:sz="4" w:space="0" w:color="auto"/>
            </w:tcBorders>
            <w:shd w:val="clear" w:color="auto" w:fill="D9D9D9" w:themeFill="background1" w:themeFillShade="D9"/>
            <w:noWrap/>
            <w:vAlign w:val="center"/>
          </w:tcPr>
          <w:p w14:paraId="6D4867EB"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themeFill="background1" w:themeFillShade="D9"/>
            <w:noWrap/>
            <w:vAlign w:val="center"/>
          </w:tcPr>
          <w:p w14:paraId="0DC7A067"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themeFill="background1" w:themeFillShade="D9"/>
            <w:noWrap/>
            <w:vAlign w:val="center"/>
          </w:tcPr>
          <w:p w14:paraId="3E6156FA"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37527A3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2730B0" w:rsidRPr="00A0149B" w14:paraId="3D0C979D" w14:textId="77777777" w:rsidTr="000D36DE">
        <w:trPr>
          <w:trHeight w:val="264"/>
        </w:trPr>
        <w:tc>
          <w:tcPr>
            <w:tcW w:w="529" w:type="dxa"/>
            <w:tcBorders>
              <w:top w:val="single" w:sz="4" w:space="0" w:color="auto"/>
            </w:tcBorders>
            <w:shd w:val="clear" w:color="auto" w:fill="FFFFFF" w:themeFill="background1"/>
            <w:noWrap/>
            <w:vAlign w:val="center"/>
          </w:tcPr>
          <w:p w14:paraId="5CF9686A" w14:textId="57CE6214" w:rsidR="00CD61FE" w:rsidRPr="008D4248" w:rsidRDefault="00CD61FE" w:rsidP="008D4248">
            <w:pPr>
              <w:pStyle w:val="ListParagraph"/>
              <w:numPr>
                <w:ilvl w:val="0"/>
                <w:numId w:val="3"/>
              </w:numPr>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389A5117" w14:textId="77777777" w:rsidR="00177C0A" w:rsidRDefault="00177C0A" w:rsidP="00177C0A">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1325B454" w14:textId="77777777" w:rsidR="00177C0A" w:rsidRDefault="00177C0A" w:rsidP="00177C0A">
            <w:pPr>
              <w:jc w:val="both"/>
              <w:rPr>
                <w:rFonts w:ascii="Arial" w:hAnsi="Arial" w:cs="Arial"/>
                <w:sz w:val="18"/>
                <w:szCs w:val="18"/>
              </w:rPr>
            </w:pPr>
          </w:p>
          <w:p w14:paraId="2883C43F" w14:textId="77777777" w:rsidR="00177C0A" w:rsidRDefault="00177C0A" w:rsidP="00177C0A">
            <w:pPr>
              <w:jc w:val="both"/>
              <w:rPr>
                <w:rFonts w:ascii="Arial" w:hAnsi="Arial"/>
                <w:b/>
                <w:bCs/>
                <w:spacing w:val="-2"/>
                <w:sz w:val="18"/>
                <w:szCs w:val="18"/>
              </w:rPr>
            </w:pPr>
            <w:r>
              <w:rPr>
                <w:rFonts w:ascii="Arial" w:hAnsi="Arial"/>
                <w:b/>
                <w:bCs/>
                <w:spacing w:val="-2"/>
                <w:sz w:val="18"/>
                <w:szCs w:val="18"/>
              </w:rPr>
              <w:t>Date:</w:t>
            </w:r>
          </w:p>
          <w:p w14:paraId="6727858B" w14:textId="6DC652D9" w:rsidR="00CD61FE" w:rsidRPr="00560E41" w:rsidRDefault="00CD61FE" w:rsidP="001B6CAD">
            <w:pPr>
              <w:jc w:val="both"/>
              <w:rPr>
                <w:rFonts w:ascii="Arial" w:hAnsi="Arial" w:cs="Arial"/>
                <w:b/>
                <w:sz w:val="18"/>
                <w:szCs w:val="18"/>
              </w:rPr>
            </w:pPr>
          </w:p>
        </w:tc>
        <w:tc>
          <w:tcPr>
            <w:tcW w:w="448" w:type="dxa"/>
            <w:shd w:val="clear" w:color="auto" w:fill="D9D9D9" w:themeFill="background1" w:themeFillShade="D9"/>
            <w:noWrap/>
            <w:vAlign w:val="center"/>
          </w:tcPr>
          <w:p w14:paraId="723B19EF" w14:textId="77777777" w:rsidR="00CD61FE" w:rsidRPr="00560E41" w:rsidRDefault="00CD61FE" w:rsidP="00560E41">
            <w:pPr>
              <w:jc w:val="center"/>
              <w:rPr>
                <w:rFonts w:ascii="Arial" w:hAnsi="Arial" w:cs="Arial"/>
                <w:b/>
                <w:sz w:val="18"/>
                <w:szCs w:val="18"/>
              </w:rPr>
            </w:pPr>
          </w:p>
        </w:tc>
        <w:tc>
          <w:tcPr>
            <w:tcW w:w="448" w:type="dxa"/>
            <w:noWrap/>
            <w:vAlign w:val="center"/>
          </w:tcPr>
          <w:p w14:paraId="605ECA00" w14:textId="77777777" w:rsidR="00CD61FE" w:rsidRPr="00560E41" w:rsidRDefault="00CD61FE" w:rsidP="00560E41">
            <w:pPr>
              <w:jc w:val="center"/>
              <w:rPr>
                <w:rFonts w:ascii="Arial" w:hAnsi="Arial" w:cs="Arial"/>
                <w:b/>
                <w:sz w:val="18"/>
                <w:szCs w:val="18"/>
              </w:rPr>
            </w:pPr>
          </w:p>
        </w:tc>
        <w:tc>
          <w:tcPr>
            <w:tcW w:w="4867" w:type="dxa"/>
            <w:gridSpan w:val="2"/>
            <w:shd w:val="clear" w:color="auto" w:fill="FFFFFF" w:themeFill="background1"/>
            <w:vAlign w:val="center"/>
          </w:tcPr>
          <w:p w14:paraId="17C898EE" w14:textId="77777777" w:rsidR="00177C0A" w:rsidRDefault="00177C0A" w:rsidP="00177C0A">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F785CA9" w14:textId="4D66ACCB" w:rsidR="00CD61FE" w:rsidRDefault="00CD61FE" w:rsidP="00CD61FE">
            <w:pPr>
              <w:jc w:val="both"/>
              <w:rPr>
                <w:rFonts w:ascii="Arial" w:hAnsi="Arial"/>
                <w:b/>
                <w:bCs/>
                <w:spacing w:val="-2"/>
                <w:sz w:val="18"/>
                <w:szCs w:val="18"/>
              </w:rPr>
            </w:pPr>
          </w:p>
          <w:p w14:paraId="644B6FCA" w14:textId="7C66BF46"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2C177D" w:rsidRPr="00A0149B" w14:paraId="6D4A2D09" w14:textId="77777777" w:rsidTr="000D36DE">
        <w:trPr>
          <w:trHeight w:val="264"/>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7E096" w14:textId="77777777" w:rsidR="00177C0A" w:rsidRPr="008D4248" w:rsidRDefault="00177C0A" w:rsidP="008D4248">
            <w:pPr>
              <w:pStyle w:val="ListParagraph"/>
              <w:numPr>
                <w:ilvl w:val="0"/>
                <w:numId w:val="3"/>
              </w:numPr>
              <w:rPr>
                <w:rFonts w:ascii="Arial" w:hAnsi="Arial" w:cs="Arial"/>
                <w:sz w:val="18"/>
                <w:szCs w:val="18"/>
              </w:rPr>
            </w:pPr>
          </w:p>
        </w:tc>
        <w:tc>
          <w:tcPr>
            <w:tcW w:w="48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FB048" w14:textId="1E868BB0" w:rsidR="00177C0A" w:rsidRDefault="00177C0A" w:rsidP="00177C0A">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w:t>
            </w:r>
            <w:r w:rsidRPr="0075586A">
              <w:rPr>
                <w:rFonts w:ascii="Arial" w:hAnsi="Arial"/>
                <w:spacing w:val="-2"/>
                <w:sz w:val="18"/>
                <w:szCs w:val="18"/>
              </w:rPr>
              <w:t>s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CAB988" w14:textId="77777777" w:rsidR="00177C0A" w:rsidRPr="00560E41" w:rsidRDefault="00177C0A" w:rsidP="00177C0A">
            <w:pPr>
              <w:jc w:val="center"/>
              <w:rPr>
                <w:rFonts w:ascii="Arial" w:hAnsi="Arial" w:cs="Arial"/>
                <w:b/>
                <w:sz w:val="18"/>
                <w:szCs w:val="18"/>
              </w:rPr>
            </w:pPr>
          </w:p>
        </w:tc>
        <w:tc>
          <w:tcPr>
            <w:tcW w:w="448" w:type="dxa"/>
            <w:tcBorders>
              <w:top w:val="single" w:sz="4" w:space="0" w:color="auto"/>
              <w:left w:val="single" w:sz="4" w:space="0" w:color="auto"/>
              <w:bottom w:val="single" w:sz="4" w:space="0" w:color="auto"/>
              <w:right w:val="single" w:sz="4" w:space="0" w:color="auto"/>
            </w:tcBorders>
            <w:noWrap/>
            <w:vAlign w:val="center"/>
          </w:tcPr>
          <w:p w14:paraId="083C8E85" w14:textId="77777777" w:rsidR="00177C0A" w:rsidRPr="00560E41" w:rsidRDefault="00177C0A" w:rsidP="00177C0A">
            <w:pPr>
              <w:jc w:val="center"/>
              <w:rPr>
                <w:rFonts w:ascii="Arial" w:hAnsi="Arial" w:cs="Arial"/>
                <w:b/>
                <w:sz w:val="18"/>
                <w:szCs w:val="18"/>
              </w:rPr>
            </w:pPr>
          </w:p>
        </w:tc>
        <w:tc>
          <w:tcPr>
            <w:tcW w:w="48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43E64" w14:textId="16E4522B" w:rsidR="00177C0A" w:rsidRDefault="00177C0A" w:rsidP="00177C0A">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2730B0" w:rsidRPr="00A0149B" w14:paraId="6BEDCCA0" w14:textId="77777777" w:rsidTr="000D36DE">
        <w:trPr>
          <w:trHeight w:val="264"/>
        </w:trPr>
        <w:tc>
          <w:tcPr>
            <w:tcW w:w="529" w:type="dxa"/>
            <w:tcBorders>
              <w:top w:val="single" w:sz="4" w:space="0" w:color="auto"/>
            </w:tcBorders>
            <w:shd w:val="clear" w:color="auto" w:fill="FFFFFF" w:themeFill="background1"/>
            <w:noWrap/>
            <w:vAlign w:val="center"/>
          </w:tcPr>
          <w:p w14:paraId="272125D9" w14:textId="23957CEC" w:rsidR="00177C0A" w:rsidRPr="008D4248" w:rsidRDefault="00177C0A" w:rsidP="008D4248">
            <w:pPr>
              <w:pStyle w:val="ListParagraph"/>
              <w:numPr>
                <w:ilvl w:val="0"/>
                <w:numId w:val="3"/>
              </w:numPr>
              <w:rPr>
                <w:rFonts w:ascii="Arial" w:hAnsi="Arial" w:cs="Arial"/>
                <w:sz w:val="18"/>
                <w:szCs w:val="18"/>
              </w:rPr>
            </w:pPr>
          </w:p>
        </w:tc>
        <w:tc>
          <w:tcPr>
            <w:tcW w:w="4867" w:type="dxa"/>
            <w:tcBorders>
              <w:top w:val="single" w:sz="4" w:space="0" w:color="auto"/>
            </w:tcBorders>
            <w:shd w:val="clear" w:color="auto" w:fill="FFFFFF" w:themeFill="background1"/>
            <w:noWrap/>
            <w:vAlign w:val="center"/>
          </w:tcPr>
          <w:p w14:paraId="3DB5B812" w14:textId="77777777" w:rsidR="00177C0A" w:rsidRDefault="00177C0A" w:rsidP="00177C0A">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themeFill="background1"/>
            <w:noWrap/>
            <w:vAlign w:val="center"/>
          </w:tcPr>
          <w:p w14:paraId="7F6353E4" w14:textId="77777777" w:rsidR="00177C0A" w:rsidRPr="00560E41" w:rsidRDefault="00177C0A" w:rsidP="00177C0A">
            <w:pPr>
              <w:jc w:val="center"/>
              <w:rPr>
                <w:rFonts w:ascii="Arial" w:hAnsi="Arial" w:cs="Arial"/>
                <w:b/>
                <w:sz w:val="18"/>
                <w:szCs w:val="18"/>
              </w:rPr>
            </w:pPr>
          </w:p>
        </w:tc>
        <w:tc>
          <w:tcPr>
            <w:tcW w:w="448" w:type="dxa"/>
            <w:shd w:val="clear" w:color="auto" w:fill="D9D9D9" w:themeFill="background1" w:themeFillShade="D9"/>
            <w:noWrap/>
            <w:vAlign w:val="center"/>
          </w:tcPr>
          <w:p w14:paraId="20964B5D" w14:textId="77777777" w:rsidR="00177C0A" w:rsidRPr="00560E41" w:rsidRDefault="00177C0A" w:rsidP="00177C0A">
            <w:pPr>
              <w:jc w:val="center"/>
              <w:rPr>
                <w:rFonts w:ascii="Arial" w:hAnsi="Arial" w:cs="Arial"/>
                <w:b/>
                <w:sz w:val="18"/>
                <w:szCs w:val="18"/>
              </w:rPr>
            </w:pPr>
          </w:p>
        </w:tc>
        <w:tc>
          <w:tcPr>
            <w:tcW w:w="4867" w:type="dxa"/>
            <w:gridSpan w:val="2"/>
            <w:shd w:val="clear" w:color="auto" w:fill="FFFFFF" w:themeFill="background1"/>
            <w:vAlign w:val="center"/>
          </w:tcPr>
          <w:p w14:paraId="40D5FA3D" w14:textId="6FEFDAE4" w:rsidR="00177C0A" w:rsidRPr="008352D2" w:rsidRDefault="00177C0A" w:rsidP="00177C0A">
            <w:pPr>
              <w:jc w:val="both"/>
              <w:rPr>
                <w:rFonts w:ascii="Arial" w:hAnsi="Arial"/>
                <w:bCs/>
                <w:spacing w:val="-2"/>
                <w:sz w:val="18"/>
                <w:szCs w:val="18"/>
              </w:rPr>
            </w:pPr>
          </w:p>
        </w:tc>
      </w:tr>
      <w:tr w:rsidR="00177C0A" w:rsidRPr="00A0149B" w14:paraId="630768AA" w14:textId="77777777" w:rsidTr="000D36DE">
        <w:trPr>
          <w:trHeight w:val="264"/>
        </w:trPr>
        <w:tc>
          <w:tcPr>
            <w:tcW w:w="529" w:type="dxa"/>
            <w:tcBorders>
              <w:top w:val="single" w:sz="4" w:space="0" w:color="auto"/>
            </w:tcBorders>
            <w:shd w:val="clear" w:color="auto" w:fill="D9D9D9" w:themeFill="background1" w:themeFillShade="D9"/>
            <w:noWrap/>
            <w:vAlign w:val="center"/>
          </w:tcPr>
          <w:p w14:paraId="1CD0077E" w14:textId="77777777" w:rsidR="00177C0A" w:rsidRPr="008D4248" w:rsidRDefault="00177C0A" w:rsidP="00155C16">
            <w:pPr>
              <w:pStyle w:val="ListParagraph"/>
              <w:ind w:left="72"/>
              <w:rPr>
                <w:rFonts w:ascii="Arial" w:hAnsi="Arial" w:cs="Arial"/>
                <w:sz w:val="18"/>
                <w:szCs w:val="18"/>
              </w:rPr>
            </w:pPr>
          </w:p>
        </w:tc>
        <w:tc>
          <w:tcPr>
            <w:tcW w:w="4867" w:type="dxa"/>
            <w:tcBorders>
              <w:top w:val="single" w:sz="4" w:space="0" w:color="auto"/>
            </w:tcBorders>
            <w:shd w:val="clear" w:color="auto" w:fill="D9D9D9" w:themeFill="background1" w:themeFillShade="D9"/>
            <w:noWrap/>
            <w:vAlign w:val="center"/>
          </w:tcPr>
          <w:p w14:paraId="73BC3FDE" w14:textId="77777777" w:rsidR="00177C0A" w:rsidRPr="00560E41" w:rsidRDefault="00177C0A" w:rsidP="00177C0A">
            <w:pPr>
              <w:jc w:val="center"/>
              <w:rPr>
                <w:rFonts w:ascii="Arial" w:hAnsi="Arial" w:cs="Arial"/>
                <w:b/>
                <w:sz w:val="18"/>
                <w:szCs w:val="18"/>
              </w:rPr>
            </w:pPr>
            <w:r w:rsidRPr="00560E41">
              <w:rPr>
                <w:rFonts w:ascii="Arial" w:hAnsi="Arial" w:cs="Arial"/>
                <w:b/>
                <w:sz w:val="18"/>
                <w:szCs w:val="18"/>
              </w:rPr>
              <w:t>PRESERVATION and STORAGE</w:t>
            </w:r>
          </w:p>
        </w:tc>
        <w:tc>
          <w:tcPr>
            <w:tcW w:w="448" w:type="dxa"/>
            <w:shd w:val="clear" w:color="auto" w:fill="D9D9D9" w:themeFill="background1" w:themeFillShade="D9"/>
            <w:noWrap/>
            <w:vAlign w:val="center"/>
          </w:tcPr>
          <w:p w14:paraId="17EB1259" w14:textId="77777777" w:rsidR="00177C0A" w:rsidRDefault="00177C0A" w:rsidP="00177C0A">
            <w:pPr>
              <w:jc w:val="both"/>
              <w:rPr>
                <w:rFonts w:ascii="Arial" w:hAnsi="Arial" w:cs="Arial"/>
                <w:b/>
                <w:sz w:val="18"/>
                <w:szCs w:val="18"/>
              </w:rPr>
            </w:pPr>
            <w:r>
              <w:rPr>
                <w:rFonts w:ascii="Arial" w:hAnsi="Arial" w:cs="Arial"/>
                <w:b/>
                <w:sz w:val="18"/>
                <w:szCs w:val="18"/>
              </w:rPr>
              <w:t>LAB</w:t>
            </w:r>
          </w:p>
        </w:tc>
        <w:tc>
          <w:tcPr>
            <w:tcW w:w="448" w:type="dxa"/>
            <w:shd w:val="clear" w:color="auto" w:fill="D9D9D9" w:themeFill="background1" w:themeFillShade="D9"/>
            <w:noWrap/>
            <w:vAlign w:val="center"/>
          </w:tcPr>
          <w:p w14:paraId="302BACFC" w14:textId="77777777" w:rsidR="00177C0A" w:rsidRDefault="00177C0A" w:rsidP="00177C0A">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1698126C" w14:textId="77777777" w:rsidR="00177C0A" w:rsidRPr="00560E41" w:rsidRDefault="00177C0A" w:rsidP="00177C0A">
            <w:pPr>
              <w:jc w:val="center"/>
              <w:rPr>
                <w:rFonts w:ascii="Arial" w:hAnsi="Arial" w:cs="Arial"/>
                <w:b/>
                <w:sz w:val="18"/>
                <w:szCs w:val="18"/>
              </w:rPr>
            </w:pPr>
            <w:r w:rsidRPr="00560E41">
              <w:rPr>
                <w:rFonts w:ascii="Arial" w:hAnsi="Arial" w:cs="Arial"/>
                <w:b/>
                <w:sz w:val="18"/>
                <w:szCs w:val="18"/>
              </w:rPr>
              <w:t>EXPLANATION</w:t>
            </w:r>
          </w:p>
        </w:tc>
      </w:tr>
      <w:tr w:rsidR="00177C0A" w:rsidRPr="00A0149B" w14:paraId="489AE876" w14:textId="77777777" w:rsidTr="000D36DE">
        <w:trPr>
          <w:trHeight w:val="264"/>
        </w:trPr>
        <w:tc>
          <w:tcPr>
            <w:tcW w:w="529" w:type="dxa"/>
            <w:tcBorders>
              <w:top w:val="single" w:sz="4" w:space="0" w:color="auto"/>
            </w:tcBorders>
            <w:noWrap/>
            <w:vAlign w:val="center"/>
          </w:tcPr>
          <w:p w14:paraId="2E471AC6" w14:textId="38E6338A" w:rsidR="00177C0A" w:rsidRPr="008D4248" w:rsidRDefault="00177C0A" w:rsidP="008D4248">
            <w:pPr>
              <w:pStyle w:val="ListParagraph"/>
              <w:numPr>
                <w:ilvl w:val="0"/>
                <w:numId w:val="3"/>
              </w:numPr>
              <w:rPr>
                <w:rFonts w:ascii="Arial" w:hAnsi="Arial" w:cs="Arial"/>
                <w:sz w:val="18"/>
                <w:szCs w:val="18"/>
              </w:rPr>
            </w:pPr>
          </w:p>
        </w:tc>
        <w:tc>
          <w:tcPr>
            <w:tcW w:w="4867" w:type="dxa"/>
            <w:tcBorders>
              <w:top w:val="single" w:sz="4" w:space="0" w:color="auto"/>
            </w:tcBorders>
            <w:noWrap/>
            <w:vAlign w:val="center"/>
          </w:tcPr>
          <w:p w14:paraId="78DAEFAC" w14:textId="437EC68A" w:rsidR="00177C0A" w:rsidRPr="00A0149B" w:rsidRDefault="002B6938" w:rsidP="0020258E">
            <w:pPr>
              <w:jc w:val="both"/>
              <w:rPr>
                <w:rFonts w:ascii="Arial" w:hAnsi="Arial" w:cs="Arial"/>
                <w:sz w:val="18"/>
                <w:szCs w:val="18"/>
              </w:rPr>
            </w:pPr>
            <w:r>
              <w:rPr>
                <w:rFonts w:ascii="Arial" w:hAnsi="Arial" w:cs="Arial"/>
                <w:sz w:val="18"/>
                <w:szCs w:val="18"/>
              </w:rPr>
              <w:t>Are aqueous samples collected in triplicate</w:t>
            </w:r>
            <w:r w:rsidR="008857A1">
              <w:rPr>
                <w:rFonts w:ascii="Arial" w:hAnsi="Arial" w:cs="Arial"/>
                <w:sz w:val="18"/>
                <w:szCs w:val="18"/>
              </w:rPr>
              <w:t xml:space="preserve"> </w:t>
            </w:r>
            <w:r w:rsidR="00660E0D" w:rsidRPr="00ED5323">
              <w:rPr>
                <w:rFonts w:ascii="Arial" w:hAnsi="Arial" w:cs="Arial"/>
                <w:sz w:val="18"/>
                <w:szCs w:val="18"/>
              </w:rPr>
              <w:t>without headspace in contaminant-free 40 mL glass VOC vials with Teflon</w:t>
            </w:r>
            <w:r w:rsidR="00660E0D">
              <w:rPr>
                <w:rFonts w:ascii="Arial" w:hAnsi="Arial" w:cs="Arial"/>
                <w:sz w:val="18"/>
                <w:szCs w:val="18"/>
              </w:rPr>
              <w:t xml:space="preserve"> </w:t>
            </w:r>
            <w:r w:rsidR="00660E0D" w:rsidRPr="00ED5323">
              <w:rPr>
                <w:rFonts w:ascii="Arial" w:hAnsi="Arial" w:cs="Arial"/>
                <w:sz w:val="18"/>
                <w:szCs w:val="18"/>
              </w:rPr>
              <w:t>lined</w:t>
            </w:r>
            <w:r w:rsidR="00660E0D">
              <w:rPr>
                <w:rFonts w:ascii="Arial" w:hAnsi="Arial" w:cs="Arial"/>
                <w:sz w:val="18"/>
                <w:szCs w:val="18"/>
              </w:rPr>
              <w:t xml:space="preserve"> </w:t>
            </w:r>
            <w:r w:rsidR="00660E0D" w:rsidRPr="00ED5323">
              <w:rPr>
                <w:rFonts w:ascii="Arial" w:hAnsi="Arial" w:cs="Arial"/>
                <w:sz w:val="18"/>
                <w:szCs w:val="18"/>
              </w:rPr>
              <w:t>septa screw caps?</w:t>
            </w:r>
            <w:r w:rsidR="00660E0D">
              <w:rPr>
                <w:rFonts w:ascii="Arial" w:hAnsi="Arial" w:cs="Arial"/>
                <w:sz w:val="18"/>
                <w:szCs w:val="18"/>
              </w:rPr>
              <w:t xml:space="preserve"> </w:t>
            </w:r>
            <w:r w:rsidR="00660E0D" w:rsidRPr="00ED5323">
              <w:rPr>
                <w:rFonts w:ascii="Arial" w:hAnsi="Arial" w:cs="Arial"/>
                <w:sz w:val="18"/>
                <w:szCs w:val="18"/>
              </w:rPr>
              <w:t xml:space="preserve">[MADEP </w:t>
            </w:r>
            <w:r w:rsidR="00660E0D">
              <w:rPr>
                <w:rFonts w:ascii="Arial" w:hAnsi="Arial" w:cs="Arial"/>
                <w:sz w:val="18"/>
                <w:szCs w:val="18"/>
              </w:rPr>
              <w:t>V</w:t>
            </w:r>
            <w:r w:rsidR="00660E0D" w:rsidRPr="00ED5323">
              <w:rPr>
                <w:rFonts w:ascii="Arial" w:hAnsi="Arial" w:cs="Arial"/>
                <w:sz w:val="18"/>
                <w:szCs w:val="18"/>
              </w:rPr>
              <w:t>PH Rev. 2.1 (</w:t>
            </w:r>
            <w:r w:rsidR="00660E0D">
              <w:rPr>
                <w:rFonts w:ascii="Arial" w:hAnsi="Arial" w:cs="Arial"/>
                <w:sz w:val="18"/>
                <w:szCs w:val="18"/>
              </w:rPr>
              <w:t>Feb 2018</w:t>
            </w:r>
            <w:r w:rsidR="00660E0D" w:rsidRPr="00ED5323">
              <w:rPr>
                <w:rFonts w:ascii="Arial" w:hAnsi="Arial" w:cs="Arial"/>
                <w:sz w:val="18"/>
                <w:szCs w:val="18"/>
              </w:rPr>
              <w:t>) Section 8.1.</w:t>
            </w:r>
            <w:r w:rsidR="00660E0D">
              <w:rPr>
                <w:rFonts w:ascii="Arial" w:hAnsi="Arial" w:cs="Arial"/>
                <w:sz w:val="18"/>
                <w:szCs w:val="18"/>
              </w:rPr>
              <w:t>1 (a)</w:t>
            </w:r>
            <w:r w:rsidR="00660E0D" w:rsidRPr="00ED5323">
              <w:rPr>
                <w:rFonts w:ascii="Arial" w:hAnsi="Arial" w:cs="Arial"/>
                <w:sz w:val="18"/>
                <w:szCs w:val="18"/>
              </w:rPr>
              <w:t>]</w:t>
            </w:r>
          </w:p>
        </w:tc>
        <w:tc>
          <w:tcPr>
            <w:tcW w:w="448" w:type="dxa"/>
            <w:noWrap/>
            <w:vAlign w:val="center"/>
          </w:tcPr>
          <w:p w14:paraId="0229A036" w14:textId="77777777" w:rsidR="00177C0A" w:rsidRPr="00A0149B" w:rsidRDefault="00177C0A" w:rsidP="00177C0A">
            <w:pPr>
              <w:rPr>
                <w:rFonts w:ascii="Arial" w:hAnsi="Arial" w:cs="Arial"/>
                <w:sz w:val="18"/>
                <w:szCs w:val="18"/>
              </w:rPr>
            </w:pPr>
          </w:p>
        </w:tc>
        <w:tc>
          <w:tcPr>
            <w:tcW w:w="448" w:type="dxa"/>
            <w:noWrap/>
            <w:vAlign w:val="center"/>
          </w:tcPr>
          <w:p w14:paraId="11F3DB83" w14:textId="77777777" w:rsidR="00177C0A" w:rsidRPr="00A0149B" w:rsidRDefault="00177C0A" w:rsidP="00177C0A">
            <w:pPr>
              <w:rPr>
                <w:rFonts w:ascii="Arial" w:hAnsi="Arial" w:cs="Arial"/>
                <w:sz w:val="18"/>
                <w:szCs w:val="18"/>
              </w:rPr>
            </w:pPr>
          </w:p>
        </w:tc>
        <w:tc>
          <w:tcPr>
            <w:tcW w:w="4867" w:type="dxa"/>
            <w:gridSpan w:val="2"/>
            <w:vAlign w:val="center"/>
          </w:tcPr>
          <w:p w14:paraId="5338E44B" w14:textId="68EB6B8C" w:rsidR="00415CD7" w:rsidRPr="00A0149B" w:rsidRDefault="00170AD5" w:rsidP="00486148">
            <w:pPr>
              <w:jc w:val="both"/>
              <w:rPr>
                <w:rFonts w:ascii="Arial" w:hAnsi="Arial" w:cs="Arial"/>
                <w:sz w:val="18"/>
                <w:szCs w:val="18"/>
              </w:rPr>
            </w:pPr>
            <w:r>
              <w:rPr>
                <w:rFonts w:ascii="Arial" w:hAnsi="Arial" w:cs="Arial"/>
                <w:sz w:val="18"/>
                <w:szCs w:val="18"/>
              </w:rPr>
              <w:t xml:space="preserve"> </w:t>
            </w:r>
            <w:r w:rsidR="00660E0D">
              <w:rPr>
                <w:rFonts w:ascii="Arial" w:hAnsi="Arial" w:cs="Arial"/>
                <w:sz w:val="18"/>
                <w:szCs w:val="18"/>
              </w:rPr>
              <w:t>No air bubbles allowed in 40 mL vial.</w:t>
            </w:r>
          </w:p>
        </w:tc>
      </w:tr>
      <w:tr w:rsidR="002B6938" w:rsidRPr="00A0149B" w14:paraId="04C3D0BB" w14:textId="77777777" w:rsidTr="000D36DE">
        <w:trPr>
          <w:trHeight w:val="264"/>
        </w:trPr>
        <w:tc>
          <w:tcPr>
            <w:tcW w:w="529" w:type="dxa"/>
            <w:tcBorders>
              <w:top w:val="single" w:sz="4" w:space="0" w:color="auto"/>
            </w:tcBorders>
            <w:noWrap/>
            <w:vAlign w:val="center"/>
          </w:tcPr>
          <w:p w14:paraId="05300B02" w14:textId="77777777" w:rsidR="002B6938" w:rsidRPr="008D4248" w:rsidRDefault="002B6938" w:rsidP="008D4248">
            <w:pPr>
              <w:pStyle w:val="ListParagraph"/>
              <w:numPr>
                <w:ilvl w:val="0"/>
                <w:numId w:val="3"/>
              </w:numPr>
              <w:rPr>
                <w:rFonts w:ascii="Arial" w:hAnsi="Arial" w:cs="Arial"/>
                <w:sz w:val="18"/>
                <w:szCs w:val="18"/>
              </w:rPr>
            </w:pPr>
          </w:p>
        </w:tc>
        <w:tc>
          <w:tcPr>
            <w:tcW w:w="4867" w:type="dxa"/>
            <w:tcBorders>
              <w:top w:val="single" w:sz="4" w:space="0" w:color="auto"/>
            </w:tcBorders>
            <w:noWrap/>
            <w:vAlign w:val="center"/>
          </w:tcPr>
          <w:p w14:paraId="1F22F803" w14:textId="006FEE74" w:rsidR="002B6938" w:rsidRPr="00ED5323" w:rsidRDefault="002B6938" w:rsidP="0020258E">
            <w:pPr>
              <w:jc w:val="both"/>
              <w:rPr>
                <w:rFonts w:ascii="Arial" w:hAnsi="Arial" w:cs="Arial"/>
                <w:sz w:val="18"/>
                <w:szCs w:val="18"/>
              </w:rPr>
            </w:pPr>
            <w:r w:rsidRPr="00ED5323">
              <w:rPr>
                <w:rFonts w:ascii="Arial" w:hAnsi="Arial" w:cs="Arial"/>
                <w:sz w:val="18"/>
                <w:szCs w:val="18"/>
              </w:rPr>
              <w:t xml:space="preserve">Are aqueous samples preserved to pH </w:t>
            </w:r>
            <w:r>
              <w:rPr>
                <w:rFonts w:ascii="Arial" w:hAnsi="Arial" w:cs="Arial"/>
                <w:sz w:val="18"/>
                <w:szCs w:val="18"/>
              </w:rPr>
              <w:t>≤</w:t>
            </w:r>
            <w:r w:rsidRPr="00ED5323">
              <w:rPr>
                <w:rFonts w:ascii="Arial" w:hAnsi="Arial" w:cs="Arial"/>
                <w:sz w:val="18"/>
                <w:szCs w:val="18"/>
              </w:rPr>
              <w:t>2</w:t>
            </w:r>
            <w:r>
              <w:rPr>
                <w:rFonts w:ascii="Arial" w:hAnsi="Arial" w:cs="Arial"/>
                <w:sz w:val="18"/>
                <w:szCs w:val="18"/>
              </w:rPr>
              <w:t xml:space="preserve"> S.U.</w:t>
            </w:r>
            <w:r w:rsidRPr="00ED5323">
              <w:rPr>
                <w:rFonts w:ascii="Arial" w:hAnsi="Arial" w:cs="Arial"/>
                <w:sz w:val="18"/>
                <w:szCs w:val="18"/>
              </w:rPr>
              <w:t xml:space="preserve"> with 1:1 HCl at the time of collection [MADEP </w:t>
            </w:r>
            <w:r>
              <w:rPr>
                <w:rFonts w:ascii="Arial" w:hAnsi="Arial" w:cs="Arial"/>
                <w:sz w:val="18"/>
                <w:szCs w:val="18"/>
              </w:rPr>
              <w:t>V</w:t>
            </w:r>
            <w:r w:rsidRPr="00ED5323">
              <w:rPr>
                <w:rFonts w:ascii="Arial" w:hAnsi="Arial" w:cs="Arial"/>
                <w:sz w:val="18"/>
                <w:szCs w:val="18"/>
              </w:rPr>
              <w:t>PH Rev. 2.1 (</w:t>
            </w:r>
            <w:r>
              <w:rPr>
                <w:rFonts w:ascii="Arial" w:hAnsi="Arial" w:cs="Arial"/>
                <w:sz w:val="18"/>
                <w:szCs w:val="18"/>
              </w:rPr>
              <w:t>Feb 2018</w:t>
            </w:r>
            <w:r w:rsidRPr="00ED5323">
              <w:rPr>
                <w:rFonts w:ascii="Arial" w:hAnsi="Arial" w:cs="Arial"/>
                <w:sz w:val="18"/>
                <w:szCs w:val="18"/>
              </w:rPr>
              <w:t>) Section 8.1.</w:t>
            </w:r>
            <w:r>
              <w:rPr>
                <w:rFonts w:ascii="Arial" w:hAnsi="Arial" w:cs="Arial"/>
                <w:sz w:val="18"/>
                <w:szCs w:val="18"/>
              </w:rPr>
              <w:t>1 (a)</w:t>
            </w:r>
            <w:r w:rsidRPr="00ED5323">
              <w:rPr>
                <w:rFonts w:ascii="Arial" w:hAnsi="Arial" w:cs="Arial"/>
                <w:sz w:val="18"/>
                <w:szCs w:val="18"/>
              </w:rPr>
              <w:t>]</w:t>
            </w:r>
          </w:p>
        </w:tc>
        <w:tc>
          <w:tcPr>
            <w:tcW w:w="448" w:type="dxa"/>
            <w:noWrap/>
            <w:vAlign w:val="center"/>
          </w:tcPr>
          <w:p w14:paraId="1B914BFB" w14:textId="77777777" w:rsidR="002B6938" w:rsidRPr="00A0149B" w:rsidRDefault="002B6938" w:rsidP="00177C0A">
            <w:pPr>
              <w:rPr>
                <w:rFonts w:ascii="Arial" w:hAnsi="Arial" w:cs="Arial"/>
                <w:sz w:val="18"/>
                <w:szCs w:val="18"/>
              </w:rPr>
            </w:pPr>
          </w:p>
        </w:tc>
        <w:tc>
          <w:tcPr>
            <w:tcW w:w="448" w:type="dxa"/>
            <w:noWrap/>
            <w:vAlign w:val="center"/>
          </w:tcPr>
          <w:p w14:paraId="301C9B33" w14:textId="77777777" w:rsidR="002B6938" w:rsidRPr="00A0149B" w:rsidRDefault="002B6938" w:rsidP="00177C0A">
            <w:pPr>
              <w:rPr>
                <w:rFonts w:ascii="Arial" w:hAnsi="Arial" w:cs="Arial"/>
                <w:sz w:val="18"/>
                <w:szCs w:val="18"/>
              </w:rPr>
            </w:pPr>
          </w:p>
        </w:tc>
        <w:tc>
          <w:tcPr>
            <w:tcW w:w="4867" w:type="dxa"/>
            <w:gridSpan w:val="2"/>
            <w:vAlign w:val="center"/>
          </w:tcPr>
          <w:p w14:paraId="547AC426" w14:textId="0A25B987" w:rsidR="002B6938" w:rsidRDefault="002B6938" w:rsidP="002B6938">
            <w:pPr>
              <w:jc w:val="both"/>
              <w:rPr>
                <w:rFonts w:ascii="Arial" w:hAnsi="Arial" w:cs="Arial"/>
                <w:sz w:val="18"/>
                <w:szCs w:val="18"/>
              </w:rPr>
            </w:pPr>
            <w:r>
              <w:rPr>
                <w:rFonts w:ascii="Arial" w:hAnsi="Arial" w:cs="Arial"/>
                <w:sz w:val="18"/>
                <w:szCs w:val="18"/>
              </w:rPr>
              <w:t>Note: All preservation requirements in this checklist assume analysis with an ambient purge temperature.</w:t>
            </w:r>
          </w:p>
        </w:tc>
      </w:tr>
      <w:tr w:rsidR="0014196B" w:rsidRPr="00A0149B" w14:paraId="3C75F9C1" w14:textId="77777777" w:rsidTr="000D36DE">
        <w:trPr>
          <w:trHeight w:val="264"/>
        </w:trPr>
        <w:tc>
          <w:tcPr>
            <w:tcW w:w="529" w:type="dxa"/>
            <w:tcBorders>
              <w:top w:val="single" w:sz="4" w:space="0" w:color="auto"/>
            </w:tcBorders>
            <w:noWrap/>
            <w:vAlign w:val="center"/>
          </w:tcPr>
          <w:p w14:paraId="255AC809" w14:textId="77777777" w:rsidR="0014196B" w:rsidRPr="008D4248" w:rsidRDefault="0014196B" w:rsidP="008D4248">
            <w:pPr>
              <w:pStyle w:val="ListParagraph"/>
              <w:numPr>
                <w:ilvl w:val="0"/>
                <w:numId w:val="3"/>
              </w:numPr>
              <w:rPr>
                <w:rFonts w:ascii="Arial" w:hAnsi="Arial" w:cs="Arial"/>
                <w:sz w:val="18"/>
                <w:szCs w:val="18"/>
              </w:rPr>
            </w:pPr>
          </w:p>
        </w:tc>
        <w:tc>
          <w:tcPr>
            <w:tcW w:w="4867" w:type="dxa"/>
            <w:tcBorders>
              <w:top w:val="single" w:sz="4" w:space="0" w:color="auto"/>
            </w:tcBorders>
            <w:noWrap/>
            <w:vAlign w:val="center"/>
          </w:tcPr>
          <w:p w14:paraId="26B8C874" w14:textId="2AB2A20F" w:rsidR="0014196B" w:rsidRPr="00ED5323" w:rsidRDefault="008435CD" w:rsidP="0020258E">
            <w:pPr>
              <w:jc w:val="both"/>
              <w:rPr>
                <w:rFonts w:ascii="Arial" w:hAnsi="Arial" w:cs="Arial"/>
                <w:sz w:val="18"/>
                <w:szCs w:val="18"/>
              </w:rPr>
            </w:pPr>
            <w:r>
              <w:rPr>
                <w:rFonts w:ascii="Arial" w:hAnsi="Arial" w:cs="Arial"/>
                <w:sz w:val="18"/>
                <w:szCs w:val="18"/>
              </w:rPr>
              <w:t xml:space="preserve">Is the weight of the </w:t>
            </w:r>
            <w:r w:rsidR="00DB6B20">
              <w:rPr>
                <w:rFonts w:ascii="Arial" w:hAnsi="Arial" w:cs="Arial"/>
                <w:sz w:val="18"/>
                <w:szCs w:val="18"/>
              </w:rPr>
              <w:t xml:space="preserve">non-aqueous </w:t>
            </w:r>
            <w:r>
              <w:rPr>
                <w:rFonts w:ascii="Arial" w:hAnsi="Arial" w:cs="Arial"/>
                <w:sz w:val="18"/>
                <w:szCs w:val="18"/>
              </w:rPr>
              <w:t xml:space="preserve">sample vials </w:t>
            </w:r>
            <w:r w:rsidR="00DB6B20">
              <w:rPr>
                <w:rFonts w:ascii="Arial" w:hAnsi="Arial" w:cs="Arial"/>
                <w:sz w:val="18"/>
                <w:szCs w:val="18"/>
              </w:rPr>
              <w:t xml:space="preserve">with preservative </w:t>
            </w:r>
            <w:r w:rsidR="00D62753">
              <w:rPr>
                <w:rFonts w:ascii="Arial" w:hAnsi="Arial" w:cs="Arial"/>
                <w:sz w:val="18"/>
                <w:szCs w:val="18"/>
              </w:rPr>
              <w:t>determined</w:t>
            </w:r>
            <w:r w:rsidR="000901A7">
              <w:rPr>
                <w:rFonts w:ascii="Arial" w:hAnsi="Arial" w:cs="Arial"/>
                <w:sz w:val="18"/>
                <w:szCs w:val="18"/>
              </w:rPr>
              <w:t xml:space="preserve"> prior to </w:t>
            </w:r>
            <w:r w:rsidR="007F05FB">
              <w:rPr>
                <w:rFonts w:ascii="Arial" w:hAnsi="Arial" w:cs="Arial"/>
                <w:sz w:val="18"/>
                <w:szCs w:val="18"/>
              </w:rPr>
              <w:t xml:space="preserve">sample collection? </w:t>
            </w:r>
            <w:r w:rsidR="00291645" w:rsidRPr="00347086">
              <w:rPr>
                <w:rFonts w:ascii="Arial" w:hAnsi="Arial" w:cs="Arial"/>
                <w:sz w:val="18"/>
                <w:szCs w:val="18"/>
              </w:rPr>
              <w:t>[MADEP VPH Rev. 2.1 (Feb 2018) Section</w:t>
            </w:r>
            <w:r w:rsidR="00291645">
              <w:rPr>
                <w:rFonts w:ascii="Arial" w:hAnsi="Arial" w:cs="Arial"/>
                <w:sz w:val="18"/>
                <w:szCs w:val="18"/>
              </w:rPr>
              <w:t xml:space="preserve"> </w:t>
            </w:r>
            <w:r w:rsidR="00853B17">
              <w:rPr>
                <w:rFonts w:ascii="Arial" w:hAnsi="Arial" w:cs="Arial"/>
                <w:sz w:val="18"/>
                <w:szCs w:val="18"/>
              </w:rPr>
              <w:t>9.</w:t>
            </w:r>
            <w:r w:rsidR="006260A8">
              <w:rPr>
                <w:rFonts w:ascii="Arial" w:hAnsi="Arial" w:cs="Arial"/>
                <w:sz w:val="18"/>
                <w:szCs w:val="18"/>
              </w:rPr>
              <w:t>1.</w:t>
            </w:r>
            <w:r w:rsidR="00853B17">
              <w:rPr>
                <w:rFonts w:ascii="Arial" w:hAnsi="Arial" w:cs="Arial"/>
                <w:sz w:val="18"/>
                <w:szCs w:val="18"/>
              </w:rPr>
              <w:t>3.1</w:t>
            </w:r>
            <w:r w:rsidR="00291645" w:rsidRPr="00347086">
              <w:rPr>
                <w:rFonts w:ascii="Arial" w:hAnsi="Arial" w:cs="Arial"/>
                <w:sz w:val="18"/>
                <w:szCs w:val="18"/>
              </w:rPr>
              <w:t>]</w:t>
            </w:r>
          </w:p>
        </w:tc>
        <w:tc>
          <w:tcPr>
            <w:tcW w:w="448" w:type="dxa"/>
            <w:noWrap/>
            <w:vAlign w:val="center"/>
          </w:tcPr>
          <w:p w14:paraId="19EED30C" w14:textId="77777777" w:rsidR="0014196B" w:rsidRPr="00A0149B" w:rsidRDefault="0014196B" w:rsidP="00177C0A">
            <w:pPr>
              <w:rPr>
                <w:rFonts w:ascii="Arial" w:hAnsi="Arial" w:cs="Arial"/>
                <w:sz w:val="18"/>
                <w:szCs w:val="18"/>
              </w:rPr>
            </w:pPr>
          </w:p>
        </w:tc>
        <w:tc>
          <w:tcPr>
            <w:tcW w:w="448" w:type="dxa"/>
            <w:noWrap/>
            <w:vAlign w:val="center"/>
          </w:tcPr>
          <w:p w14:paraId="7A234314" w14:textId="77777777" w:rsidR="0014196B" w:rsidRPr="00A0149B" w:rsidRDefault="0014196B" w:rsidP="00177C0A">
            <w:pPr>
              <w:rPr>
                <w:rFonts w:ascii="Arial" w:hAnsi="Arial" w:cs="Arial"/>
                <w:sz w:val="18"/>
                <w:szCs w:val="18"/>
              </w:rPr>
            </w:pPr>
          </w:p>
        </w:tc>
        <w:tc>
          <w:tcPr>
            <w:tcW w:w="4867" w:type="dxa"/>
            <w:gridSpan w:val="2"/>
            <w:vAlign w:val="center"/>
          </w:tcPr>
          <w:p w14:paraId="35D160A9" w14:textId="2DEE55A5" w:rsidR="0014196B" w:rsidRDefault="00CA00DD" w:rsidP="00CA00DD">
            <w:pPr>
              <w:jc w:val="both"/>
              <w:rPr>
                <w:rFonts w:ascii="Arial" w:hAnsi="Arial" w:cs="Arial"/>
                <w:sz w:val="18"/>
                <w:szCs w:val="18"/>
              </w:rPr>
            </w:pPr>
            <w:r w:rsidRPr="00CA00DD">
              <w:rPr>
                <w:rFonts w:ascii="Arial" w:hAnsi="Arial" w:cs="Arial"/>
                <w:sz w:val="18"/>
                <w:szCs w:val="18"/>
              </w:rPr>
              <w:t>Weigh the sample vial to 0.1 g on a top-loading balance and determine the weight of the</w:t>
            </w:r>
            <w:r>
              <w:rPr>
                <w:rFonts w:ascii="Arial" w:hAnsi="Arial" w:cs="Arial"/>
                <w:sz w:val="18"/>
                <w:szCs w:val="18"/>
              </w:rPr>
              <w:t xml:space="preserve"> </w:t>
            </w:r>
            <w:r w:rsidRPr="00CA00DD">
              <w:rPr>
                <w:rFonts w:ascii="Arial" w:hAnsi="Arial" w:cs="Arial"/>
                <w:sz w:val="18"/>
                <w:szCs w:val="18"/>
              </w:rPr>
              <w:t>soil/sediment sample; this determination requires knowledge of the empty/tared weight of</w:t>
            </w:r>
            <w:r>
              <w:rPr>
                <w:rFonts w:ascii="Arial" w:hAnsi="Arial" w:cs="Arial"/>
                <w:sz w:val="18"/>
                <w:szCs w:val="18"/>
              </w:rPr>
              <w:t xml:space="preserve"> </w:t>
            </w:r>
            <w:r w:rsidRPr="00CA00DD">
              <w:rPr>
                <w:rFonts w:ascii="Arial" w:hAnsi="Arial" w:cs="Arial"/>
                <w:sz w:val="18"/>
                <w:szCs w:val="18"/>
              </w:rPr>
              <w:t>the sample vial and volume/weight of methanol preservative that was added to the sample</w:t>
            </w:r>
            <w:r>
              <w:rPr>
                <w:rFonts w:ascii="Arial" w:hAnsi="Arial" w:cs="Arial"/>
                <w:sz w:val="18"/>
                <w:szCs w:val="18"/>
              </w:rPr>
              <w:t xml:space="preserve"> </w:t>
            </w:r>
            <w:r w:rsidRPr="00CA00DD">
              <w:rPr>
                <w:rFonts w:ascii="Arial" w:hAnsi="Arial" w:cs="Arial"/>
                <w:sz w:val="18"/>
                <w:szCs w:val="18"/>
              </w:rPr>
              <w:t>vial.</w:t>
            </w:r>
          </w:p>
        </w:tc>
      </w:tr>
      <w:tr w:rsidR="00177C0A" w:rsidRPr="00A0149B" w14:paraId="6D6CA248" w14:textId="77777777" w:rsidTr="000D36DE">
        <w:trPr>
          <w:trHeight w:val="264"/>
        </w:trPr>
        <w:tc>
          <w:tcPr>
            <w:tcW w:w="529" w:type="dxa"/>
            <w:noWrap/>
            <w:vAlign w:val="center"/>
          </w:tcPr>
          <w:p w14:paraId="79D4E130" w14:textId="72540BBF"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76CFE4F9" w14:textId="2B04B1B1" w:rsidR="00177C0A" w:rsidRPr="0067392B" w:rsidRDefault="00177C0A" w:rsidP="0020258E">
            <w:pPr>
              <w:jc w:val="both"/>
              <w:rPr>
                <w:rFonts w:ascii="Arial" w:hAnsi="Arial" w:cs="Arial"/>
                <w:sz w:val="18"/>
                <w:szCs w:val="18"/>
              </w:rPr>
            </w:pPr>
            <w:r w:rsidRPr="00ED5323">
              <w:rPr>
                <w:rFonts w:ascii="Arial" w:hAnsi="Arial" w:cs="Arial"/>
                <w:sz w:val="18"/>
                <w:szCs w:val="18"/>
              </w:rPr>
              <w:t xml:space="preserve">Are non-aqueous samples collected </w:t>
            </w:r>
            <w:r w:rsidRPr="00347086">
              <w:rPr>
                <w:rFonts w:ascii="Arial" w:hAnsi="Arial" w:cs="Arial"/>
                <w:sz w:val="18"/>
                <w:szCs w:val="18"/>
              </w:rPr>
              <w:t xml:space="preserve">in </w:t>
            </w:r>
            <w:r w:rsidR="00626E09">
              <w:rPr>
                <w:rFonts w:ascii="Arial" w:hAnsi="Arial" w:cs="Arial"/>
                <w:sz w:val="18"/>
                <w:szCs w:val="18"/>
              </w:rPr>
              <w:t>duplicate</w:t>
            </w:r>
            <w:r w:rsidR="002B6938">
              <w:rPr>
                <w:rFonts w:ascii="Arial" w:hAnsi="Arial" w:cs="Arial"/>
                <w:sz w:val="18"/>
                <w:szCs w:val="18"/>
              </w:rPr>
              <w:t xml:space="preserve"> in 60-mL or</w:t>
            </w:r>
            <w:r w:rsidRPr="00347086">
              <w:rPr>
                <w:rFonts w:ascii="Arial" w:hAnsi="Arial" w:cs="Arial"/>
                <w:sz w:val="18"/>
                <w:szCs w:val="18"/>
              </w:rPr>
              <w:t xml:space="preserve"> 40-mL VOC vials with</w:t>
            </w:r>
            <w:r>
              <w:rPr>
                <w:rFonts w:ascii="Arial" w:hAnsi="Arial" w:cs="Arial"/>
                <w:sz w:val="18"/>
                <w:szCs w:val="18"/>
              </w:rPr>
              <w:t xml:space="preserve"> </w:t>
            </w:r>
            <w:r w:rsidRPr="00347086">
              <w:rPr>
                <w:rFonts w:ascii="Arial" w:hAnsi="Arial" w:cs="Arial"/>
                <w:sz w:val="18"/>
                <w:szCs w:val="18"/>
              </w:rPr>
              <w:t>Teflon-lined septa screw caps</w:t>
            </w:r>
            <w:r w:rsidRPr="00ED5323">
              <w:rPr>
                <w:rFonts w:ascii="Arial" w:hAnsi="Arial" w:cs="Arial"/>
                <w:sz w:val="18"/>
                <w:szCs w:val="18"/>
              </w:rPr>
              <w:t xml:space="preserve">? </w:t>
            </w:r>
            <w:r w:rsidRPr="00347086">
              <w:rPr>
                <w:rFonts w:ascii="Arial" w:hAnsi="Arial" w:cs="Arial"/>
                <w:sz w:val="18"/>
                <w:szCs w:val="18"/>
              </w:rPr>
              <w:t>[MADEP VPH Rev. 2.1 (Feb 2018) Section</w:t>
            </w:r>
            <w:r>
              <w:rPr>
                <w:rFonts w:ascii="Arial" w:hAnsi="Arial" w:cs="Arial"/>
                <w:sz w:val="18"/>
                <w:szCs w:val="18"/>
              </w:rPr>
              <w:t xml:space="preserve"> 8.2.4</w:t>
            </w:r>
            <w:r w:rsidRPr="00347086">
              <w:rPr>
                <w:rFonts w:ascii="Arial" w:hAnsi="Arial" w:cs="Arial"/>
                <w:sz w:val="18"/>
                <w:szCs w:val="18"/>
              </w:rPr>
              <w:t>]</w:t>
            </w:r>
          </w:p>
        </w:tc>
        <w:tc>
          <w:tcPr>
            <w:tcW w:w="448" w:type="dxa"/>
            <w:noWrap/>
            <w:vAlign w:val="center"/>
          </w:tcPr>
          <w:p w14:paraId="20900C16" w14:textId="77777777" w:rsidR="00177C0A" w:rsidRPr="00A0149B" w:rsidRDefault="00177C0A" w:rsidP="00177C0A">
            <w:pPr>
              <w:rPr>
                <w:rFonts w:ascii="Arial" w:hAnsi="Arial" w:cs="Arial"/>
                <w:sz w:val="18"/>
                <w:szCs w:val="18"/>
              </w:rPr>
            </w:pPr>
          </w:p>
        </w:tc>
        <w:tc>
          <w:tcPr>
            <w:tcW w:w="448" w:type="dxa"/>
            <w:noWrap/>
            <w:vAlign w:val="center"/>
          </w:tcPr>
          <w:p w14:paraId="512C638F" w14:textId="77777777" w:rsidR="00177C0A" w:rsidRPr="00A0149B" w:rsidRDefault="00177C0A" w:rsidP="00177C0A">
            <w:pPr>
              <w:rPr>
                <w:rFonts w:ascii="Arial" w:hAnsi="Arial" w:cs="Arial"/>
                <w:sz w:val="18"/>
                <w:szCs w:val="18"/>
              </w:rPr>
            </w:pPr>
          </w:p>
        </w:tc>
        <w:tc>
          <w:tcPr>
            <w:tcW w:w="4867" w:type="dxa"/>
            <w:gridSpan w:val="2"/>
            <w:vAlign w:val="center"/>
          </w:tcPr>
          <w:p w14:paraId="2EF44E4D" w14:textId="53FE6EB8" w:rsidR="00177C0A" w:rsidRPr="00A0149B" w:rsidRDefault="00445007" w:rsidP="00445007">
            <w:pPr>
              <w:jc w:val="both"/>
              <w:rPr>
                <w:rFonts w:ascii="Arial" w:hAnsi="Arial" w:cs="Arial"/>
                <w:sz w:val="18"/>
                <w:szCs w:val="18"/>
              </w:rPr>
            </w:pPr>
            <w:r w:rsidRPr="00445007">
              <w:rPr>
                <w:rFonts w:ascii="Arial" w:hAnsi="Arial" w:cs="Arial"/>
                <w:sz w:val="18"/>
                <w:szCs w:val="18"/>
              </w:rPr>
              <w:t>Samples for VPH analysis should be collected in duplicate 60-mL or 40-mL VOC vials with</w:t>
            </w:r>
            <w:r>
              <w:rPr>
                <w:rFonts w:ascii="Arial" w:hAnsi="Arial" w:cs="Arial"/>
                <w:sz w:val="18"/>
                <w:szCs w:val="18"/>
              </w:rPr>
              <w:t xml:space="preserve"> </w:t>
            </w:r>
            <w:r w:rsidRPr="00445007">
              <w:rPr>
                <w:rFonts w:ascii="Arial" w:hAnsi="Arial" w:cs="Arial"/>
                <w:sz w:val="18"/>
                <w:szCs w:val="18"/>
              </w:rPr>
              <w:t>Teflon-lined septa screw caps. An additional sample of the soil/sediment must also be obtained</w:t>
            </w:r>
            <w:r>
              <w:rPr>
                <w:rFonts w:ascii="Arial" w:hAnsi="Arial" w:cs="Arial"/>
                <w:sz w:val="18"/>
                <w:szCs w:val="18"/>
              </w:rPr>
              <w:t xml:space="preserve"> </w:t>
            </w:r>
            <w:r w:rsidRPr="00445007">
              <w:rPr>
                <w:rFonts w:ascii="Arial" w:hAnsi="Arial" w:cs="Arial"/>
                <w:sz w:val="18"/>
                <w:szCs w:val="18"/>
              </w:rPr>
              <w:t>(without methanol) to allow for a determination of moisture content and VPH dry weight correction</w:t>
            </w:r>
            <w:r>
              <w:rPr>
                <w:rFonts w:ascii="Arial" w:hAnsi="Arial" w:cs="Arial"/>
                <w:sz w:val="18"/>
                <w:szCs w:val="18"/>
              </w:rPr>
              <w:t xml:space="preserve"> </w:t>
            </w:r>
            <w:r w:rsidRPr="00445007">
              <w:rPr>
                <w:rFonts w:ascii="Arial" w:hAnsi="Arial" w:cs="Arial"/>
                <w:sz w:val="18"/>
                <w:szCs w:val="18"/>
              </w:rPr>
              <w:t>factors.</w:t>
            </w:r>
          </w:p>
        </w:tc>
      </w:tr>
      <w:tr w:rsidR="00486148" w:rsidRPr="00A0149B" w14:paraId="6F1FDBCF" w14:textId="77777777" w:rsidTr="000D36DE">
        <w:trPr>
          <w:trHeight w:val="264"/>
        </w:trPr>
        <w:tc>
          <w:tcPr>
            <w:tcW w:w="529" w:type="dxa"/>
            <w:noWrap/>
            <w:vAlign w:val="center"/>
          </w:tcPr>
          <w:p w14:paraId="422662EB" w14:textId="77777777" w:rsidR="00486148" w:rsidRPr="008D4248" w:rsidRDefault="00486148" w:rsidP="008D4248">
            <w:pPr>
              <w:pStyle w:val="ListParagraph"/>
              <w:numPr>
                <w:ilvl w:val="0"/>
                <w:numId w:val="3"/>
              </w:numPr>
              <w:rPr>
                <w:rFonts w:ascii="Arial" w:hAnsi="Arial" w:cs="Arial"/>
                <w:sz w:val="18"/>
                <w:szCs w:val="18"/>
              </w:rPr>
            </w:pPr>
          </w:p>
        </w:tc>
        <w:tc>
          <w:tcPr>
            <w:tcW w:w="4867" w:type="dxa"/>
            <w:noWrap/>
            <w:vAlign w:val="center"/>
          </w:tcPr>
          <w:p w14:paraId="55AD999A" w14:textId="51EB4EEC" w:rsidR="00486148" w:rsidRPr="00ED5323" w:rsidRDefault="00486148" w:rsidP="0020258E">
            <w:pPr>
              <w:jc w:val="both"/>
              <w:rPr>
                <w:rFonts w:ascii="Arial" w:hAnsi="Arial" w:cs="Arial"/>
                <w:sz w:val="18"/>
                <w:szCs w:val="18"/>
              </w:rPr>
            </w:pPr>
            <w:r>
              <w:rPr>
                <w:rFonts w:ascii="Arial" w:hAnsi="Arial" w:cs="Arial"/>
                <w:sz w:val="18"/>
                <w:szCs w:val="18"/>
              </w:rPr>
              <w:t xml:space="preserve">Are </w:t>
            </w:r>
            <w:r w:rsidR="008D45C6">
              <w:rPr>
                <w:rFonts w:ascii="Arial" w:hAnsi="Arial" w:cs="Arial"/>
                <w:sz w:val="18"/>
                <w:szCs w:val="18"/>
              </w:rPr>
              <w:t xml:space="preserve">non-aqueous samples completely covered </w:t>
            </w:r>
            <w:r w:rsidR="00113376">
              <w:rPr>
                <w:rFonts w:ascii="Arial" w:hAnsi="Arial" w:cs="Arial"/>
                <w:sz w:val="18"/>
                <w:szCs w:val="18"/>
              </w:rPr>
              <w:t xml:space="preserve">with methanol </w:t>
            </w:r>
            <w:r w:rsidR="0091795F">
              <w:rPr>
                <w:rFonts w:ascii="Arial" w:hAnsi="Arial" w:cs="Arial"/>
                <w:sz w:val="18"/>
                <w:szCs w:val="18"/>
              </w:rPr>
              <w:t xml:space="preserve">preservative </w:t>
            </w:r>
            <w:r w:rsidR="00AA707E">
              <w:rPr>
                <w:rFonts w:ascii="Arial" w:hAnsi="Arial" w:cs="Arial"/>
                <w:sz w:val="18"/>
                <w:szCs w:val="18"/>
              </w:rPr>
              <w:t>upon</w:t>
            </w:r>
            <w:r w:rsidR="00113376">
              <w:rPr>
                <w:rFonts w:ascii="Arial" w:hAnsi="Arial" w:cs="Arial"/>
                <w:sz w:val="18"/>
                <w:szCs w:val="18"/>
              </w:rPr>
              <w:t xml:space="preserve"> collection? </w:t>
            </w:r>
            <w:r w:rsidR="00113376" w:rsidRPr="00347086">
              <w:rPr>
                <w:rFonts w:ascii="Arial" w:hAnsi="Arial" w:cs="Arial"/>
                <w:sz w:val="18"/>
                <w:szCs w:val="18"/>
              </w:rPr>
              <w:t>[MADEP VPH Rev. 2.1 (Feb 2018) Section</w:t>
            </w:r>
            <w:r w:rsidR="00AC47CE">
              <w:rPr>
                <w:rFonts w:ascii="Arial" w:hAnsi="Arial" w:cs="Arial"/>
                <w:sz w:val="18"/>
                <w:szCs w:val="18"/>
              </w:rPr>
              <w:t>s 8.2.2 and</w:t>
            </w:r>
            <w:r w:rsidR="00113376">
              <w:rPr>
                <w:rFonts w:ascii="Arial" w:hAnsi="Arial" w:cs="Arial"/>
                <w:sz w:val="18"/>
                <w:szCs w:val="18"/>
              </w:rPr>
              <w:t xml:space="preserve"> </w:t>
            </w:r>
            <w:r w:rsidR="00113376" w:rsidRPr="00347086">
              <w:rPr>
                <w:rFonts w:ascii="Arial" w:hAnsi="Arial" w:cs="Arial"/>
                <w:sz w:val="18"/>
                <w:szCs w:val="18"/>
              </w:rPr>
              <w:t>8.</w:t>
            </w:r>
            <w:r w:rsidR="00113376">
              <w:rPr>
                <w:rFonts w:ascii="Arial" w:hAnsi="Arial" w:cs="Arial"/>
                <w:sz w:val="18"/>
                <w:szCs w:val="18"/>
              </w:rPr>
              <w:t>2</w:t>
            </w:r>
            <w:r w:rsidR="00113376" w:rsidRPr="00347086">
              <w:rPr>
                <w:rFonts w:ascii="Arial" w:hAnsi="Arial" w:cs="Arial"/>
                <w:sz w:val="18"/>
                <w:szCs w:val="18"/>
              </w:rPr>
              <w:t>.</w:t>
            </w:r>
            <w:r w:rsidR="00113376">
              <w:rPr>
                <w:rFonts w:ascii="Arial" w:hAnsi="Arial" w:cs="Arial"/>
                <w:sz w:val="18"/>
                <w:szCs w:val="18"/>
              </w:rPr>
              <w:t>3</w:t>
            </w:r>
            <w:r w:rsidR="00113376" w:rsidRPr="00347086">
              <w:rPr>
                <w:rFonts w:ascii="Arial" w:hAnsi="Arial" w:cs="Arial"/>
                <w:sz w:val="18"/>
                <w:szCs w:val="18"/>
              </w:rPr>
              <w:t>]</w:t>
            </w:r>
          </w:p>
        </w:tc>
        <w:tc>
          <w:tcPr>
            <w:tcW w:w="448" w:type="dxa"/>
            <w:noWrap/>
            <w:vAlign w:val="center"/>
          </w:tcPr>
          <w:p w14:paraId="7FEA86AD" w14:textId="77777777" w:rsidR="00486148" w:rsidRPr="00A0149B" w:rsidRDefault="00486148" w:rsidP="00177C0A">
            <w:pPr>
              <w:rPr>
                <w:rFonts w:ascii="Arial" w:hAnsi="Arial" w:cs="Arial"/>
                <w:sz w:val="18"/>
                <w:szCs w:val="18"/>
              </w:rPr>
            </w:pPr>
          </w:p>
        </w:tc>
        <w:tc>
          <w:tcPr>
            <w:tcW w:w="448" w:type="dxa"/>
            <w:noWrap/>
            <w:vAlign w:val="center"/>
          </w:tcPr>
          <w:p w14:paraId="633DA3F7" w14:textId="77777777" w:rsidR="00486148" w:rsidRPr="00A0149B" w:rsidRDefault="00486148" w:rsidP="00177C0A">
            <w:pPr>
              <w:rPr>
                <w:rFonts w:ascii="Arial" w:hAnsi="Arial" w:cs="Arial"/>
                <w:sz w:val="18"/>
                <w:szCs w:val="18"/>
              </w:rPr>
            </w:pPr>
          </w:p>
        </w:tc>
        <w:tc>
          <w:tcPr>
            <w:tcW w:w="4867" w:type="dxa"/>
            <w:gridSpan w:val="2"/>
            <w:vAlign w:val="center"/>
          </w:tcPr>
          <w:p w14:paraId="27905D39" w14:textId="4D8569C5" w:rsidR="00FA143B" w:rsidRDefault="00FA143B" w:rsidP="00FA143B">
            <w:pPr>
              <w:jc w:val="both"/>
              <w:rPr>
                <w:rFonts w:ascii="Arial" w:hAnsi="Arial" w:cs="Arial"/>
                <w:sz w:val="18"/>
                <w:szCs w:val="18"/>
              </w:rPr>
            </w:pPr>
            <w:r w:rsidRPr="00FA143B">
              <w:rPr>
                <w:rFonts w:ascii="Arial" w:hAnsi="Arial" w:cs="Arial"/>
                <w:b/>
                <w:bCs/>
                <w:sz w:val="18"/>
                <w:szCs w:val="18"/>
              </w:rPr>
              <w:t xml:space="preserve">Methanol preservation of soil/sediment samples is mandatory. </w:t>
            </w:r>
            <w:r w:rsidRPr="00FA143B">
              <w:rPr>
                <w:rFonts w:ascii="Arial" w:hAnsi="Arial" w:cs="Arial"/>
                <w:sz w:val="18"/>
                <w:szCs w:val="18"/>
              </w:rPr>
              <w:t>Methanol (purge-and-trap grade)</w:t>
            </w:r>
            <w:r>
              <w:rPr>
                <w:rFonts w:ascii="Arial" w:hAnsi="Arial" w:cs="Arial"/>
                <w:sz w:val="18"/>
                <w:szCs w:val="18"/>
              </w:rPr>
              <w:t xml:space="preserve"> </w:t>
            </w:r>
            <w:r w:rsidRPr="00FA143B">
              <w:rPr>
                <w:rFonts w:ascii="Arial" w:hAnsi="Arial" w:cs="Arial"/>
                <w:sz w:val="18"/>
                <w:szCs w:val="18"/>
              </w:rPr>
              <w:t>must be added to the sample vial before or immediately after sample collection.</w:t>
            </w:r>
          </w:p>
          <w:p w14:paraId="7FA78BAA" w14:textId="77777777" w:rsidR="00FA143B" w:rsidRDefault="00FA143B" w:rsidP="0020258E">
            <w:pPr>
              <w:jc w:val="both"/>
              <w:rPr>
                <w:rFonts w:ascii="Arial" w:hAnsi="Arial" w:cs="Arial"/>
                <w:sz w:val="18"/>
                <w:szCs w:val="18"/>
              </w:rPr>
            </w:pPr>
          </w:p>
          <w:p w14:paraId="4EC82427" w14:textId="1FDD1627" w:rsidR="00486148" w:rsidRPr="00347086" w:rsidRDefault="00CA473D" w:rsidP="0020258E">
            <w:pPr>
              <w:jc w:val="both"/>
              <w:rPr>
                <w:rFonts w:ascii="Arial" w:hAnsi="Arial" w:cs="Arial"/>
                <w:sz w:val="18"/>
                <w:szCs w:val="18"/>
              </w:rPr>
            </w:pPr>
            <w:r w:rsidRPr="00347086">
              <w:rPr>
                <w:rFonts w:ascii="Arial" w:hAnsi="Arial" w:cs="Arial"/>
                <w:sz w:val="18"/>
                <w:szCs w:val="18"/>
              </w:rPr>
              <w:t>In all cases, the soil/sediment</w:t>
            </w:r>
            <w:r>
              <w:rPr>
                <w:rFonts w:ascii="Arial" w:hAnsi="Arial" w:cs="Arial"/>
                <w:sz w:val="18"/>
                <w:szCs w:val="18"/>
              </w:rPr>
              <w:t xml:space="preserve"> </w:t>
            </w:r>
            <w:r w:rsidRPr="00347086">
              <w:rPr>
                <w:rFonts w:ascii="Arial" w:hAnsi="Arial" w:cs="Arial"/>
                <w:sz w:val="18"/>
                <w:szCs w:val="18"/>
              </w:rPr>
              <w:t>sample in the vial must be completely covered by methanol.</w:t>
            </w:r>
          </w:p>
        </w:tc>
      </w:tr>
      <w:tr w:rsidR="00177C0A" w:rsidRPr="00A0149B" w14:paraId="75993726" w14:textId="77777777" w:rsidTr="000D36DE">
        <w:trPr>
          <w:trHeight w:val="264"/>
        </w:trPr>
        <w:tc>
          <w:tcPr>
            <w:tcW w:w="529" w:type="dxa"/>
            <w:tcBorders>
              <w:bottom w:val="single" w:sz="4" w:space="0" w:color="auto"/>
            </w:tcBorders>
            <w:noWrap/>
            <w:vAlign w:val="center"/>
          </w:tcPr>
          <w:p w14:paraId="7B9A9AD7" w14:textId="4DDCF402" w:rsidR="00177C0A" w:rsidRPr="008D4248" w:rsidRDefault="00177C0A" w:rsidP="008D4248">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75331F84" w14:textId="77777777" w:rsidR="00177C0A" w:rsidRPr="00A0149B" w:rsidRDefault="00177C0A" w:rsidP="0020258E">
            <w:pPr>
              <w:jc w:val="both"/>
              <w:rPr>
                <w:rFonts w:ascii="Arial" w:hAnsi="Arial" w:cs="Arial"/>
                <w:sz w:val="18"/>
                <w:szCs w:val="18"/>
              </w:rPr>
            </w:pPr>
            <w:r w:rsidRPr="003031F0">
              <w:rPr>
                <w:rFonts w:ascii="Arial" w:hAnsi="Arial" w:cs="Arial"/>
                <w:sz w:val="18"/>
                <w:szCs w:val="18"/>
              </w:rPr>
              <w:t>Is an additional sample of the soil/sediment obtained without methanol to allow for a determination of moisture content? [MADEP VPH Rev. 2.1 (Feb 2018) Section 8.2.4]</w:t>
            </w:r>
          </w:p>
        </w:tc>
        <w:tc>
          <w:tcPr>
            <w:tcW w:w="448" w:type="dxa"/>
            <w:tcBorders>
              <w:bottom w:val="single" w:sz="4" w:space="0" w:color="auto"/>
            </w:tcBorders>
            <w:noWrap/>
            <w:vAlign w:val="center"/>
          </w:tcPr>
          <w:p w14:paraId="454CFD12" w14:textId="77777777" w:rsidR="00177C0A" w:rsidRPr="00A0149B" w:rsidRDefault="00177C0A" w:rsidP="00177C0A">
            <w:pPr>
              <w:rPr>
                <w:rFonts w:ascii="Arial" w:hAnsi="Arial" w:cs="Arial"/>
                <w:sz w:val="18"/>
                <w:szCs w:val="18"/>
              </w:rPr>
            </w:pPr>
          </w:p>
        </w:tc>
        <w:tc>
          <w:tcPr>
            <w:tcW w:w="448" w:type="dxa"/>
            <w:tcBorders>
              <w:bottom w:val="single" w:sz="4" w:space="0" w:color="auto"/>
            </w:tcBorders>
            <w:noWrap/>
            <w:vAlign w:val="center"/>
          </w:tcPr>
          <w:p w14:paraId="35956798" w14:textId="77777777" w:rsidR="00177C0A" w:rsidRPr="00A0149B" w:rsidRDefault="00177C0A" w:rsidP="00177C0A">
            <w:pPr>
              <w:rPr>
                <w:rFonts w:ascii="Arial" w:hAnsi="Arial" w:cs="Arial"/>
                <w:sz w:val="18"/>
                <w:szCs w:val="18"/>
              </w:rPr>
            </w:pPr>
          </w:p>
        </w:tc>
        <w:tc>
          <w:tcPr>
            <w:tcW w:w="4867" w:type="dxa"/>
            <w:gridSpan w:val="2"/>
            <w:tcBorders>
              <w:bottom w:val="single" w:sz="4" w:space="0" w:color="auto"/>
            </w:tcBorders>
            <w:vAlign w:val="center"/>
          </w:tcPr>
          <w:p w14:paraId="3FB3F3B5" w14:textId="77777777" w:rsidR="00177C0A" w:rsidRPr="00A0149B" w:rsidRDefault="00177C0A" w:rsidP="0020258E">
            <w:pPr>
              <w:jc w:val="both"/>
              <w:rPr>
                <w:rFonts w:ascii="Arial" w:hAnsi="Arial" w:cs="Arial"/>
                <w:sz w:val="18"/>
                <w:szCs w:val="18"/>
              </w:rPr>
            </w:pPr>
          </w:p>
        </w:tc>
      </w:tr>
      <w:tr w:rsidR="00177C0A" w:rsidRPr="00A0149B" w14:paraId="470743A1" w14:textId="77777777" w:rsidTr="000D36DE">
        <w:trPr>
          <w:trHeight w:val="264"/>
        </w:trPr>
        <w:tc>
          <w:tcPr>
            <w:tcW w:w="529" w:type="dxa"/>
            <w:tcBorders>
              <w:bottom w:val="single" w:sz="4" w:space="0" w:color="auto"/>
            </w:tcBorders>
            <w:noWrap/>
            <w:vAlign w:val="center"/>
          </w:tcPr>
          <w:p w14:paraId="11E5A930" w14:textId="3089C0C0" w:rsidR="00177C0A" w:rsidRPr="008D4248" w:rsidRDefault="00177C0A" w:rsidP="008D4248">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32985DFF" w14:textId="77777777" w:rsidR="00177C0A" w:rsidRPr="004C1F18" w:rsidRDefault="00177C0A" w:rsidP="0020258E">
            <w:pPr>
              <w:jc w:val="both"/>
              <w:rPr>
                <w:rFonts w:ascii="Arial" w:hAnsi="Arial" w:cs="Arial"/>
                <w:sz w:val="18"/>
                <w:szCs w:val="18"/>
              </w:rPr>
            </w:pPr>
            <w:r w:rsidRPr="003031F0">
              <w:rPr>
                <w:rFonts w:ascii="Arial" w:hAnsi="Arial" w:cs="Arial"/>
                <w:sz w:val="18"/>
                <w:szCs w:val="18"/>
              </w:rPr>
              <w:t>Are samples cooled to 0-6°C immediately after collection? [MADEP VPH Rev. 2.1 (Feb 2018) Section 8.1.1 (a) &amp; 8.2.1]</w:t>
            </w:r>
          </w:p>
        </w:tc>
        <w:tc>
          <w:tcPr>
            <w:tcW w:w="448" w:type="dxa"/>
            <w:tcBorders>
              <w:bottom w:val="single" w:sz="4" w:space="0" w:color="auto"/>
            </w:tcBorders>
            <w:noWrap/>
            <w:vAlign w:val="center"/>
          </w:tcPr>
          <w:p w14:paraId="1A5AC506" w14:textId="77777777" w:rsidR="00177C0A" w:rsidRPr="00A0149B" w:rsidRDefault="00177C0A" w:rsidP="00177C0A">
            <w:pPr>
              <w:rPr>
                <w:rFonts w:ascii="Arial" w:hAnsi="Arial" w:cs="Arial"/>
                <w:sz w:val="18"/>
                <w:szCs w:val="18"/>
              </w:rPr>
            </w:pPr>
          </w:p>
        </w:tc>
        <w:tc>
          <w:tcPr>
            <w:tcW w:w="448" w:type="dxa"/>
            <w:tcBorders>
              <w:bottom w:val="single" w:sz="4" w:space="0" w:color="auto"/>
            </w:tcBorders>
            <w:noWrap/>
            <w:vAlign w:val="center"/>
          </w:tcPr>
          <w:p w14:paraId="2745324D" w14:textId="77777777" w:rsidR="00177C0A" w:rsidRPr="00A0149B" w:rsidRDefault="00177C0A" w:rsidP="00177C0A">
            <w:pPr>
              <w:rPr>
                <w:rFonts w:ascii="Arial" w:hAnsi="Arial" w:cs="Arial"/>
                <w:sz w:val="18"/>
                <w:szCs w:val="18"/>
              </w:rPr>
            </w:pPr>
          </w:p>
        </w:tc>
        <w:tc>
          <w:tcPr>
            <w:tcW w:w="4867" w:type="dxa"/>
            <w:gridSpan w:val="2"/>
            <w:tcBorders>
              <w:bottom w:val="single" w:sz="4" w:space="0" w:color="auto"/>
            </w:tcBorders>
            <w:vAlign w:val="center"/>
          </w:tcPr>
          <w:p w14:paraId="24A77384" w14:textId="77777777" w:rsidR="00177C0A" w:rsidRPr="00A0149B" w:rsidRDefault="00177C0A" w:rsidP="0020258E">
            <w:pPr>
              <w:jc w:val="both"/>
              <w:rPr>
                <w:rFonts w:ascii="Arial" w:hAnsi="Arial" w:cs="Arial"/>
                <w:sz w:val="18"/>
                <w:szCs w:val="18"/>
              </w:rPr>
            </w:pPr>
          </w:p>
        </w:tc>
      </w:tr>
      <w:tr w:rsidR="00177C0A" w:rsidRPr="00A0149B" w14:paraId="61404EAA" w14:textId="77777777" w:rsidTr="000D36DE">
        <w:trPr>
          <w:trHeight w:val="264"/>
        </w:trPr>
        <w:tc>
          <w:tcPr>
            <w:tcW w:w="529" w:type="dxa"/>
            <w:tcBorders>
              <w:bottom w:val="single" w:sz="4" w:space="0" w:color="auto"/>
            </w:tcBorders>
            <w:noWrap/>
            <w:vAlign w:val="center"/>
          </w:tcPr>
          <w:p w14:paraId="7CBA458F" w14:textId="2FB45F4A" w:rsidR="00177C0A" w:rsidRPr="008D4248" w:rsidRDefault="00177C0A" w:rsidP="008D4248">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110B897F" w14:textId="77777777" w:rsidR="00177C0A" w:rsidRPr="004C1F18" w:rsidRDefault="00177C0A" w:rsidP="0020258E">
            <w:pPr>
              <w:jc w:val="both"/>
              <w:rPr>
                <w:rFonts w:ascii="Arial" w:hAnsi="Arial" w:cs="Arial"/>
                <w:sz w:val="18"/>
                <w:szCs w:val="18"/>
              </w:rPr>
            </w:pPr>
            <w:r>
              <w:rPr>
                <w:rFonts w:ascii="Arial" w:hAnsi="Arial" w:cs="Arial"/>
                <w:sz w:val="18"/>
                <w:szCs w:val="18"/>
              </w:rPr>
              <w:t>Are a</w:t>
            </w:r>
            <w:r w:rsidRPr="004D1AF2">
              <w:rPr>
                <w:rFonts w:ascii="Arial" w:hAnsi="Arial" w:cs="Arial"/>
                <w:sz w:val="18"/>
                <w:szCs w:val="18"/>
              </w:rPr>
              <w:t>queous samples analyzed within 14 days of collection</w:t>
            </w:r>
            <w:r>
              <w:rPr>
                <w:rFonts w:ascii="Arial" w:hAnsi="Arial" w:cs="Arial"/>
                <w:sz w:val="18"/>
                <w:szCs w:val="18"/>
              </w:rPr>
              <w:t xml:space="preserve">? </w:t>
            </w:r>
            <w:r w:rsidRPr="004D1AF2">
              <w:rPr>
                <w:rFonts w:ascii="Arial" w:hAnsi="Arial" w:cs="Arial"/>
                <w:sz w:val="18"/>
                <w:szCs w:val="18"/>
              </w:rPr>
              <w:t>[MADEP VPH Rev. 2.1 (Feb 2018) Section 8.1.</w:t>
            </w:r>
            <w:r>
              <w:rPr>
                <w:rFonts w:ascii="Arial" w:hAnsi="Arial" w:cs="Arial"/>
                <w:sz w:val="18"/>
                <w:szCs w:val="18"/>
              </w:rPr>
              <w:t>5</w:t>
            </w:r>
            <w:r w:rsidRPr="004D1AF2">
              <w:rPr>
                <w:rFonts w:ascii="Arial" w:hAnsi="Arial" w:cs="Arial"/>
                <w:sz w:val="18"/>
                <w:szCs w:val="18"/>
              </w:rPr>
              <w:t>]</w:t>
            </w:r>
          </w:p>
        </w:tc>
        <w:tc>
          <w:tcPr>
            <w:tcW w:w="448" w:type="dxa"/>
            <w:tcBorders>
              <w:bottom w:val="single" w:sz="4" w:space="0" w:color="auto"/>
            </w:tcBorders>
            <w:noWrap/>
            <w:vAlign w:val="center"/>
          </w:tcPr>
          <w:p w14:paraId="02A67B12" w14:textId="77777777" w:rsidR="00177C0A" w:rsidRPr="00A0149B" w:rsidRDefault="00177C0A" w:rsidP="00177C0A">
            <w:pPr>
              <w:rPr>
                <w:rFonts w:ascii="Arial" w:hAnsi="Arial" w:cs="Arial"/>
                <w:sz w:val="18"/>
                <w:szCs w:val="18"/>
              </w:rPr>
            </w:pPr>
          </w:p>
        </w:tc>
        <w:tc>
          <w:tcPr>
            <w:tcW w:w="448" w:type="dxa"/>
            <w:tcBorders>
              <w:bottom w:val="single" w:sz="4" w:space="0" w:color="auto"/>
            </w:tcBorders>
            <w:noWrap/>
            <w:vAlign w:val="center"/>
          </w:tcPr>
          <w:p w14:paraId="47CC2247" w14:textId="77777777" w:rsidR="00177C0A" w:rsidRPr="00A0149B" w:rsidRDefault="00177C0A" w:rsidP="00177C0A">
            <w:pPr>
              <w:rPr>
                <w:rFonts w:ascii="Arial" w:hAnsi="Arial" w:cs="Arial"/>
                <w:sz w:val="18"/>
                <w:szCs w:val="18"/>
              </w:rPr>
            </w:pPr>
          </w:p>
        </w:tc>
        <w:tc>
          <w:tcPr>
            <w:tcW w:w="4867" w:type="dxa"/>
            <w:gridSpan w:val="2"/>
            <w:tcBorders>
              <w:bottom w:val="single" w:sz="4" w:space="0" w:color="auto"/>
            </w:tcBorders>
            <w:vAlign w:val="center"/>
          </w:tcPr>
          <w:p w14:paraId="7D4BD53C" w14:textId="77777777" w:rsidR="00177C0A" w:rsidRPr="00A0149B" w:rsidRDefault="00177C0A" w:rsidP="00177C0A">
            <w:pPr>
              <w:rPr>
                <w:rFonts w:ascii="Arial" w:hAnsi="Arial" w:cs="Arial"/>
                <w:sz w:val="18"/>
                <w:szCs w:val="18"/>
              </w:rPr>
            </w:pPr>
          </w:p>
        </w:tc>
      </w:tr>
      <w:tr w:rsidR="00177C0A" w:rsidRPr="00A0149B" w14:paraId="4C0CB039" w14:textId="77777777" w:rsidTr="000D36DE">
        <w:trPr>
          <w:trHeight w:val="264"/>
        </w:trPr>
        <w:tc>
          <w:tcPr>
            <w:tcW w:w="529" w:type="dxa"/>
            <w:tcBorders>
              <w:bottom w:val="single" w:sz="4" w:space="0" w:color="auto"/>
            </w:tcBorders>
            <w:noWrap/>
            <w:vAlign w:val="center"/>
          </w:tcPr>
          <w:p w14:paraId="7B16B0F0" w14:textId="35B8760C" w:rsidR="00177C0A" w:rsidRPr="008D4248" w:rsidRDefault="00177C0A" w:rsidP="008D4248">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308ED795" w14:textId="77777777" w:rsidR="00177C0A" w:rsidRPr="004C1F18" w:rsidRDefault="00177C0A" w:rsidP="0020258E">
            <w:pPr>
              <w:jc w:val="both"/>
              <w:rPr>
                <w:rFonts w:ascii="Arial" w:hAnsi="Arial" w:cs="Arial"/>
                <w:sz w:val="18"/>
                <w:szCs w:val="18"/>
              </w:rPr>
            </w:pPr>
            <w:r>
              <w:rPr>
                <w:rFonts w:ascii="Arial" w:hAnsi="Arial" w:cs="Arial"/>
                <w:sz w:val="18"/>
                <w:szCs w:val="18"/>
              </w:rPr>
              <w:t>Are s</w:t>
            </w:r>
            <w:r w:rsidRPr="00A6542D">
              <w:rPr>
                <w:rFonts w:ascii="Arial" w:hAnsi="Arial" w:cs="Arial"/>
                <w:sz w:val="18"/>
                <w:szCs w:val="18"/>
              </w:rPr>
              <w:t>oil/sediment samples analyzed within 28 days of collection</w:t>
            </w:r>
            <w:r>
              <w:rPr>
                <w:rFonts w:ascii="Arial" w:hAnsi="Arial" w:cs="Arial"/>
                <w:sz w:val="18"/>
                <w:szCs w:val="18"/>
              </w:rPr>
              <w:t xml:space="preserve">? </w:t>
            </w:r>
            <w:r w:rsidRPr="00A6542D">
              <w:rPr>
                <w:rFonts w:ascii="Arial" w:hAnsi="Arial" w:cs="Arial"/>
                <w:sz w:val="18"/>
                <w:szCs w:val="18"/>
              </w:rPr>
              <w:t>[MADEP VPH Rev. 2.1 (Feb 2018) Section 8.</w:t>
            </w:r>
            <w:r>
              <w:rPr>
                <w:rFonts w:ascii="Arial" w:hAnsi="Arial" w:cs="Arial"/>
                <w:sz w:val="18"/>
                <w:szCs w:val="18"/>
              </w:rPr>
              <w:t>2.8</w:t>
            </w:r>
            <w:r w:rsidRPr="00A6542D">
              <w:rPr>
                <w:rFonts w:ascii="Arial" w:hAnsi="Arial" w:cs="Arial"/>
                <w:sz w:val="18"/>
                <w:szCs w:val="18"/>
              </w:rPr>
              <w:t>]</w:t>
            </w:r>
          </w:p>
        </w:tc>
        <w:tc>
          <w:tcPr>
            <w:tcW w:w="448" w:type="dxa"/>
            <w:tcBorders>
              <w:bottom w:val="single" w:sz="4" w:space="0" w:color="auto"/>
            </w:tcBorders>
            <w:noWrap/>
            <w:vAlign w:val="center"/>
          </w:tcPr>
          <w:p w14:paraId="72F13449" w14:textId="77777777" w:rsidR="00177C0A" w:rsidRPr="00A0149B" w:rsidRDefault="00177C0A" w:rsidP="00177C0A">
            <w:pPr>
              <w:rPr>
                <w:rFonts w:ascii="Arial" w:hAnsi="Arial" w:cs="Arial"/>
                <w:sz w:val="18"/>
                <w:szCs w:val="18"/>
              </w:rPr>
            </w:pPr>
          </w:p>
        </w:tc>
        <w:tc>
          <w:tcPr>
            <w:tcW w:w="448" w:type="dxa"/>
            <w:tcBorders>
              <w:bottom w:val="single" w:sz="4" w:space="0" w:color="auto"/>
            </w:tcBorders>
            <w:noWrap/>
            <w:vAlign w:val="center"/>
          </w:tcPr>
          <w:p w14:paraId="2A6FC776" w14:textId="77777777" w:rsidR="00177C0A" w:rsidRPr="00A0149B" w:rsidRDefault="00177C0A" w:rsidP="00177C0A">
            <w:pPr>
              <w:rPr>
                <w:rFonts w:ascii="Arial" w:hAnsi="Arial" w:cs="Arial"/>
                <w:sz w:val="18"/>
                <w:szCs w:val="18"/>
              </w:rPr>
            </w:pPr>
          </w:p>
        </w:tc>
        <w:tc>
          <w:tcPr>
            <w:tcW w:w="4867" w:type="dxa"/>
            <w:gridSpan w:val="2"/>
            <w:tcBorders>
              <w:bottom w:val="single" w:sz="4" w:space="0" w:color="auto"/>
            </w:tcBorders>
            <w:vAlign w:val="center"/>
          </w:tcPr>
          <w:p w14:paraId="1D43C5EC" w14:textId="77777777" w:rsidR="00177C0A" w:rsidRPr="00A0149B" w:rsidRDefault="00177C0A" w:rsidP="00177C0A">
            <w:pPr>
              <w:rPr>
                <w:rFonts w:ascii="Arial" w:hAnsi="Arial" w:cs="Arial"/>
                <w:sz w:val="18"/>
                <w:szCs w:val="18"/>
              </w:rPr>
            </w:pPr>
          </w:p>
        </w:tc>
      </w:tr>
      <w:tr w:rsidR="00177C0A" w:rsidRPr="00A0149B" w14:paraId="14C8E89E" w14:textId="77777777" w:rsidTr="000D36DE">
        <w:trPr>
          <w:trHeight w:val="264"/>
        </w:trPr>
        <w:tc>
          <w:tcPr>
            <w:tcW w:w="529" w:type="dxa"/>
            <w:tcBorders>
              <w:bottom w:val="single" w:sz="4" w:space="0" w:color="auto"/>
            </w:tcBorders>
            <w:noWrap/>
            <w:vAlign w:val="center"/>
          </w:tcPr>
          <w:p w14:paraId="1DD14B1C" w14:textId="00956DE0" w:rsidR="00177C0A" w:rsidRPr="008D4248" w:rsidRDefault="00177C0A" w:rsidP="008D4248">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013B20D5" w14:textId="4146082C" w:rsidR="00177C0A" w:rsidRPr="004C1F18" w:rsidRDefault="00177C0A" w:rsidP="00113763">
            <w:pPr>
              <w:jc w:val="both"/>
              <w:rPr>
                <w:rFonts w:ascii="Arial" w:hAnsi="Arial" w:cs="Arial"/>
                <w:sz w:val="18"/>
                <w:szCs w:val="18"/>
              </w:rPr>
            </w:pPr>
            <w:r w:rsidRPr="004C1F18">
              <w:rPr>
                <w:rFonts w:ascii="Arial" w:hAnsi="Arial" w:cs="Arial"/>
                <w:sz w:val="18"/>
                <w:szCs w:val="18"/>
              </w:rPr>
              <w:t>What corrective action is taken if samples do not meet the thermal and/or chemical preservation requirements?</w:t>
            </w:r>
            <w:r w:rsidRPr="009D1896">
              <w:rPr>
                <w:rFonts w:ascii="Arial" w:hAnsi="Arial" w:cs="Arial"/>
                <w:sz w:val="18"/>
                <w:szCs w:val="18"/>
              </w:rPr>
              <w:t xml:space="preserve"> </w:t>
            </w:r>
            <w:r w:rsidR="00312382" w:rsidRPr="0075586A">
              <w:rPr>
                <w:rFonts w:ascii="Arial" w:hAnsi="Arial"/>
                <w:spacing w:val="-2"/>
                <w:sz w:val="18"/>
                <w:szCs w:val="18"/>
              </w:rPr>
              <w:t xml:space="preserve">[15A NCAC </w:t>
            </w:r>
            <w:r w:rsidR="00312382">
              <w:rPr>
                <w:rFonts w:ascii="Arial" w:hAnsi="Arial"/>
                <w:spacing w:val="-2"/>
                <w:sz w:val="18"/>
                <w:szCs w:val="18"/>
              </w:rPr>
              <w:t>0</w:t>
            </w:r>
            <w:r w:rsidR="00312382" w:rsidRPr="0075586A">
              <w:rPr>
                <w:rFonts w:ascii="Arial" w:hAnsi="Arial"/>
                <w:spacing w:val="-2"/>
                <w:sz w:val="18"/>
                <w:szCs w:val="18"/>
              </w:rPr>
              <w:t>2H .0805 (a) (7)</w:t>
            </w:r>
            <w:r w:rsidR="00312382">
              <w:rPr>
                <w:rFonts w:ascii="Arial" w:hAnsi="Arial"/>
                <w:spacing w:val="-2"/>
                <w:sz w:val="18"/>
                <w:szCs w:val="18"/>
              </w:rPr>
              <w:t xml:space="preserve"> (M)]</w:t>
            </w:r>
          </w:p>
        </w:tc>
        <w:tc>
          <w:tcPr>
            <w:tcW w:w="448" w:type="dxa"/>
            <w:tcBorders>
              <w:bottom w:val="single" w:sz="4" w:space="0" w:color="auto"/>
            </w:tcBorders>
            <w:noWrap/>
            <w:vAlign w:val="center"/>
          </w:tcPr>
          <w:p w14:paraId="54672C92" w14:textId="77777777" w:rsidR="00177C0A" w:rsidRPr="00A0149B" w:rsidRDefault="00177C0A" w:rsidP="00177C0A">
            <w:pPr>
              <w:rPr>
                <w:rFonts w:ascii="Arial" w:hAnsi="Arial" w:cs="Arial"/>
                <w:sz w:val="18"/>
                <w:szCs w:val="18"/>
              </w:rPr>
            </w:pPr>
          </w:p>
        </w:tc>
        <w:tc>
          <w:tcPr>
            <w:tcW w:w="448" w:type="dxa"/>
            <w:tcBorders>
              <w:bottom w:val="single" w:sz="4" w:space="0" w:color="auto"/>
            </w:tcBorders>
            <w:noWrap/>
            <w:vAlign w:val="center"/>
          </w:tcPr>
          <w:p w14:paraId="1525C8CA" w14:textId="77777777" w:rsidR="00177C0A" w:rsidRPr="00A0149B" w:rsidRDefault="00177C0A" w:rsidP="00177C0A">
            <w:pPr>
              <w:rPr>
                <w:rFonts w:ascii="Arial" w:hAnsi="Arial" w:cs="Arial"/>
                <w:sz w:val="18"/>
                <w:szCs w:val="18"/>
              </w:rPr>
            </w:pPr>
          </w:p>
        </w:tc>
        <w:tc>
          <w:tcPr>
            <w:tcW w:w="4867" w:type="dxa"/>
            <w:gridSpan w:val="2"/>
            <w:tcBorders>
              <w:bottom w:val="single" w:sz="4" w:space="0" w:color="auto"/>
            </w:tcBorders>
            <w:vAlign w:val="center"/>
          </w:tcPr>
          <w:p w14:paraId="6594B3F7" w14:textId="77777777" w:rsidR="00177C0A" w:rsidRPr="00A0149B" w:rsidRDefault="00177C0A" w:rsidP="00177C0A">
            <w:pPr>
              <w:rPr>
                <w:rFonts w:ascii="Arial" w:hAnsi="Arial" w:cs="Arial"/>
                <w:sz w:val="18"/>
                <w:szCs w:val="18"/>
              </w:rPr>
            </w:pPr>
          </w:p>
        </w:tc>
      </w:tr>
      <w:tr w:rsidR="00177C0A" w:rsidRPr="00A0149B" w14:paraId="7EAED30B" w14:textId="77777777" w:rsidTr="000D36DE">
        <w:trPr>
          <w:trHeight w:val="264"/>
        </w:trPr>
        <w:tc>
          <w:tcPr>
            <w:tcW w:w="529" w:type="dxa"/>
            <w:shd w:val="clear" w:color="auto" w:fill="D9D9D9" w:themeFill="background1" w:themeFillShade="D9"/>
            <w:noWrap/>
            <w:vAlign w:val="center"/>
          </w:tcPr>
          <w:p w14:paraId="7A90BFB9" w14:textId="77777777" w:rsidR="00177C0A" w:rsidRPr="008D4248" w:rsidRDefault="00177C0A" w:rsidP="00155C16">
            <w:pPr>
              <w:pStyle w:val="ListParagraph"/>
              <w:ind w:left="72"/>
              <w:rPr>
                <w:rFonts w:ascii="Arial" w:hAnsi="Arial" w:cs="Arial"/>
                <w:sz w:val="18"/>
                <w:szCs w:val="18"/>
              </w:rPr>
            </w:pPr>
            <w:bookmarkStart w:id="0" w:name="_Hlk124424755"/>
          </w:p>
        </w:tc>
        <w:tc>
          <w:tcPr>
            <w:tcW w:w="4867" w:type="dxa"/>
            <w:shd w:val="clear" w:color="auto" w:fill="D9D9D9" w:themeFill="background1" w:themeFillShade="D9"/>
            <w:noWrap/>
            <w:vAlign w:val="center"/>
          </w:tcPr>
          <w:p w14:paraId="1E18239B" w14:textId="77777777" w:rsidR="00177C0A" w:rsidRPr="00560E41" w:rsidRDefault="00177C0A" w:rsidP="00177C0A">
            <w:pPr>
              <w:jc w:val="center"/>
              <w:rPr>
                <w:rFonts w:ascii="Arial" w:hAnsi="Arial" w:cs="Arial"/>
                <w:b/>
                <w:sz w:val="18"/>
                <w:szCs w:val="18"/>
              </w:rPr>
            </w:pPr>
            <w:r w:rsidRPr="4C8F8D0B">
              <w:rPr>
                <w:rFonts w:ascii="Arial" w:hAnsi="Arial" w:cs="Arial"/>
                <w:b/>
                <w:bCs/>
                <w:sz w:val="18"/>
                <w:szCs w:val="18"/>
              </w:rPr>
              <w:t>PROCEDURE –</w:t>
            </w:r>
            <w:r>
              <w:t xml:space="preserve"> </w:t>
            </w:r>
            <w:r w:rsidRPr="4C8F8D0B">
              <w:rPr>
                <w:rFonts w:ascii="Arial" w:hAnsi="Arial" w:cs="Arial"/>
                <w:b/>
                <w:bCs/>
                <w:sz w:val="18"/>
                <w:szCs w:val="18"/>
              </w:rPr>
              <w:t>Reagents and Standards</w:t>
            </w:r>
          </w:p>
        </w:tc>
        <w:tc>
          <w:tcPr>
            <w:tcW w:w="448" w:type="dxa"/>
            <w:tcBorders>
              <w:bottom w:val="single" w:sz="4" w:space="0" w:color="auto"/>
            </w:tcBorders>
            <w:shd w:val="clear" w:color="auto" w:fill="D9D9D9" w:themeFill="background1" w:themeFillShade="D9"/>
            <w:noWrap/>
            <w:vAlign w:val="center"/>
          </w:tcPr>
          <w:p w14:paraId="1F1AAD7A" w14:textId="77777777" w:rsidR="00177C0A" w:rsidRDefault="00177C0A" w:rsidP="00177C0A">
            <w:pPr>
              <w:jc w:val="both"/>
              <w:rPr>
                <w:rFonts w:ascii="Arial" w:hAnsi="Arial" w:cs="Arial"/>
                <w:b/>
                <w:sz w:val="18"/>
                <w:szCs w:val="18"/>
              </w:rPr>
            </w:pPr>
            <w:r>
              <w:rPr>
                <w:rFonts w:ascii="Arial" w:hAnsi="Arial" w:cs="Arial"/>
                <w:b/>
                <w:sz w:val="18"/>
                <w:szCs w:val="18"/>
              </w:rPr>
              <w:t>LAB</w:t>
            </w:r>
          </w:p>
        </w:tc>
        <w:tc>
          <w:tcPr>
            <w:tcW w:w="448" w:type="dxa"/>
            <w:tcBorders>
              <w:bottom w:val="single" w:sz="4" w:space="0" w:color="auto"/>
            </w:tcBorders>
            <w:shd w:val="clear" w:color="auto" w:fill="D9D9D9" w:themeFill="background1" w:themeFillShade="D9"/>
            <w:noWrap/>
            <w:vAlign w:val="center"/>
          </w:tcPr>
          <w:p w14:paraId="5D7DF5B0" w14:textId="77777777" w:rsidR="00177C0A" w:rsidRDefault="00177C0A" w:rsidP="00177C0A">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44474F02" w14:textId="77777777" w:rsidR="00177C0A" w:rsidRPr="00560E41" w:rsidRDefault="00177C0A" w:rsidP="00177C0A">
            <w:pPr>
              <w:jc w:val="center"/>
              <w:rPr>
                <w:rFonts w:ascii="Arial" w:hAnsi="Arial" w:cs="Arial"/>
                <w:b/>
                <w:sz w:val="18"/>
                <w:szCs w:val="18"/>
              </w:rPr>
            </w:pPr>
            <w:r w:rsidRPr="00560E41">
              <w:rPr>
                <w:rFonts w:ascii="Arial" w:hAnsi="Arial" w:cs="Arial"/>
                <w:b/>
                <w:sz w:val="18"/>
                <w:szCs w:val="18"/>
              </w:rPr>
              <w:t>EXPLANATION</w:t>
            </w:r>
          </w:p>
        </w:tc>
      </w:tr>
      <w:tr w:rsidR="00177C0A" w:rsidRPr="00A0149B" w14:paraId="6294A156" w14:textId="77777777" w:rsidTr="000D36DE">
        <w:trPr>
          <w:trHeight w:val="264"/>
        </w:trPr>
        <w:tc>
          <w:tcPr>
            <w:tcW w:w="529" w:type="dxa"/>
            <w:noWrap/>
            <w:vAlign w:val="center"/>
          </w:tcPr>
          <w:p w14:paraId="13E34C9A" w14:textId="7FA4D0BC"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11FE7050" w14:textId="5072C2C0" w:rsidR="00177C0A" w:rsidRPr="009D1896" w:rsidRDefault="00177C0A" w:rsidP="0020258E">
            <w:pPr>
              <w:jc w:val="both"/>
              <w:rPr>
                <w:rFonts w:ascii="Arial" w:hAnsi="Arial" w:cs="Arial"/>
                <w:sz w:val="18"/>
                <w:szCs w:val="18"/>
              </w:rPr>
            </w:pPr>
            <w:r>
              <w:rPr>
                <w:rFonts w:ascii="Arial" w:hAnsi="Arial" w:cs="Arial"/>
                <w:sz w:val="18"/>
                <w:szCs w:val="18"/>
              </w:rPr>
              <w:t>Are stock standards s</w:t>
            </w:r>
            <w:r w:rsidRPr="00337884">
              <w:rPr>
                <w:rFonts w:ascii="Arial" w:hAnsi="Arial" w:cs="Arial"/>
                <w:sz w:val="18"/>
                <w:szCs w:val="18"/>
              </w:rPr>
              <w:t>tore</w:t>
            </w:r>
            <w:r>
              <w:rPr>
                <w:rFonts w:ascii="Arial" w:hAnsi="Arial" w:cs="Arial"/>
                <w:sz w:val="18"/>
                <w:szCs w:val="18"/>
              </w:rPr>
              <w:t>d</w:t>
            </w:r>
            <w:r w:rsidRPr="00337884">
              <w:rPr>
                <w:rFonts w:ascii="Arial" w:hAnsi="Arial" w:cs="Arial"/>
                <w:sz w:val="18"/>
                <w:szCs w:val="18"/>
              </w:rPr>
              <w:t xml:space="preserve"> with minimal</w:t>
            </w:r>
            <w:r>
              <w:rPr>
                <w:rFonts w:ascii="Arial" w:hAnsi="Arial" w:cs="Arial"/>
                <w:sz w:val="18"/>
                <w:szCs w:val="18"/>
              </w:rPr>
              <w:t xml:space="preserve"> h</w:t>
            </w:r>
            <w:r w:rsidRPr="00337884">
              <w:rPr>
                <w:rFonts w:ascii="Arial" w:hAnsi="Arial" w:cs="Arial"/>
                <w:sz w:val="18"/>
                <w:szCs w:val="18"/>
              </w:rPr>
              <w:t>eadspace at -10°C to -20°C and protect</w:t>
            </w:r>
            <w:r>
              <w:rPr>
                <w:rFonts w:ascii="Arial" w:hAnsi="Arial" w:cs="Arial"/>
                <w:sz w:val="18"/>
                <w:szCs w:val="18"/>
              </w:rPr>
              <w:t>ed</w:t>
            </w:r>
            <w:r w:rsidRPr="00337884">
              <w:rPr>
                <w:rFonts w:ascii="Arial" w:hAnsi="Arial" w:cs="Arial"/>
                <w:sz w:val="18"/>
                <w:szCs w:val="18"/>
              </w:rPr>
              <w:t xml:space="preserve"> from light</w:t>
            </w:r>
            <w:r>
              <w:rPr>
                <w:rFonts w:ascii="Arial" w:hAnsi="Arial" w:cs="Arial"/>
                <w:sz w:val="18"/>
                <w:szCs w:val="18"/>
              </w:rPr>
              <w:t>?</w:t>
            </w:r>
            <w:r>
              <w:t xml:space="preserve"> </w:t>
            </w:r>
            <w:r w:rsidRPr="004C705F">
              <w:rPr>
                <w:rFonts w:ascii="Arial" w:hAnsi="Arial" w:cs="Arial"/>
                <w:sz w:val="18"/>
                <w:szCs w:val="18"/>
              </w:rPr>
              <w:t>[MADEP VPH Rev. 2.1 (Feb 2018) Section 7.2]</w:t>
            </w:r>
          </w:p>
        </w:tc>
        <w:tc>
          <w:tcPr>
            <w:tcW w:w="448" w:type="dxa"/>
            <w:shd w:val="clear" w:color="auto" w:fill="FFFFFF" w:themeFill="background1"/>
            <w:noWrap/>
            <w:vAlign w:val="center"/>
          </w:tcPr>
          <w:p w14:paraId="692761A9" w14:textId="77777777" w:rsidR="00177C0A" w:rsidRPr="00A0149B" w:rsidRDefault="00177C0A" w:rsidP="00177C0A">
            <w:pPr>
              <w:rPr>
                <w:rFonts w:ascii="Arial" w:hAnsi="Arial" w:cs="Arial"/>
                <w:sz w:val="18"/>
                <w:szCs w:val="18"/>
              </w:rPr>
            </w:pPr>
          </w:p>
        </w:tc>
        <w:tc>
          <w:tcPr>
            <w:tcW w:w="448" w:type="dxa"/>
            <w:shd w:val="clear" w:color="auto" w:fill="FFFFFF" w:themeFill="background1"/>
            <w:noWrap/>
            <w:vAlign w:val="center"/>
          </w:tcPr>
          <w:p w14:paraId="26DA7DDE" w14:textId="77777777" w:rsidR="00177C0A" w:rsidRPr="00A0149B" w:rsidRDefault="00177C0A" w:rsidP="00177C0A">
            <w:pPr>
              <w:rPr>
                <w:rFonts w:ascii="Arial" w:hAnsi="Arial" w:cs="Arial"/>
                <w:sz w:val="18"/>
                <w:szCs w:val="18"/>
              </w:rPr>
            </w:pPr>
          </w:p>
        </w:tc>
        <w:tc>
          <w:tcPr>
            <w:tcW w:w="4867" w:type="dxa"/>
            <w:gridSpan w:val="2"/>
            <w:vAlign w:val="center"/>
          </w:tcPr>
          <w:p w14:paraId="271B6F96" w14:textId="2DF1041C" w:rsidR="00177C0A" w:rsidRPr="00A0149B" w:rsidRDefault="00E13D27" w:rsidP="00640553">
            <w:pPr>
              <w:jc w:val="both"/>
              <w:rPr>
                <w:rFonts w:ascii="Arial" w:hAnsi="Arial" w:cs="Arial"/>
                <w:sz w:val="18"/>
                <w:szCs w:val="18"/>
              </w:rPr>
            </w:pPr>
            <w:r w:rsidRPr="00E13D27">
              <w:rPr>
                <w:rFonts w:ascii="Arial" w:hAnsi="Arial" w:cs="Arial"/>
                <w:sz w:val="18"/>
                <w:szCs w:val="18"/>
              </w:rPr>
              <w:t>Store, with minimal headspace, at -10°C to -20°C and protect from light.</w:t>
            </w:r>
            <w:r>
              <w:rPr>
                <w:rFonts w:ascii="Arial" w:hAnsi="Arial" w:cs="Arial"/>
                <w:sz w:val="18"/>
                <w:szCs w:val="18"/>
              </w:rPr>
              <w:t xml:space="preserve"> </w:t>
            </w:r>
          </w:p>
        </w:tc>
      </w:tr>
      <w:bookmarkEnd w:id="0"/>
      <w:tr w:rsidR="00177C0A" w:rsidRPr="00A0149B" w14:paraId="4C45B364" w14:textId="77777777" w:rsidTr="000D36DE">
        <w:trPr>
          <w:trHeight w:val="264"/>
        </w:trPr>
        <w:tc>
          <w:tcPr>
            <w:tcW w:w="529" w:type="dxa"/>
            <w:noWrap/>
            <w:vAlign w:val="center"/>
          </w:tcPr>
          <w:p w14:paraId="7AFE43E5" w14:textId="0021E707"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077F985D" w14:textId="77777777" w:rsidR="00177C0A" w:rsidRPr="001C10BF" w:rsidRDefault="00177C0A" w:rsidP="0020258E">
            <w:pPr>
              <w:jc w:val="both"/>
              <w:rPr>
                <w:rFonts w:ascii="Arial" w:hAnsi="Arial" w:cs="Arial"/>
                <w:sz w:val="18"/>
                <w:szCs w:val="18"/>
              </w:rPr>
            </w:pPr>
            <w:r w:rsidRPr="009D1896">
              <w:rPr>
                <w:rFonts w:ascii="Arial" w:hAnsi="Arial" w:cs="Arial"/>
                <w:sz w:val="18"/>
                <w:szCs w:val="18"/>
              </w:rPr>
              <w:t>Are stock standards disposed of within 6 months of opening or by the manufacturer’s expiration date, whichever comes first?</w:t>
            </w:r>
            <w:r>
              <w:t xml:space="preserve"> </w:t>
            </w:r>
            <w:r w:rsidRPr="009D1896">
              <w:rPr>
                <w:rFonts w:ascii="Arial" w:hAnsi="Arial" w:cs="Arial"/>
                <w:sz w:val="18"/>
                <w:szCs w:val="18"/>
              </w:rPr>
              <w:t>[MADEP VPH Rev. 2.1 (Feb 2018) Section 7.2]</w:t>
            </w:r>
          </w:p>
        </w:tc>
        <w:tc>
          <w:tcPr>
            <w:tcW w:w="448" w:type="dxa"/>
            <w:shd w:val="clear" w:color="auto" w:fill="FFFFFF" w:themeFill="background1"/>
            <w:noWrap/>
            <w:vAlign w:val="center"/>
          </w:tcPr>
          <w:p w14:paraId="4504D81D" w14:textId="77777777" w:rsidR="00177C0A" w:rsidRPr="00A0149B" w:rsidRDefault="00177C0A" w:rsidP="00177C0A">
            <w:pPr>
              <w:rPr>
                <w:rFonts w:ascii="Arial" w:hAnsi="Arial" w:cs="Arial"/>
                <w:sz w:val="18"/>
                <w:szCs w:val="18"/>
              </w:rPr>
            </w:pPr>
          </w:p>
        </w:tc>
        <w:tc>
          <w:tcPr>
            <w:tcW w:w="448" w:type="dxa"/>
            <w:shd w:val="clear" w:color="auto" w:fill="FFFFFF" w:themeFill="background1"/>
            <w:noWrap/>
            <w:vAlign w:val="center"/>
          </w:tcPr>
          <w:p w14:paraId="65E3B071" w14:textId="77777777" w:rsidR="00177C0A" w:rsidRPr="00A0149B" w:rsidRDefault="00177C0A" w:rsidP="00177C0A">
            <w:pPr>
              <w:rPr>
                <w:rFonts w:ascii="Arial" w:hAnsi="Arial" w:cs="Arial"/>
                <w:sz w:val="18"/>
                <w:szCs w:val="18"/>
              </w:rPr>
            </w:pPr>
          </w:p>
        </w:tc>
        <w:tc>
          <w:tcPr>
            <w:tcW w:w="4867" w:type="dxa"/>
            <w:gridSpan w:val="2"/>
            <w:vAlign w:val="center"/>
          </w:tcPr>
          <w:p w14:paraId="6AF4CC12" w14:textId="495DC660" w:rsidR="00177C0A" w:rsidRPr="00A0149B" w:rsidRDefault="00640553" w:rsidP="00640553">
            <w:pPr>
              <w:jc w:val="both"/>
              <w:rPr>
                <w:rFonts w:ascii="Arial" w:hAnsi="Arial" w:cs="Arial"/>
                <w:sz w:val="18"/>
                <w:szCs w:val="18"/>
              </w:rPr>
            </w:pPr>
            <w:r w:rsidRPr="00E13D27">
              <w:rPr>
                <w:rFonts w:ascii="Arial" w:hAnsi="Arial" w:cs="Arial"/>
                <w:sz w:val="18"/>
                <w:szCs w:val="18"/>
              </w:rPr>
              <w:t>Stock standard solutions must be replaced after 6 months, or sooner if comparison with check standards</w:t>
            </w:r>
            <w:r w:rsidR="00371300">
              <w:rPr>
                <w:rFonts w:ascii="Arial" w:hAnsi="Arial" w:cs="Arial"/>
                <w:sz w:val="18"/>
                <w:szCs w:val="18"/>
              </w:rPr>
              <w:t xml:space="preserve"> </w:t>
            </w:r>
            <w:r w:rsidRPr="00E13D27">
              <w:rPr>
                <w:rFonts w:ascii="Arial" w:hAnsi="Arial" w:cs="Arial"/>
                <w:sz w:val="18"/>
                <w:szCs w:val="18"/>
              </w:rPr>
              <w:t>indicates a problem.</w:t>
            </w:r>
          </w:p>
        </w:tc>
      </w:tr>
      <w:tr w:rsidR="00E03302" w:rsidRPr="00A0149B" w14:paraId="1440C898" w14:textId="77777777" w:rsidTr="000D36DE">
        <w:trPr>
          <w:trHeight w:val="264"/>
        </w:trPr>
        <w:tc>
          <w:tcPr>
            <w:tcW w:w="529" w:type="dxa"/>
            <w:noWrap/>
            <w:vAlign w:val="center"/>
          </w:tcPr>
          <w:p w14:paraId="6CD28080" w14:textId="77777777" w:rsidR="00202B95" w:rsidRPr="008D4248" w:rsidRDefault="00202B95" w:rsidP="008D4248">
            <w:pPr>
              <w:pStyle w:val="ListParagraph"/>
              <w:numPr>
                <w:ilvl w:val="0"/>
                <w:numId w:val="3"/>
              </w:numPr>
              <w:rPr>
                <w:rFonts w:ascii="Arial" w:hAnsi="Arial" w:cs="Arial"/>
                <w:sz w:val="18"/>
                <w:szCs w:val="18"/>
              </w:rPr>
            </w:pPr>
          </w:p>
        </w:tc>
        <w:tc>
          <w:tcPr>
            <w:tcW w:w="4867" w:type="dxa"/>
            <w:noWrap/>
            <w:vAlign w:val="center"/>
          </w:tcPr>
          <w:p w14:paraId="2ED1E57C" w14:textId="77777777" w:rsidR="00202B95" w:rsidRDefault="00202B95" w:rsidP="0020258E">
            <w:pPr>
              <w:jc w:val="both"/>
              <w:rPr>
                <w:rFonts w:ascii="Arial" w:hAnsi="Arial" w:cs="Arial"/>
                <w:sz w:val="18"/>
                <w:szCs w:val="18"/>
              </w:rPr>
            </w:pPr>
            <w:r>
              <w:rPr>
                <w:rFonts w:ascii="Arial" w:hAnsi="Arial" w:cs="Arial"/>
                <w:sz w:val="18"/>
                <w:szCs w:val="18"/>
              </w:rPr>
              <w:t xml:space="preserve">How are primary dilution standards stored? </w:t>
            </w:r>
            <w:r w:rsidRPr="004C705F">
              <w:rPr>
                <w:rFonts w:ascii="Arial" w:hAnsi="Arial" w:cs="Arial"/>
                <w:sz w:val="18"/>
                <w:szCs w:val="18"/>
              </w:rPr>
              <w:t>[MADEP VPH Rev. 2.1 (Feb 2018) Section 7.</w:t>
            </w:r>
            <w:r>
              <w:rPr>
                <w:rFonts w:ascii="Arial" w:hAnsi="Arial" w:cs="Arial"/>
                <w:sz w:val="18"/>
                <w:szCs w:val="18"/>
              </w:rPr>
              <w:t>3</w:t>
            </w:r>
            <w:r w:rsidRPr="004C705F">
              <w:rPr>
                <w:rFonts w:ascii="Arial" w:hAnsi="Arial" w:cs="Arial"/>
                <w:sz w:val="18"/>
                <w:szCs w:val="18"/>
              </w:rPr>
              <w:t>]</w:t>
            </w:r>
          </w:p>
          <w:p w14:paraId="0333DB90" w14:textId="77777777" w:rsidR="00136665" w:rsidRDefault="00136665" w:rsidP="0020258E">
            <w:pPr>
              <w:jc w:val="both"/>
              <w:rPr>
                <w:rFonts w:ascii="Arial" w:hAnsi="Arial" w:cs="Arial"/>
                <w:sz w:val="18"/>
                <w:szCs w:val="18"/>
              </w:rPr>
            </w:pPr>
          </w:p>
          <w:p w14:paraId="0D7B3C71" w14:textId="77777777" w:rsidR="00136665" w:rsidRDefault="00136665" w:rsidP="0020258E">
            <w:pPr>
              <w:jc w:val="both"/>
              <w:rPr>
                <w:rFonts w:ascii="Arial" w:hAnsi="Arial" w:cs="Arial"/>
                <w:b/>
                <w:bCs/>
                <w:sz w:val="18"/>
                <w:szCs w:val="18"/>
              </w:rPr>
            </w:pPr>
            <w:r w:rsidRPr="00E03302">
              <w:rPr>
                <w:rFonts w:ascii="Arial" w:hAnsi="Arial" w:cs="Arial"/>
                <w:b/>
                <w:bCs/>
                <w:sz w:val="18"/>
                <w:szCs w:val="18"/>
              </w:rPr>
              <w:t>Answer:</w:t>
            </w:r>
          </w:p>
          <w:p w14:paraId="2C1FF1DD" w14:textId="77777777" w:rsidR="00C46DF0" w:rsidRPr="00E03302" w:rsidRDefault="00C46DF0" w:rsidP="0020258E">
            <w:pPr>
              <w:jc w:val="both"/>
              <w:rPr>
                <w:rFonts w:ascii="Arial" w:hAnsi="Arial" w:cs="Arial"/>
                <w:b/>
                <w:bCs/>
                <w:sz w:val="18"/>
                <w:szCs w:val="18"/>
              </w:rPr>
            </w:pPr>
          </w:p>
          <w:p w14:paraId="6298B2E6" w14:textId="20226547" w:rsidR="00136665" w:rsidRPr="009D1896" w:rsidRDefault="00136665" w:rsidP="0020258E">
            <w:pPr>
              <w:jc w:val="both"/>
              <w:rPr>
                <w:rFonts w:ascii="Arial" w:hAnsi="Arial" w:cs="Arial"/>
                <w:sz w:val="18"/>
                <w:szCs w:val="18"/>
              </w:rPr>
            </w:pPr>
          </w:p>
        </w:tc>
        <w:tc>
          <w:tcPr>
            <w:tcW w:w="448" w:type="dxa"/>
            <w:shd w:val="clear" w:color="auto" w:fill="D9D9D9" w:themeFill="background1" w:themeFillShade="D9"/>
            <w:noWrap/>
            <w:vAlign w:val="center"/>
          </w:tcPr>
          <w:p w14:paraId="1713F9E6" w14:textId="77777777" w:rsidR="00202B95" w:rsidRPr="00A0149B" w:rsidRDefault="00202B95" w:rsidP="00177C0A">
            <w:pPr>
              <w:rPr>
                <w:rFonts w:ascii="Arial" w:hAnsi="Arial" w:cs="Arial"/>
                <w:sz w:val="18"/>
                <w:szCs w:val="18"/>
              </w:rPr>
            </w:pPr>
          </w:p>
        </w:tc>
        <w:tc>
          <w:tcPr>
            <w:tcW w:w="448" w:type="dxa"/>
            <w:shd w:val="clear" w:color="auto" w:fill="FFFFFF" w:themeFill="background1"/>
            <w:noWrap/>
            <w:vAlign w:val="center"/>
          </w:tcPr>
          <w:p w14:paraId="7466A5F2" w14:textId="77777777" w:rsidR="00202B95" w:rsidRPr="00A0149B" w:rsidRDefault="00202B95" w:rsidP="00177C0A">
            <w:pPr>
              <w:rPr>
                <w:rFonts w:ascii="Arial" w:hAnsi="Arial" w:cs="Arial"/>
                <w:sz w:val="18"/>
                <w:szCs w:val="18"/>
              </w:rPr>
            </w:pPr>
          </w:p>
        </w:tc>
        <w:tc>
          <w:tcPr>
            <w:tcW w:w="4867" w:type="dxa"/>
            <w:gridSpan w:val="2"/>
            <w:vAlign w:val="center"/>
          </w:tcPr>
          <w:p w14:paraId="20F93A5D" w14:textId="3FF599A9" w:rsidR="00202B95" w:rsidRPr="00A0149B" w:rsidRDefault="00136665" w:rsidP="0020258E">
            <w:pPr>
              <w:jc w:val="both"/>
              <w:rPr>
                <w:rFonts w:ascii="Arial" w:hAnsi="Arial" w:cs="Arial"/>
                <w:sz w:val="18"/>
                <w:szCs w:val="18"/>
              </w:rPr>
            </w:pPr>
            <w:r w:rsidRPr="00136665">
              <w:rPr>
                <w:rFonts w:ascii="Arial" w:hAnsi="Arial" w:cs="Arial"/>
                <w:sz w:val="18"/>
                <w:szCs w:val="18"/>
              </w:rPr>
              <w:t>These standards should be stored with minimal headspace, at -10°C to -20°, and should be checked frequently for signs of degradation or evaporation.</w:t>
            </w:r>
          </w:p>
        </w:tc>
      </w:tr>
      <w:tr w:rsidR="00177C0A" w:rsidRPr="00A0149B" w14:paraId="29D19021" w14:textId="77777777" w:rsidTr="000D36DE">
        <w:trPr>
          <w:trHeight w:val="264"/>
        </w:trPr>
        <w:tc>
          <w:tcPr>
            <w:tcW w:w="529" w:type="dxa"/>
            <w:noWrap/>
            <w:vAlign w:val="center"/>
          </w:tcPr>
          <w:p w14:paraId="28FFF00D" w14:textId="2FA8AC85"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14EC8C65" w14:textId="77777777" w:rsidR="00177C0A" w:rsidRDefault="0017588C" w:rsidP="0020258E">
            <w:pPr>
              <w:jc w:val="both"/>
              <w:rPr>
                <w:rFonts w:ascii="Arial" w:hAnsi="Arial" w:cs="Arial"/>
                <w:sz w:val="18"/>
                <w:szCs w:val="18"/>
              </w:rPr>
            </w:pPr>
            <w:r>
              <w:rPr>
                <w:rFonts w:ascii="Arial" w:hAnsi="Arial" w:cs="Arial"/>
                <w:sz w:val="18"/>
                <w:szCs w:val="18"/>
              </w:rPr>
              <w:t>How often are the</w:t>
            </w:r>
            <w:r w:rsidR="00177C0A">
              <w:rPr>
                <w:rFonts w:ascii="Arial" w:hAnsi="Arial" w:cs="Arial"/>
                <w:sz w:val="18"/>
                <w:szCs w:val="18"/>
              </w:rPr>
              <w:t xml:space="preserve"> primary dilution standards</w:t>
            </w:r>
            <w:r w:rsidR="00177C0A" w:rsidRPr="004C705F">
              <w:rPr>
                <w:rFonts w:ascii="Arial" w:hAnsi="Arial" w:cs="Arial"/>
                <w:sz w:val="18"/>
                <w:szCs w:val="18"/>
              </w:rPr>
              <w:t xml:space="preserve"> replaced</w:t>
            </w:r>
            <w:r w:rsidR="00177C0A">
              <w:rPr>
                <w:rFonts w:ascii="Arial" w:hAnsi="Arial" w:cs="Arial"/>
                <w:sz w:val="18"/>
                <w:szCs w:val="18"/>
              </w:rPr>
              <w:t>?</w:t>
            </w:r>
            <w:r w:rsidR="00177C0A">
              <w:t xml:space="preserve"> </w:t>
            </w:r>
            <w:r w:rsidR="00177C0A" w:rsidRPr="004C705F">
              <w:rPr>
                <w:rFonts w:ascii="Arial" w:hAnsi="Arial" w:cs="Arial"/>
                <w:sz w:val="18"/>
                <w:szCs w:val="18"/>
              </w:rPr>
              <w:t>[MADEP VPH Rev. 2.1 (Feb 2018) Section 7.</w:t>
            </w:r>
            <w:r w:rsidR="00177C0A">
              <w:rPr>
                <w:rFonts w:ascii="Arial" w:hAnsi="Arial" w:cs="Arial"/>
                <w:sz w:val="18"/>
                <w:szCs w:val="18"/>
              </w:rPr>
              <w:t>3</w:t>
            </w:r>
            <w:r w:rsidR="00177C0A" w:rsidRPr="004C705F">
              <w:rPr>
                <w:rFonts w:ascii="Arial" w:hAnsi="Arial" w:cs="Arial"/>
                <w:sz w:val="18"/>
                <w:szCs w:val="18"/>
              </w:rPr>
              <w:t>]</w:t>
            </w:r>
          </w:p>
          <w:p w14:paraId="225448DB" w14:textId="77777777" w:rsidR="0017588C" w:rsidRDefault="0017588C" w:rsidP="0020258E">
            <w:pPr>
              <w:jc w:val="both"/>
              <w:rPr>
                <w:rFonts w:ascii="Arial" w:hAnsi="Arial" w:cs="Arial"/>
                <w:sz w:val="18"/>
                <w:szCs w:val="18"/>
              </w:rPr>
            </w:pPr>
          </w:p>
          <w:p w14:paraId="789F2B55" w14:textId="77777777" w:rsidR="0017588C" w:rsidRDefault="00C35E9B" w:rsidP="0020258E">
            <w:pPr>
              <w:jc w:val="both"/>
              <w:rPr>
                <w:rFonts w:ascii="Arial" w:hAnsi="Arial" w:cs="Arial"/>
                <w:b/>
                <w:bCs/>
                <w:sz w:val="18"/>
                <w:szCs w:val="18"/>
              </w:rPr>
            </w:pPr>
            <w:r w:rsidRPr="008D1B28">
              <w:rPr>
                <w:rFonts w:ascii="Arial" w:hAnsi="Arial" w:cs="Arial"/>
                <w:b/>
                <w:bCs/>
                <w:sz w:val="18"/>
                <w:szCs w:val="18"/>
              </w:rPr>
              <w:t>Answer:</w:t>
            </w:r>
          </w:p>
          <w:p w14:paraId="10A5952C" w14:textId="77777777" w:rsidR="00E03302" w:rsidRDefault="00E03302" w:rsidP="0020258E">
            <w:pPr>
              <w:jc w:val="both"/>
              <w:rPr>
                <w:rFonts w:ascii="Arial" w:hAnsi="Arial" w:cs="Arial"/>
                <w:b/>
                <w:bCs/>
                <w:sz w:val="18"/>
                <w:szCs w:val="18"/>
              </w:rPr>
            </w:pPr>
          </w:p>
          <w:p w14:paraId="7DA8EBB3" w14:textId="37CAB1B2" w:rsidR="00E03302" w:rsidRPr="008D1B28" w:rsidRDefault="00E03302" w:rsidP="0020258E">
            <w:pPr>
              <w:jc w:val="both"/>
              <w:rPr>
                <w:rFonts w:ascii="Arial" w:hAnsi="Arial" w:cs="Arial"/>
                <w:b/>
                <w:bCs/>
                <w:sz w:val="18"/>
                <w:szCs w:val="18"/>
              </w:rPr>
            </w:pPr>
          </w:p>
        </w:tc>
        <w:tc>
          <w:tcPr>
            <w:tcW w:w="448" w:type="dxa"/>
            <w:shd w:val="clear" w:color="auto" w:fill="D9D9D9" w:themeFill="background1" w:themeFillShade="D9"/>
            <w:noWrap/>
            <w:vAlign w:val="center"/>
          </w:tcPr>
          <w:p w14:paraId="54672F15" w14:textId="77777777" w:rsidR="00177C0A" w:rsidRPr="00A0149B" w:rsidRDefault="00177C0A" w:rsidP="00177C0A">
            <w:pPr>
              <w:rPr>
                <w:rFonts w:ascii="Arial" w:hAnsi="Arial" w:cs="Arial"/>
                <w:sz w:val="18"/>
                <w:szCs w:val="18"/>
              </w:rPr>
            </w:pPr>
          </w:p>
        </w:tc>
        <w:tc>
          <w:tcPr>
            <w:tcW w:w="448" w:type="dxa"/>
            <w:shd w:val="clear" w:color="auto" w:fill="FFFFFF" w:themeFill="background1"/>
            <w:noWrap/>
            <w:vAlign w:val="center"/>
          </w:tcPr>
          <w:p w14:paraId="1586189D" w14:textId="77777777" w:rsidR="00177C0A" w:rsidRPr="00A0149B" w:rsidRDefault="00177C0A" w:rsidP="00177C0A">
            <w:pPr>
              <w:rPr>
                <w:rFonts w:ascii="Arial" w:hAnsi="Arial" w:cs="Arial"/>
                <w:sz w:val="18"/>
                <w:szCs w:val="18"/>
              </w:rPr>
            </w:pPr>
          </w:p>
        </w:tc>
        <w:tc>
          <w:tcPr>
            <w:tcW w:w="4867" w:type="dxa"/>
            <w:gridSpan w:val="2"/>
            <w:vAlign w:val="center"/>
          </w:tcPr>
          <w:p w14:paraId="546B0CA9" w14:textId="7E81BE37" w:rsidR="00177C0A" w:rsidRPr="00A0149B" w:rsidRDefault="0017588C" w:rsidP="008D1B28">
            <w:pPr>
              <w:jc w:val="both"/>
              <w:rPr>
                <w:rFonts w:ascii="Arial" w:hAnsi="Arial" w:cs="Arial"/>
                <w:sz w:val="18"/>
                <w:szCs w:val="18"/>
              </w:rPr>
            </w:pPr>
            <w:r w:rsidRPr="0017588C">
              <w:rPr>
                <w:rFonts w:ascii="Arial" w:hAnsi="Arial" w:cs="Arial"/>
                <w:sz w:val="18"/>
                <w:szCs w:val="18"/>
              </w:rPr>
              <w:t>The</w:t>
            </w:r>
            <w:r w:rsidR="008D1B28">
              <w:rPr>
                <w:rFonts w:ascii="Arial" w:hAnsi="Arial" w:cs="Arial"/>
                <w:sz w:val="18"/>
                <w:szCs w:val="18"/>
              </w:rPr>
              <w:t xml:space="preserve"> </w:t>
            </w:r>
            <w:r w:rsidRPr="0017588C">
              <w:rPr>
                <w:rFonts w:ascii="Arial" w:hAnsi="Arial" w:cs="Arial"/>
                <w:sz w:val="18"/>
                <w:szCs w:val="18"/>
              </w:rPr>
              <w:t>primary dilution standards should be replaced at least monthly.</w:t>
            </w:r>
          </w:p>
        </w:tc>
      </w:tr>
      <w:tr w:rsidR="00177C0A" w:rsidRPr="00A0149B" w14:paraId="586E1D2F" w14:textId="77777777" w:rsidTr="000D36DE">
        <w:trPr>
          <w:trHeight w:val="264"/>
        </w:trPr>
        <w:tc>
          <w:tcPr>
            <w:tcW w:w="529" w:type="dxa"/>
            <w:noWrap/>
            <w:vAlign w:val="center"/>
          </w:tcPr>
          <w:p w14:paraId="67930892" w14:textId="74EF2DE6"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07117F75" w14:textId="77777777" w:rsidR="00177C0A" w:rsidRDefault="00CE1CB3" w:rsidP="0020258E">
            <w:pPr>
              <w:jc w:val="both"/>
              <w:rPr>
                <w:rFonts w:ascii="Arial" w:hAnsi="Arial" w:cs="Arial"/>
                <w:sz w:val="18"/>
                <w:szCs w:val="18"/>
              </w:rPr>
            </w:pPr>
            <w:r>
              <w:rPr>
                <w:rFonts w:ascii="Arial" w:hAnsi="Arial" w:cs="Arial"/>
                <w:sz w:val="18"/>
                <w:szCs w:val="18"/>
              </w:rPr>
              <w:t>How</w:t>
            </w:r>
            <w:r w:rsidR="00A600EE">
              <w:rPr>
                <w:rFonts w:ascii="Arial" w:hAnsi="Arial" w:cs="Arial"/>
                <w:sz w:val="18"/>
                <w:szCs w:val="18"/>
              </w:rPr>
              <w:t xml:space="preserve"> long are</w:t>
            </w:r>
            <w:r w:rsidR="00177C0A">
              <w:rPr>
                <w:rFonts w:ascii="Arial" w:hAnsi="Arial" w:cs="Arial"/>
                <w:sz w:val="18"/>
                <w:szCs w:val="18"/>
              </w:rPr>
              <w:t xml:space="preserve"> aqueous </w:t>
            </w:r>
            <w:r w:rsidR="00160C98">
              <w:rPr>
                <w:rFonts w:ascii="Arial" w:hAnsi="Arial" w:cs="Arial"/>
                <w:sz w:val="18"/>
                <w:szCs w:val="18"/>
              </w:rPr>
              <w:t xml:space="preserve">calibration </w:t>
            </w:r>
            <w:r w:rsidR="00177C0A">
              <w:rPr>
                <w:rFonts w:ascii="Arial" w:hAnsi="Arial" w:cs="Arial"/>
                <w:sz w:val="18"/>
                <w:szCs w:val="18"/>
              </w:rPr>
              <w:t xml:space="preserve">standards </w:t>
            </w:r>
            <w:r w:rsidR="00692049">
              <w:rPr>
                <w:rFonts w:ascii="Arial" w:hAnsi="Arial" w:cs="Arial"/>
                <w:sz w:val="18"/>
                <w:szCs w:val="18"/>
              </w:rPr>
              <w:t>used after preparation</w:t>
            </w:r>
            <w:r w:rsidR="00177C0A">
              <w:rPr>
                <w:rFonts w:ascii="Arial" w:hAnsi="Arial" w:cs="Arial"/>
                <w:sz w:val="18"/>
                <w:szCs w:val="18"/>
              </w:rPr>
              <w:t>?</w:t>
            </w:r>
            <w:r w:rsidR="00177C0A">
              <w:t xml:space="preserve"> </w:t>
            </w:r>
            <w:r w:rsidR="00177C0A" w:rsidRPr="005F0928">
              <w:rPr>
                <w:rFonts w:ascii="Arial" w:hAnsi="Arial" w:cs="Arial"/>
                <w:sz w:val="18"/>
                <w:szCs w:val="18"/>
              </w:rPr>
              <w:t>[MADEP VPH Rev. 2.1 (Feb 2018) Section 7.</w:t>
            </w:r>
            <w:r w:rsidR="00177C0A">
              <w:rPr>
                <w:rFonts w:ascii="Arial" w:hAnsi="Arial" w:cs="Arial"/>
                <w:sz w:val="18"/>
                <w:szCs w:val="18"/>
              </w:rPr>
              <w:t>4</w:t>
            </w:r>
            <w:r w:rsidR="00177C0A" w:rsidRPr="005F0928">
              <w:rPr>
                <w:rFonts w:ascii="Arial" w:hAnsi="Arial" w:cs="Arial"/>
                <w:sz w:val="18"/>
                <w:szCs w:val="18"/>
              </w:rPr>
              <w:t>]</w:t>
            </w:r>
            <w:r w:rsidR="00177C0A">
              <w:rPr>
                <w:rFonts w:ascii="Arial" w:hAnsi="Arial" w:cs="Arial"/>
                <w:sz w:val="18"/>
                <w:szCs w:val="18"/>
              </w:rPr>
              <w:t xml:space="preserve"> </w:t>
            </w:r>
          </w:p>
          <w:p w14:paraId="2C60DE7C" w14:textId="77777777" w:rsidR="00C46DF0" w:rsidRDefault="00C46DF0" w:rsidP="0020258E">
            <w:pPr>
              <w:jc w:val="both"/>
              <w:rPr>
                <w:rFonts w:ascii="Arial" w:hAnsi="Arial" w:cs="Arial"/>
                <w:sz w:val="18"/>
                <w:szCs w:val="18"/>
              </w:rPr>
            </w:pPr>
          </w:p>
          <w:p w14:paraId="1A756195" w14:textId="45514741" w:rsidR="00C46DF0" w:rsidRDefault="00C46DF0" w:rsidP="0020258E">
            <w:pPr>
              <w:jc w:val="both"/>
              <w:rPr>
                <w:rFonts w:ascii="Arial" w:hAnsi="Arial" w:cs="Arial"/>
                <w:b/>
                <w:bCs/>
                <w:sz w:val="18"/>
                <w:szCs w:val="18"/>
              </w:rPr>
            </w:pPr>
            <w:r w:rsidRPr="00C46DF0">
              <w:rPr>
                <w:rFonts w:ascii="Arial" w:hAnsi="Arial" w:cs="Arial"/>
                <w:b/>
                <w:bCs/>
                <w:sz w:val="18"/>
                <w:szCs w:val="18"/>
              </w:rPr>
              <w:t>Answer:</w:t>
            </w:r>
          </w:p>
          <w:p w14:paraId="2CA57598" w14:textId="77777777" w:rsidR="00C46DF0" w:rsidRDefault="00C46DF0" w:rsidP="0020258E">
            <w:pPr>
              <w:jc w:val="both"/>
              <w:rPr>
                <w:rFonts w:ascii="Arial" w:hAnsi="Arial" w:cs="Arial"/>
                <w:b/>
                <w:bCs/>
                <w:sz w:val="18"/>
                <w:szCs w:val="18"/>
              </w:rPr>
            </w:pPr>
          </w:p>
          <w:p w14:paraId="0EBCA6ED" w14:textId="2620B232" w:rsidR="00C46DF0" w:rsidRDefault="00C46DF0" w:rsidP="0020258E">
            <w:pPr>
              <w:jc w:val="both"/>
              <w:rPr>
                <w:rFonts w:ascii="Arial" w:hAnsi="Arial" w:cs="Arial"/>
                <w:sz w:val="18"/>
                <w:szCs w:val="18"/>
              </w:rPr>
            </w:pPr>
          </w:p>
        </w:tc>
        <w:tc>
          <w:tcPr>
            <w:tcW w:w="448" w:type="dxa"/>
            <w:shd w:val="clear" w:color="auto" w:fill="D9D9D9" w:themeFill="background1" w:themeFillShade="D9"/>
            <w:noWrap/>
            <w:vAlign w:val="center"/>
          </w:tcPr>
          <w:p w14:paraId="765C9C6C" w14:textId="77777777" w:rsidR="00177C0A" w:rsidRPr="00A0149B" w:rsidRDefault="00177C0A" w:rsidP="00177C0A">
            <w:pPr>
              <w:rPr>
                <w:rFonts w:ascii="Arial" w:hAnsi="Arial" w:cs="Arial"/>
                <w:sz w:val="18"/>
                <w:szCs w:val="18"/>
              </w:rPr>
            </w:pPr>
          </w:p>
        </w:tc>
        <w:tc>
          <w:tcPr>
            <w:tcW w:w="448" w:type="dxa"/>
            <w:shd w:val="clear" w:color="auto" w:fill="FFFFFF" w:themeFill="background1"/>
            <w:noWrap/>
            <w:vAlign w:val="center"/>
          </w:tcPr>
          <w:p w14:paraId="59E9E2A1" w14:textId="77777777" w:rsidR="00177C0A" w:rsidRPr="00A0149B" w:rsidRDefault="00177C0A" w:rsidP="00177C0A">
            <w:pPr>
              <w:rPr>
                <w:rFonts w:ascii="Arial" w:hAnsi="Arial" w:cs="Arial"/>
                <w:sz w:val="18"/>
                <w:szCs w:val="18"/>
              </w:rPr>
            </w:pPr>
          </w:p>
        </w:tc>
        <w:tc>
          <w:tcPr>
            <w:tcW w:w="4867" w:type="dxa"/>
            <w:gridSpan w:val="2"/>
            <w:vAlign w:val="center"/>
          </w:tcPr>
          <w:p w14:paraId="7CA81D04" w14:textId="2D193B23" w:rsidR="00177C0A" w:rsidRPr="00A0149B" w:rsidRDefault="00054228" w:rsidP="0020258E">
            <w:pPr>
              <w:jc w:val="both"/>
              <w:rPr>
                <w:rFonts w:ascii="Arial" w:hAnsi="Arial" w:cs="Arial"/>
                <w:sz w:val="18"/>
                <w:szCs w:val="18"/>
              </w:rPr>
            </w:pPr>
            <w:r w:rsidRPr="00054228">
              <w:rPr>
                <w:rFonts w:ascii="Arial" w:hAnsi="Arial" w:cs="Arial"/>
                <w:sz w:val="18"/>
                <w:szCs w:val="18"/>
              </w:rPr>
              <w:t>Aqueous standards are not stable and should be discarded after one hour.</w:t>
            </w:r>
          </w:p>
        </w:tc>
      </w:tr>
      <w:tr w:rsidR="00177C0A" w:rsidRPr="00560E41" w14:paraId="23E6A531" w14:textId="77777777" w:rsidTr="000D36DE">
        <w:trPr>
          <w:trHeight w:val="264"/>
        </w:trPr>
        <w:tc>
          <w:tcPr>
            <w:tcW w:w="529" w:type="dxa"/>
            <w:shd w:val="clear" w:color="auto" w:fill="D9D9D9" w:themeFill="background1" w:themeFillShade="D9"/>
            <w:noWrap/>
            <w:vAlign w:val="center"/>
          </w:tcPr>
          <w:p w14:paraId="1362824C" w14:textId="77777777" w:rsidR="00177C0A" w:rsidRPr="008D4248" w:rsidRDefault="00177C0A" w:rsidP="00155C16">
            <w:pPr>
              <w:pStyle w:val="ListParagraph"/>
              <w:ind w:left="72"/>
              <w:rPr>
                <w:rFonts w:ascii="Arial" w:hAnsi="Arial" w:cs="Arial"/>
                <w:sz w:val="18"/>
                <w:szCs w:val="18"/>
              </w:rPr>
            </w:pPr>
          </w:p>
        </w:tc>
        <w:tc>
          <w:tcPr>
            <w:tcW w:w="4867" w:type="dxa"/>
            <w:shd w:val="clear" w:color="auto" w:fill="D9D9D9" w:themeFill="background1" w:themeFillShade="D9"/>
            <w:noWrap/>
            <w:vAlign w:val="center"/>
          </w:tcPr>
          <w:p w14:paraId="452D5881" w14:textId="77777777" w:rsidR="00177C0A" w:rsidRPr="00560E41" w:rsidRDefault="00177C0A" w:rsidP="00177C0A">
            <w:pPr>
              <w:jc w:val="center"/>
              <w:rPr>
                <w:rFonts w:ascii="Arial" w:hAnsi="Arial" w:cs="Arial"/>
                <w:b/>
                <w:sz w:val="18"/>
                <w:szCs w:val="18"/>
              </w:rPr>
            </w:pPr>
            <w:r w:rsidRPr="00560E41">
              <w:rPr>
                <w:rFonts w:ascii="Arial" w:hAnsi="Arial" w:cs="Arial"/>
                <w:b/>
                <w:sz w:val="18"/>
                <w:szCs w:val="18"/>
              </w:rPr>
              <w:t>PROCEDURE –</w:t>
            </w:r>
            <w:r>
              <w:t xml:space="preserve"> </w:t>
            </w:r>
            <w:r w:rsidRPr="004C1F18">
              <w:rPr>
                <w:rFonts w:ascii="Arial" w:hAnsi="Arial" w:cs="Arial"/>
                <w:b/>
                <w:sz w:val="18"/>
                <w:szCs w:val="18"/>
              </w:rPr>
              <w:t>Instrument Calibration</w:t>
            </w:r>
          </w:p>
        </w:tc>
        <w:tc>
          <w:tcPr>
            <w:tcW w:w="448" w:type="dxa"/>
            <w:tcBorders>
              <w:bottom w:val="single" w:sz="4" w:space="0" w:color="auto"/>
            </w:tcBorders>
            <w:shd w:val="clear" w:color="auto" w:fill="D9D9D9" w:themeFill="background1" w:themeFillShade="D9"/>
            <w:noWrap/>
            <w:vAlign w:val="center"/>
          </w:tcPr>
          <w:p w14:paraId="77A91DDC" w14:textId="77777777" w:rsidR="00177C0A" w:rsidRDefault="00177C0A" w:rsidP="00177C0A">
            <w:pPr>
              <w:jc w:val="both"/>
              <w:rPr>
                <w:rFonts w:ascii="Arial" w:hAnsi="Arial" w:cs="Arial"/>
                <w:b/>
                <w:sz w:val="18"/>
                <w:szCs w:val="18"/>
              </w:rPr>
            </w:pPr>
            <w:r>
              <w:rPr>
                <w:rFonts w:ascii="Arial" w:hAnsi="Arial" w:cs="Arial"/>
                <w:b/>
                <w:sz w:val="18"/>
                <w:szCs w:val="18"/>
              </w:rPr>
              <w:t>LAB</w:t>
            </w:r>
          </w:p>
        </w:tc>
        <w:tc>
          <w:tcPr>
            <w:tcW w:w="448" w:type="dxa"/>
            <w:tcBorders>
              <w:bottom w:val="single" w:sz="4" w:space="0" w:color="auto"/>
            </w:tcBorders>
            <w:shd w:val="clear" w:color="auto" w:fill="D9D9D9" w:themeFill="background1" w:themeFillShade="D9"/>
            <w:noWrap/>
            <w:vAlign w:val="center"/>
          </w:tcPr>
          <w:p w14:paraId="2DEB6853" w14:textId="77777777" w:rsidR="00177C0A" w:rsidRDefault="00177C0A" w:rsidP="00177C0A">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3B0E051B" w14:textId="77777777" w:rsidR="00177C0A" w:rsidRPr="00560E41" w:rsidRDefault="00177C0A" w:rsidP="00177C0A">
            <w:pPr>
              <w:jc w:val="center"/>
              <w:rPr>
                <w:rFonts w:ascii="Arial" w:hAnsi="Arial" w:cs="Arial"/>
                <w:b/>
                <w:sz w:val="18"/>
                <w:szCs w:val="18"/>
              </w:rPr>
            </w:pPr>
            <w:r w:rsidRPr="00560E41">
              <w:rPr>
                <w:rFonts w:ascii="Arial" w:hAnsi="Arial" w:cs="Arial"/>
                <w:b/>
                <w:sz w:val="18"/>
                <w:szCs w:val="18"/>
              </w:rPr>
              <w:t>EXPLANATION</w:t>
            </w:r>
          </w:p>
        </w:tc>
      </w:tr>
      <w:tr w:rsidR="00177C0A" w:rsidRPr="00A0149B" w14:paraId="3532CE0A" w14:textId="77777777" w:rsidTr="000D36DE">
        <w:trPr>
          <w:trHeight w:val="264"/>
        </w:trPr>
        <w:tc>
          <w:tcPr>
            <w:tcW w:w="529" w:type="dxa"/>
            <w:noWrap/>
            <w:vAlign w:val="center"/>
          </w:tcPr>
          <w:p w14:paraId="625C0E1C" w14:textId="16C0D900"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1ABD7D9A" w14:textId="448159F2" w:rsidR="00177C0A" w:rsidRPr="001C10BF" w:rsidRDefault="00177C0A" w:rsidP="0020258E">
            <w:pPr>
              <w:jc w:val="both"/>
              <w:rPr>
                <w:rFonts w:ascii="Arial" w:hAnsi="Arial" w:cs="Arial"/>
                <w:sz w:val="18"/>
                <w:szCs w:val="18"/>
              </w:rPr>
            </w:pPr>
            <w:proofErr w:type="gramStart"/>
            <w:r w:rsidRPr="005F0928">
              <w:rPr>
                <w:rFonts w:ascii="Arial" w:hAnsi="Arial" w:cs="Arial"/>
                <w:sz w:val="18"/>
                <w:szCs w:val="18"/>
              </w:rPr>
              <w:t>Are</w:t>
            </w:r>
            <w:proofErr w:type="gramEnd"/>
            <w:r w:rsidRPr="005F0928">
              <w:rPr>
                <w:rFonts w:ascii="Arial" w:hAnsi="Arial" w:cs="Arial"/>
                <w:sz w:val="18"/>
                <w:szCs w:val="18"/>
              </w:rPr>
              <w:t xml:space="preserve"> a minimum of 5 calibration </w:t>
            </w:r>
            <w:r w:rsidR="00C94ADB">
              <w:rPr>
                <w:rFonts w:ascii="Arial" w:hAnsi="Arial" w:cs="Arial"/>
                <w:sz w:val="18"/>
                <w:szCs w:val="18"/>
              </w:rPr>
              <w:t xml:space="preserve">standards analyzed with concentrations evenly </w:t>
            </w:r>
            <w:r w:rsidR="00E126C7">
              <w:rPr>
                <w:rFonts w:ascii="Arial" w:hAnsi="Arial" w:cs="Arial"/>
                <w:sz w:val="18"/>
                <w:szCs w:val="18"/>
              </w:rPr>
              <w:t>dispersed over the full working range and</w:t>
            </w:r>
            <w:r>
              <w:rPr>
                <w:rFonts w:ascii="Arial" w:hAnsi="Arial" w:cs="Arial"/>
                <w:sz w:val="18"/>
                <w:szCs w:val="18"/>
              </w:rPr>
              <w:t xml:space="preserve"> </w:t>
            </w:r>
            <w:r w:rsidRPr="005F0928">
              <w:rPr>
                <w:rFonts w:ascii="Arial" w:hAnsi="Arial" w:cs="Arial"/>
                <w:sz w:val="18"/>
                <w:szCs w:val="18"/>
              </w:rPr>
              <w:t>with the lowest</w:t>
            </w:r>
            <w:r w:rsidR="00E126C7">
              <w:rPr>
                <w:rFonts w:ascii="Arial" w:hAnsi="Arial" w:cs="Arial"/>
                <w:sz w:val="18"/>
                <w:szCs w:val="18"/>
              </w:rPr>
              <w:t xml:space="preserve"> </w:t>
            </w:r>
            <w:r w:rsidRPr="005F0928">
              <w:rPr>
                <w:rFonts w:ascii="Arial" w:hAnsi="Arial" w:cs="Arial"/>
                <w:sz w:val="18"/>
                <w:szCs w:val="18"/>
              </w:rPr>
              <w:t xml:space="preserve">calibration point corresponding to the </w:t>
            </w:r>
            <w:r>
              <w:rPr>
                <w:rFonts w:ascii="Arial" w:hAnsi="Arial" w:cs="Arial"/>
                <w:sz w:val="18"/>
                <w:szCs w:val="18"/>
              </w:rPr>
              <w:t>reporting limit (RL)?</w:t>
            </w:r>
            <w:r w:rsidRPr="005F0928">
              <w:rPr>
                <w:rFonts w:ascii="Arial" w:hAnsi="Arial" w:cs="Arial"/>
                <w:sz w:val="18"/>
                <w:szCs w:val="18"/>
              </w:rPr>
              <w:t xml:space="preserve"> [MADEP VPH Rev. 2.1 (Feb 2018) Section</w:t>
            </w:r>
            <w:r>
              <w:rPr>
                <w:rFonts w:ascii="Arial" w:hAnsi="Arial" w:cs="Arial"/>
                <w:sz w:val="18"/>
                <w:szCs w:val="18"/>
              </w:rPr>
              <w:t xml:space="preserve"> 7.4</w:t>
            </w:r>
            <w:r w:rsidRPr="005F0928">
              <w:rPr>
                <w:rFonts w:ascii="Arial" w:hAnsi="Arial" w:cs="Arial"/>
                <w:sz w:val="18"/>
                <w:szCs w:val="18"/>
              </w:rPr>
              <w:t>]</w:t>
            </w:r>
          </w:p>
        </w:tc>
        <w:tc>
          <w:tcPr>
            <w:tcW w:w="448" w:type="dxa"/>
            <w:shd w:val="clear" w:color="auto" w:fill="FFFFFF" w:themeFill="background1"/>
            <w:noWrap/>
            <w:vAlign w:val="center"/>
          </w:tcPr>
          <w:p w14:paraId="7288313E" w14:textId="77777777" w:rsidR="00177C0A" w:rsidRPr="00A0149B" w:rsidRDefault="00177C0A" w:rsidP="00177C0A">
            <w:pPr>
              <w:rPr>
                <w:rFonts w:ascii="Arial" w:hAnsi="Arial" w:cs="Arial"/>
                <w:sz w:val="18"/>
                <w:szCs w:val="18"/>
              </w:rPr>
            </w:pPr>
          </w:p>
        </w:tc>
        <w:tc>
          <w:tcPr>
            <w:tcW w:w="448" w:type="dxa"/>
            <w:shd w:val="clear" w:color="auto" w:fill="FFFFFF" w:themeFill="background1"/>
            <w:noWrap/>
            <w:vAlign w:val="center"/>
          </w:tcPr>
          <w:p w14:paraId="6DD61AFC" w14:textId="77777777" w:rsidR="00177C0A" w:rsidRPr="00A0149B" w:rsidRDefault="00177C0A" w:rsidP="00177C0A">
            <w:pPr>
              <w:rPr>
                <w:rFonts w:ascii="Arial" w:hAnsi="Arial" w:cs="Arial"/>
                <w:sz w:val="18"/>
                <w:szCs w:val="18"/>
              </w:rPr>
            </w:pPr>
          </w:p>
        </w:tc>
        <w:tc>
          <w:tcPr>
            <w:tcW w:w="4867" w:type="dxa"/>
            <w:gridSpan w:val="2"/>
            <w:vAlign w:val="center"/>
          </w:tcPr>
          <w:p w14:paraId="49D616BB" w14:textId="77777777" w:rsidR="00177C0A" w:rsidRPr="00A0149B" w:rsidRDefault="00177C0A" w:rsidP="0020258E">
            <w:pPr>
              <w:jc w:val="both"/>
              <w:rPr>
                <w:rFonts w:ascii="Arial" w:hAnsi="Arial" w:cs="Arial"/>
                <w:sz w:val="18"/>
                <w:szCs w:val="18"/>
              </w:rPr>
            </w:pPr>
            <w:r w:rsidRPr="005F0928">
              <w:rPr>
                <w:rFonts w:ascii="Arial" w:hAnsi="Arial" w:cs="Arial"/>
                <w:sz w:val="18"/>
                <w:szCs w:val="18"/>
              </w:rPr>
              <w:t>At a</w:t>
            </w:r>
            <w:r>
              <w:rPr>
                <w:rFonts w:ascii="Arial" w:hAnsi="Arial" w:cs="Arial"/>
                <w:sz w:val="18"/>
                <w:szCs w:val="18"/>
              </w:rPr>
              <w:t xml:space="preserve"> </w:t>
            </w:r>
            <w:r w:rsidRPr="005F0928">
              <w:rPr>
                <w:rFonts w:ascii="Arial" w:hAnsi="Arial" w:cs="Arial"/>
                <w:sz w:val="18"/>
                <w:szCs w:val="18"/>
              </w:rPr>
              <w:t>minimum, five different concentrations are required for a valid calibration curve. The</w:t>
            </w:r>
            <w:r>
              <w:rPr>
                <w:rFonts w:ascii="Arial" w:hAnsi="Arial" w:cs="Arial"/>
                <w:sz w:val="18"/>
                <w:szCs w:val="18"/>
              </w:rPr>
              <w:t xml:space="preserve"> </w:t>
            </w:r>
            <w:r w:rsidRPr="005F0928">
              <w:rPr>
                <w:rFonts w:ascii="Arial" w:hAnsi="Arial" w:cs="Arial"/>
                <w:sz w:val="18"/>
                <w:szCs w:val="18"/>
              </w:rPr>
              <w:t>calibration</w:t>
            </w:r>
            <w:r>
              <w:rPr>
                <w:rFonts w:ascii="Arial" w:hAnsi="Arial" w:cs="Arial"/>
                <w:sz w:val="18"/>
                <w:szCs w:val="18"/>
              </w:rPr>
              <w:t xml:space="preserve"> </w:t>
            </w:r>
            <w:r w:rsidRPr="005F0928">
              <w:rPr>
                <w:rFonts w:ascii="Arial" w:hAnsi="Arial" w:cs="Arial"/>
                <w:sz w:val="18"/>
                <w:szCs w:val="18"/>
              </w:rPr>
              <w:t>concentrations must be evenly</w:t>
            </w:r>
            <w:r>
              <w:rPr>
                <w:rFonts w:ascii="Arial" w:hAnsi="Arial" w:cs="Arial"/>
                <w:sz w:val="18"/>
                <w:szCs w:val="18"/>
              </w:rPr>
              <w:t xml:space="preserve"> </w:t>
            </w:r>
            <w:r w:rsidRPr="005F0928">
              <w:rPr>
                <w:rFonts w:ascii="Arial" w:hAnsi="Arial" w:cs="Arial"/>
                <w:sz w:val="18"/>
                <w:szCs w:val="18"/>
              </w:rPr>
              <w:t>dispersed over the full working range of the detector with the lowest</w:t>
            </w:r>
            <w:r>
              <w:rPr>
                <w:rFonts w:ascii="Arial" w:hAnsi="Arial" w:cs="Arial"/>
                <w:sz w:val="18"/>
                <w:szCs w:val="18"/>
              </w:rPr>
              <w:t xml:space="preserve"> </w:t>
            </w:r>
            <w:r w:rsidRPr="005F0928">
              <w:rPr>
                <w:rFonts w:ascii="Arial" w:hAnsi="Arial" w:cs="Arial"/>
                <w:sz w:val="18"/>
                <w:szCs w:val="18"/>
              </w:rPr>
              <w:t>calibration point corresponding to the RL.</w:t>
            </w:r>
          </w:p>
        </w:tc>
      </w:tr>
      <w:tr w:rsidR="00177C0A" w:rsidRPr="00A0149B" w14:paraId="52DE49F2" w14:textId="77777777" w:rsidTr="000D36DE">
        <w:trPr>
          <w:trHeight w:val="264"/>
        </w:trPr>
        <w:tc>
          <w:tcPr>
            <w:tcW w:w="529" w:type="dxa"/>
            <w:noWrap/>
            <w:vAlign w:val="center"/>
          </w:tcPr>
          <w:p w14:paraId="791721C2" w14:textId="7F51A5FE"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6F2C45D4" w14:textId="03B98772" w:rsidR="00177C0A" w:rsidRDefault="00926D79" w:rsidP="0020258E">
            <w:pPr>
              <w:jc w:val="both"/>
              <w:rPr>
                <w:rFonts w:ascii="Arial" w:hAnsi="Arial" w:cs="Arial"/>
                <w:sz w:val="18"/>
                <w:szCs w:val="18"/>
              </w:rPr>
            </w:pPr>
            <w:r>
              <w:rPr>
                <w:rFonts w:ascii="Arial" w:hAnsi="Arial" w:cs="Arial"/>
                <w:sz w:val="18"/>
                <w:szCs w:val="18"/>
              </w:rPr>
              <w:t>How a</w:t>
            </w:r>
            <w:r w:rsidR="00177C0A" w:rsidRPr="004E0EC4">
              <w:rPr>
                <w:rFonts w:ascii="Arial" w:hAnsi="Arial" w:cs="Arial"/>
                <w:sz w:val="18"/>
                <w:szCs w:val="18"/>
              </w:rPr>
              <w:t xml:space="preserve">re </w:t>
            </w:r>
            <w:proofErr w:type="gramStart"/>
            <w:r w:rsidR="00177C0A" w:rsidRPr="004E0EC4">
              <w:rPr>
                <w:rFonts w:ascii="Arial" w:hAnsi="Arial" w:cs="Arial"/>
                <w:sz w:val="18"/>
                <w:szCs w:val="18"/>
              </w:rPr>
              <w:t>retention time</w:t>
            </w:r>
            <w:proofErr w:type="gramEnd"/>
            <w:r w:rsidR="00177C0A" w:rsidRPr="004E0EC4">
              <w:rPr>
                <w:rFonts w:ascii="Arial" w:hAnsi="Arial" w:cs="Arial"/>
                <w:sz w:val="18"/>
                <w:szCs w:val="18"/>
              </w:rPr>
              <w:t xml:space="preserve"> windows established over the course of a 72-hour period for each GC and any time a new column is installed? [MADEP VPH Rev. 2.1 (Feb 2018) Section 9.</w:t>
            </w:r>
            <w:r w:rsidR="00177C0A">
              <w:rPr>
                <w:rFonts w:ascii="Arial" w:hAnsi="Arial" w:cs="Arial"/>
                <w:sz w:val="18"/>
                <w:szCs w:val="18"/>
              </w:rPr>
              <w:t>3</w:t>
            </w:r>
            <w:r w:rsidR="00177C0A" w:rsidRPr="004E0EC4">
              <w:rPr>
                <w:rFonts w:ascii="Arial" w:hAnsi="Arial" w:cs="Arial"/>
                <w:sz w:val="18"/>
                <w:szCs w:val="18"/>
              </w:rPr>
              <w:t>]</w:t>
            </w:r>
          </w:p>
          <w:p w14:paraId="0F6D2095" w14:textId="77777777" w:rsidR="00926D79" w:rsidRDefault="00926D79" w:rsidP="0020258E">
            <w:pPr>
              <w:jc w:val="both"/>
              <w:rPr>
                <w:rFonts w:ascii="Arial" w:hAnsi="Arial" w:cs="Arial"/>
                <w:sz w:val="18"/>
                <w:szCs w:val="18"/>
              </w:rPr>
            </w:pPr>
          </w:p>
          <w:p w14:paraId="052BD584" w14:textId="77777777" w:rsidR="00926D79" w:rsidRDefault="00926D79" w:rsidP="0020258E">
            <w:pPr>
              <w:jc w:val="both"/>
              <w:rPr>
                <w:rFonts w:ascii="Arial" w:hAnsi="Arial" w:cs="Arial"/>
                <w:b/>
                <w:bCs/>
                <w:sz w:val="18"/>
                <w:szCs w:val="18"/>
              </w:rPr>
            </w:pPr>
            <w:r w:rsidRPr="00926D79">
              <w:rPr>
                <w:rFonts w:ascii="Arial" w:hAnsi="Arial" w:cs="Arial"/>
                <w:b/>
                <w:bCs/>
                <w:sz w:val="18"/>
                <w:szCs w:val="18"/>
              </w:rPr>
              <w:t xml:space="preserve">Answer: </w:t>
            </w:r>
          </w:p>
          <w:p w14:paraId="0776FE4D" w14:textId="63283025" w:rsidR="00926D79" w:rsidRPr="00926D79" w:rsidRDefault="00926D79" w:rsidP="0020258E">
            <w:pPr>
              <w:jc w:val="both"/>
              <w:rPr>
                <w:rFonts w:ascii="Arial" w:hAnsi="Arial" w:cs="Arial"/>
                <w:b/>
                <w:bCs/>
                <w:sz w:val="18"/>
                <w:szCs w:val="18"/>
              </w:rPr>
            </w:pPr>
          </w:p>
        </w:tc>
        <w:tc>
          <w:tcPr>
            <w:tcW w:w="448" w:type="dxa"/>
            <w:shd w:val="clear" w:color="auto" w:fill="FFFFFF" w:themeFill="background1"/>
            <w:noWrap/>
            <w:vAlign w:val="center"/>
          </w:tcPr>
          <w:p w14:paraId="7B0675F5" w14:textId="77777777" w:rsidR="00177C0A" w:rsidRPr="00A0149B" w:rsidRDefault="00177C0A" w:rsidP="00177C0A">
            <w:pPr>
              <w:rPr>
                <w:rFonts w:ascii="Arial" w:hAnsi="Arial" w:cs="Arial"/>
                <w:sz w:val="18"/>
                <w:szCs w:val="18"/>
              </w:rPr>
            </w:pPr>
          </w:p>
        </w:tc>
        <w:tc>
          <w:tcPr>
            <w:tcW w:w="448" w:type="dxa"/>
            <w:shd w:val="clear" w:color="auto" w:fill="FFFFFF" w:themeFill="background1"/>
            <w:noWrap/>
            <w:vAlign w:val="center"/>
          </w:tcPr>
          <w:p w14:paraId="41E83BBA" w14:textId="77777777" w:rsidR="00177C0A" w:rsidRPr="00A0149B" w:rsidRDefault="00177C0A" w:rsidP="00177C0A">
            <w:pPr>
              <w:rPr>
                <w:rFonts w:ascii="Arial" w:hAnsi="Arial" w:cs="Arial"/>
                <w:sz w:val="18"/>
                <w:szCs w:val="18"/>
              </w:rPr>
            </w:pPr>
          </w:p>
        </w:tc>
        <w:tc>
          <w:tcPr>
            <w:tcW w:w="4867" w:type="dxa"/>
            <w:gridSpan w:val="2"/>
            <w:vAlign w:val="center"/>
          </w:tcPr>
          <w:p w14:paraId="3E260017" w14:textId="73AFC82C" w:rsidR="00177C0A" w:rsidRPr="005F0928" w:rsidRDefault="00177C0A" w:rsidP="0020258E">
            <w:pPr>
              <w:jc w:val="both"/>
              <w:rPr>
                <w:rFonts w:ascii="Arial" w:hAnsi="Arial" w:cs="Arial"/>
                <w:sz w:val="18"/>
                <w:szCs w:val="18"/>
              </w:rPr>
            </w:pPr>
          </w:p>
        </w:tc>
      </w:tr>
      <w:tr w:rsidR="00177C0A" w:rsidRPr="00A0149B" w14:paraId="200C513D" w14:textId="77777777" w:rsidTr="000D36DE">
        <w:trPr>
          <w:trHeight w:val="264"/>
        </w:trPr>
        <w:tc>
          <w:tcPr>
            <w:tcW w:w="529" w:type="dxa"/>
            <w:noWrap/>
            <w:vAlign w:val="center"/>
          </w:tcPr>
          <w:p w14:paraId="0C97C8A5" w14:textId="6BFFBF95"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35F91378" w14:textId="77777777" w:rsidR="00177C0A" w:rsidRPr="00235FA9" w:rsidRDefault="00177C0A" w:rsidP="0020258E">
            <w:pPr>
              <w:jc w:val="both"/>
              <w:rPr>
                <w:rFonts w:ascii="Arial" w:hAnsi="Arial" w:cs="Arial"/>
                <w:sz w:val="18"/>
                <w:szCs w:val="18"/>
              </w:rPr>
            </w:pPr>
            <w:r w:rsidRPr="00D91150">
              <w:rPr>
                <w:rFonts w:ascii="Arial" w:hAnsi="Arial" w:cs="Arial"/>
                <w:sz w:val="18"/>
                <w:szCs w:val="18"/>
              </w:rPr>
              <w:t xml:space="preserve">Are </w:t>
            </w:r>
            <w:r>
              <w:rPr>
                <w:rFonts w:ascii="Arial" w:hAnsi="Arial" w:cs="Arial"/>
                <w:sz w:val="18"/>
                <w:szCs w:val="18"/>
              </w:rPr>
              <w:t xml:space="preserve">the </w:t>
            </w:r>
            <w:r w:rsidRPr="00D91150">
              <w:rPr>
                <w:rFonts w:ascii="Arial" w:hAnsi="Arial" w:cs="Arial"/>
                <w:sz w:val="18"/>
                <w:szCs w:val="18"/>
              </w:rPr>
              <w:t xml:space="preserve">collective aliphatic/aromatic hydrocarbon ranges </w:t>
            </w:r>
            <w:r w:rsidRPr="00403640">
              <w:rPr>
                <w:rFonts w:ascii="Arial" w:hAnsi="Arial" w:cs="Arial"/>
                <w:sz w:val="18"/>
                <w:szCs w:val="18"/>
              </w:rPr>
              <w:t xml:space="preserve">defined </w:t>
            </w:r>
            <w:proofErr w:type="gramStart"/>
            <w:r w:rsidRPr="00403640">
              <w:rPr>
                <w:rFonts w:ascii="Arial" w:hAnsi="Arial" w:cs="Arial"/>
                <w:sz w:val="18"/>
                <w:szCs w:val="18"/>
              </w:rPr>
              <w:t>per</w:t>
            </w:r>
            <w:proofErr w:type="gramEnd"/>
            <w:r w:rsidRPr="00403640">
              <w:rPr>
                <w:rFonts w:ascii="Arial" w:hAnsi="Arial" w:cs="Arial"/>
                <w:sz w:val="18"/>
                <w:szCs w:val="18"/>
              </w:rPr>
              <w:t xml:space="preserve"> the method?</w:t>
            </w:r>
            <w:r>
              <w:t xml:space="preserve"> </w:t>
            </w:r>
            <w:r w:rsidRPr="00403640">
              <w:rPr>
                <w:rFonts w:ascii="Arial" w:hAnsi="Arial" w:cs="Arial"/>
                <w:sz w:val="18"/>
                <w:szCs w:val="18"/>
              </w:rPr>
              <w:t>[MADEP VPH Rev. 2.1 (Feb 2018) Section</w:t>
            </w:r>
            <w:r>
              <w:rPr>
                <w:rFonts w:ascii="Arial" w:hAnsi="Arial" w:cs="Arial"/>
                <w:sz w:val="18"/>
                <w:szCs w:val="18"/>
              </w:rPr>
              <w:t xml:space="preserve"> 9.3.6</w:t>
            </w:r>
            <w:r w:rsidRPr="00403640">
              <w:rPr>
                <w:rFonts w:ascii="Arial" w:hAnsi="Arial" w:cs="Arial"/>
                <w:sz w:val="18"/>
                <w:szCs w:val="18"/>
              </w:rPr>
              <w:t>]</w:t>
            </w:r>
          </w:p>
        </w:tc>
        <w:tc>
          <w:tcPr>
            <w:tcW w:w="448" w:type="dxa"/>
            <w:noWrap/>
            <w:vAlign w:val="center"/>
          </w:tcPr>
          <w:p w14:paraId="2F6CBEE8" w14:textId="77777777" w:rsidR="00177C0A" w:rsidRPr="00A0149B" w:rsidRDefault="00177C0A" w:rsidP="00177C0A">
            <w:pPr>
              <w:rPr>
                <w:rFonts w:ascii="Arial" w:hAnsi="Arial" w:cs="Arial"/>
                <w:sz w:val="18"/>
                <w:szCs w:val="18"/>
              </w:rPr>
            </w:pPr>
          </w:p>
        </w:tc>
        <w:tc>
          <w:tcPr>
            <w:tcW w:w="448" w:type="dxa"/>
            <w:noWrap/>
            <w:vAlign w:val="center"/>
          </w:tcPr>
          <w:p w14:paraId="79E49BBA" w14:textId="77777777" w:rsidR="00177C0A" w:rsidRPr="00A0149B" w:rsidRDefault="00177C0A" w:rsidP="00177C0A">
            <w:pPr>
              <w:rPr>
                <w:rFonts w:ascii="Arial" w:hAnsi="Arial" w:cs="Arial"/>
                <w:sz w:val="18"/>
                <w:szCs w:val="18"/>
              </w:rPr>
            </w:pPr>
          </w:p>
        </w:tc>
        <w:tc>
          <w:tcPr>
            <w:tcW w:w="4867" w:type="dxa"/>
            <w:gridSpan w:val="2"/>
            <w:vAlign w:val="center"/>
          </w:tcPr>
          <w:p w14:paraId="26D6F89C" w14:textId="668CD983" w:rsidR="00177C0A" w:rsidRPr="00A0149B" w:rsidRDefault="00177C0A" w:rsidP="006106BC">
            <w:pPr>
              <w:jc w:val="both"/>
              <w:rPr>
                <w:rFonts w:ascii="Arial" w:hAnsi="Arial" w:cs="Arial"/>
                <w:sz w:val="18"/>
                <w:szCs w:val="18"/>
              </w:rPr>
            </w:pPr>
            <w:r w:rsidRPr="00403640">
              <w:rPr>
                <w:rFonts w:ascii="Arial" w:hAnsi="Arial" w:cs="Arial"/>
                <w:sz w:val="18"/>
                <w:szCs w:val="18"/>
              </w:rPr>
              <w:t>The Rt window of the C5-C8 aliphatic</w:t>
            </w:r>
            <w:r>
              <w:rPr>
                <w:rFonts w:ascii="Arial" w:hAnsi="Arial" w:cs="Arial"/>
                <w:sz w:val="18"/>
                <w:szCs w:val="18"/>
              </w:rPr>
              <w:t xml:space="preserve"> </w:t>
            </w:r>
            <w:r w:rsidRPr="00403640">
              <w:rPr>
                <w:rFonts w:ascii="Arial" w:hAnsi="Arial" w:cs="Arial"/>
                <w:sz w:val="18"/>
                <w:szCs w:val="18"/>
              </w:rPr>
              <w:t>hydrocarbons is defined as beginning 0.1 minutes before the</w:t>
            </w:r>
            <w:r>
              <w:rPr>
                <w:rFonts w:ascii="Arial" w:hAnsi="Arial" w:cs="Arial"/>
                <w:sz w:val="18"/>
                <w:szCs w:val="18"/>
              </w:rPr>
              <w:t xml:space="preserve"> </w:t>
            </w:r>
            <w:r w:rsidRPr="00403640">
              <w:rPr>
                <w:rFonts w:ascii="Arial" w:hAnsi="Arial" w:cs="Arial"/>
                <w:sz w:val="18"/>
                <w:szCs w:val="18"/>
              </w:rPr>
              <w:t>elution of n-pentane and ending 0.01 minutes before the elution of</w:t>
            </w:r>
            <w:r>
              <w:rPr>
                <w:rFonts w:ascii="Arial" w:hAnsi="Arial" w:cs="Arial"/>
                <w:sz w:val="18"/>
                <w:szCs w:val="18"/>
              </w:rPr>
              <w:t xml:space="preserve"> </w:t>
            </w:r>
            <w:r w:rsidRPr="00403640">
              <w:rPr>
                <w:rFonts w:ascii="Arial" w:hAnsi="Arial" w:cs="Arial"/>
                <w:sz w:val="18"/>
                <w:szCs w:val="18"/>
              </w:rPr>
              <w:t>nonane. The C9-C12 aliphatic</w:t>
            </w:r>
            <w:r>
              <w:rPr>
                <w:rFonts w:ascii="Arial" w:hAnsi="Arial" w:cs="Arial"/>
                <w:sz w:val="18"/>
                <w:szCs w:val="18"/>
              </w:rPr>
              <w:t xml:space="preserve"> </w:t>
            </w:r>
            <w:r w:rsidRPr="00403640">
              <w:rPr>
                <w:rFonts w:ascii="Arial" w:hAnsi="Arial" w:cs="Arial"/>
                <w:sz w:val="18"/>
                <w:szCs w:val="18"/>
              </w:rPr>
              <w:t>hydrocarbon range begins 0.01 minutes before the elution of nonane; therefore there is no overlap of</w:t>
            </w:r>
            <w:r w:rsidR="006106BC">
              <w:rPr>
                <w:rFonts w:ascii="Arial" w:hAnsi="Arial" w:cs="Arial"/>
                <w:sz w:val="18"/>
                <w:szCs w:val="18"/>
              </w:rPr>
              <w:t xml:space="preserve"> </w:t>
            </w:r>
            <w:r w:rsidRPr="00403640">
              <w:rPr>
                <w:rFonts w:ascii="Arial" w:hAnsi="Arial" w:cs="Arial"/>
                <w:sz w:val="18"/>
                <w:szCs w:val="18"/>
              </w:rPr>
              <w:t>the two ranges and the nonane peak is only included in the C9-C12 aliphatic hydrocarbon range. The</w:t>
            </w:r>
            <w:r>
              <w:rPr>
                <w:rFonts w:ascii="Arial" w:hAnsi="Arial" w:cs="Arial"/>
                <w:sz w:val="18"/>
                <w:szCs w:val="18"/>
              </w:rPr>
              <w:t xml:space="preserve"> </w:t>
            </w:r>
            <w:r w:rsidRPr="00403640">
              <w:rPr>
                <w:rFonts w:ascii="Arial" w:hAnsi="Arial" w:cs="Arial"/>
                <w:sz w:val="18"/>
                <w:szCs w:val="18"/>
              </w:rPr>
              <w:t>C9-C12 aliphatic hydrocarbon range ends 0.1 minutes before the elution of naphthalene.</w:t>
            </w:r>
            <w:r>
              <w:rPr>
                <w:rFonts w:ascii="Arial" w:hAnsi="Arial" w:cs="Arial"/>
                <w:sz w:val="18"/>
                <w:szCs w:val="18"/>
              </w:rPr>
              <w:t xml:space="preserve"> </w:t>
            </w:r>
            <w:r w:rsidRPr="00403640">
              <w:rPr>
                <w:rFonts w:ascii="Arial" w:hAnsi="Arial" w:cs="Arial"/>
                <w:sz w:val="18"/>
                <w:szCs w:val="18"/>
              </w:rPr>
              <w:t>The Rt window for the C9-C10 aromatic hydrocarbons is defined as beginning 0.1 minutes after the</w:t>
            </w:r>
            <w:r>
              <w:rPr>
                <w:rFonts w:ascii="Arial" w:hAnsi="Arial" w:cs="Arial"/>
                <w:sz w:val="18"/>
                <w:szCs w:val="18"/>
              </w:rPr>
              <w:t xml:space="preserve"> </w:t>
            </w:r>
            <w:r w:rsidRPr="00403640">
              <w:rPr>
                <w:rFonts w:ascii="Arial" w:hAnsi="Arial" w:cs="Arial"/>
                <w:sz w:val="18"/>
                <w:szCs w:val="18"/>
              </w:rPr>
              <w:t>elution of o-xylene and ending 0.1 before the elution of naphthalene.</w:t>
            </w:r>
          </w:p>
        </w:tc>
      </w:tr>
      <w:tr w:rsidR="00177C0A" w:rsidRPr="00A0149B" w14:paraId="08DEE376" w14:textId="77777777" w:rsidTr="000D36DE">
        <w:trPr>
          <w:trHeight w:val="264"/>
        </w:trPr>
        <w:tc>
          <w:tcPr>
            <w:tcW w:w="529" w:type="dxa"/>
            <w:noWrap/>
            <w:vAlign w:val="center"/>
          </w:tcPr>
          <w:p w14:paraId="13955F77" w14:textId="4D65A5F3"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2784FFE3" w14:textId="77777777" w:rsidR="00177C0A" w:rsidRDefault="00177C0A" w:rsidP="0020258E">
            <w:pPr>
              <w:jc w:val="both"/>
              <w:rPr>
                <w:rFonts w:ascii="Arial" w:hAnsi="Arial" w:cs="Arial"/>
                <w:sz w:val="18"/>
                <w:szCs w:val="18"/>
              </w:rPr>
            </w:pPr>
            <w:r>
              <w:rPr>
                <w:rFonts w:ascii="Arial" w:hAnsi="Arial" w:cs="Arial"/>
                <w:sz w:val="18"/>
                <w:szCs w:val="18"/>
              </w:rPr>
              <w:t>Are the c</w:t>
            </w:r>
            <w:r w:rsidRPr="00D91150">
              <w:rPr>
                <w:rFonts w:ascii="Arial" w:hAnsi="Arial" w:cs="Arial"/>
                <w:sz w:val="18"/>
                <w:szCs w:val="18"/>
              </w:rPr>
              <w:t xml:space="preserve">ollective </w:t>
            </w:r>
            <w:r>
              <w:rPr>
                <w:rFonts w:ascii="Arial" w:hAnsi="Arial" w:cs="Arial"/>
                <w:sz w:val="18"/>
                <w:szCs w:val="18"/>
              </w:rPr>
              <w:t>a</w:t>
            </w:r>
            <w:r w:rsidRPr="00D91150">
              <w:rPr>
                <w:rFonts w:ascii="Arial" w:hAnsi="Arial" w:cs="Arial"/>
                <w:sz w:val="18"/>
                <w:szCs w:val="18"/>
              </w:rPr>
              <w:t>liphatic/</w:t>
            </w:r>
            <w:r>
              <w:rPr>
                <w:rFonts w:ascii="Arial" w:hAnsi="Arial" w:cs="Arial"/>
                <w:sz w:val="18"/>
                <w:szCs w:val="18"/>
              </w:rPr>
              <w:t>a</w:t>
            </w:r>
            <w:r w:rsidRPr="00D91150">
              <w:rPr>
                <w:rFonts w:ascii="Arial" w:hAnsi="Arial" w:cs="Arial"/>
                <w:sz w:val="18"/>
                <w:szCs w:val="18"/>
              </w:rPr>
              <w:t xml:space="preserve">romatic </w:t>
            </w:r>
            <w:r>
              <w:rPr>
                <w:rFonts w:ascii="Arial" w:hAnsi="Arial" w:cs="Arial"/>
                <w:sz w:val="18"/>
                <w:szCs w:val="18"/>
              </w:rPr>
              <w:t>h</w:t>
            </w:r>
            <w:r w:rsidRPr="00D91150">
              <w:rPr>
                <w:rFonts w:ascii="Arial" w:hAnsi="Arial" w:cs="Arial"/>
                <w:sz w:val="18"/>
                <w:szCs w:val="18"/>
              </w:rPr>
              <w:t xml:space="preserve">ydrocarbon </w:t>
            </w:r>
            <w:r>
              <w:rPr>
                <w:rFonts w:ascii="Arial" w:hAnsi="Arial" w:cs="Arial"/>
                <w:sz w:val="18"/>
                <w:szCs w:val="18"/>
              </w:rPr>
              <w:t>r</w:t>
            </w:r>
            <w:r w:rsidRPr="00D91150">
              <w:rPr>
                <w:rFonts w:ascii="Arial" w:hAnsi="Arial" w:cs="Arial"/>
                <w:sz w:val="18"/>
                <w:szCs w:val="18"/>
              </w:rPr>
              <w:t>anges</w:t>
            </w:r>
            <w:r>
              <w:rPr>
                <w:rFonts w:ascii="Arial" w:hAnsi="Arial" w:cs="Arial"/>
                <w:sz w:val="18"/>
                <w:szCs w:val="18"/>
              </w:rPr>
              <w:t xml:space="preserve"> calibrated using Calibration Factors (CFs) according to the method?</w:t>
            </w:r>
            <w:r>
              <w:t xml:space="preserve"> </w:t>
            </w:r>
            <w:r w:rsidRPr="00D91150">
              <w:rPr>
                <w:rFonts w:ascii="Arial" w:hAnsi="Arial" w:cs="Arial"/>
                <w:sz w:val="18"/>
                <w:szCs w:val="18"/>
              </w:rPr>
              <w:t>[MADEP VPH Rev. 2.1 (Feb 2018) Section 9.</w:t>
            </w:r>
            <w:r>
              <w:rPr>
                <w:rFonts w:ascii="Arial" w:hAnsi="Arial" w:cs="Arial"/>
                <w:sz w:val="18"/>
                <w:szCs w:val="18"/>
              </w:rPr>
              <w:t>4.1.2</w:t>
            </w:r>
            <w:r w:rsidRPr="00D91150">
              <w:rPr>
                <w:rFonts w:ascii="Arial" w:hAnsi="Arial" w:cs="Arial"/>
                <w:sz w:val="18"/>
                <w:szCs w:val="18"/>
              </w:rPr>
              <w:t>]</w:t>
            </w:r>
          </w:p>
          <w:p w14:paraId="681E8661" w14:textId="77777777" w:rsidR="00177C0A" w:rsidRDefault="00177C0A" w:rsidP="0020258E">
            <w:pPr>
              <w:jc w:val="both"/>
              <w:rPr>
                <w:rFonts w:ascii="Arial" w:hAnsi="Arial" w:cs="Arial"/>
                <w:sz w:val="18"/>
                <w:szCs w:val="18"/>
              </w:rPr>
            </w:pPr>
          </w:p>
          <w:p w14:paraId="647C0496" w14:textId="3B3C54E5" w:rsidR="00177C0A" w:rsidRDefault="00177C0A" w:rsidP="0020258E">
            <w:pPr>
              <w:jc w:val="both"/>
              <w:rPr>
                <w:rFonts w:ascii="Arial" w:hAnsi="Arial" w:cs="Arial"/>
                <w:sz w:val="18"/>
                <w:szCs w:val="18"/>
              </w:rPr>
            </w:pPr>
            <w:r w:rsidRPr="008F7CAC">
              <w:rPr>
                <w:rFonts w:ascii="Arial" w:hAnsi="Arial" w:cs="Arial"/>
                <w:sz w:val="18"/>
                <w:szCs w:val="18"/>
              </w:rPr>
              <w:t xml:space="preserve">If CFs are not used, </w:t>
            </w:r>
            <w:r w:rsidRPr="00113763">
              <w:rPr>
                <w:rFonts w:ascii="Arial" w:hAnsi="Arial" w:cs="Arial"/>
                <w:sz w:val="18"/>
                <w:szCs w:val="18"/>
              </w:rPr>
              <w:t>skip to #2</w:t>
            </w:r>
            <w:r w:rsidR="00113763">
              <w:rPr>
                <w:rFonts w:ascii="Arial" w:hAnsi="Arial" w:cs="Arial"/>
                <w:sz w:val="18"/>
                <w:szCs w:val="18"/>
              </w:rPr>
              <w:t>4</w:t>
            </w:r>
          </w:p>
        </w:tc>
        <w:tc>
          <w:tcPr>
            <w:tcW w:w="448" w:type="dxa"/>
            <w:noWrap/>
            <w:vAlign w:val="center"/>
          </w:tcPr>
          <w:p w14:paraId="04C8DCB7" w14:textId="77777777" w:rsidR="00177C0A" w:rsidRPr="00A0149B" w:rsidRDefault="00177C0A" w:rsidP="00177C0A">
            <w:pPr>
              <w:rPr>
                <w:rFonts w:ascii="Arial" w:hAnsi="Arial" w:cs="Arial"/>
                <w:sz w:val="18"/>
                <w:szCs w:val="18"/>
              </w:rPr>
            </w:pPr>
          </w:p>
        </w:tc>
        <w:tc>
          <w:tcPr>
            <w:tcW w:w="448" w:type="dxa"/>
            <w:noWrap/>
            <w:vAlign w:val="center"/>
          </w:tcPr>
          <w:p w14:paraId="28C81360" w14:textId="77777777" w:rsidR="00177C0A" w:rsidRPr="00A0149B" w:rsidRDefault="00177C0A" w:rsidP="00177C0A">
            <w:pPr>
              <w:rPr>
                <w:rFonts w:ascii="Arial" w:hAnsi="Arial" w:cs="Arial"/>
                <w:sz w:val="18"/>
                <w:szCs w:val="18"/>
              </w:rPr>
            </w:pPr>
          </w:p>
        </w:tc>
        <w:tc>
          <w:tcPr>
            <w:tcW w:w="4867" w:type="dxa"/>
            <w:gridSpan w:val="2"/>
            <w:vAlign w:val="center"/>
          </w:tcPr>
          <w:p w14:paraId="1E9C1AE0" w14:textId="77777777" w:rsidR="00177C0A" w:rsidRPr="00D91150" w:rsidRDefault="00177C0A" w:rsidP="0020258E">
            <w:pPr>
              <w:jc w:val="both"/>
              <w:rPr>
                <w:rFonts w:ascii="Arial" w:hAnsi="Arial" w:cs="Arial"/>
                <w:sz w:val="18"/>
                <w:szCs w:val="18"/>
              </w:rPr>
            </w:pPr>
            <w:r w:rsidRPr="00D91150">
              <w:rPr>
                <w:rFonts w:ascii="Arial" w:hAnsi="Arial" w:cs="Arial"/>
                <w:sz w:val="18"/>
                <w:szCs w:val="18"/>
              </w:rPr>
              <w:t>CFs are calculated for C5-C8</w:t>
            </w:r>
            <w:r>
              <w:rPr>
                <w:rFonts w:ascii="Arial" w:hAnsi="Arial" w:cs="Arial"/>
                <w:sz w:val="18"/>
                <w:szCs w:val="18"/>
              </w:rPr>
              <w:t xml:space="preserve"> </w:t>
            </w:r>
            <w:r w:rsidRPr="00D91150">
              <w:rPr>
                <w:rFonts w:ascii="Arial" w:hAnsi="Arial" w:cs="Arial"/>
                <w:sz w:val="18"/>
                <w:szCs w:val="18"/>
              </w:rPr>
              <w:t>aliphatic hydrocarbons and C9-C12 aliphatic</w:t>
            </w:r>
            <w:r>
              <w:rPr>
                <w:rFonts w:ascii="Arial" w:hAnsi="Arial" w:cs="Arial"/>
                <w:sz w:val="18"/>
                <w:szCs w:val="18"/>
              </w:rPr>
              <w:t xml:space="preserve"> </w:t>
            </w:r>
            <w:r w:rsidRPr="00D91150">
              <w:rPr>
                <w:rFonts w:ascii="Arial" w:hAnsi="Arial" w:cs="Arial"/>
                <w:sz w:val="18"/>
                <w:szCs w:val="18"/>
              </w:rPr>
              <w:t>hydrocarbons based upon a correlation</w:t>
            </w:r>
            <w:r>
              <w:rPr>
                <w:rFonts w:ascii="Arial" w:hAnsi="Arial" w:cs="Arial"/>
                <w:sz w:val="18"/>
                <w:szCs w:val="18"/>
              </w:rPr>
              <w:t xml:space="preserve"> </w:t>
            </w:r>
            <w:r w:rsidRPr="00D91150">
              <w:rPr>
                <w:rFonts w:ascii="Arial" w:hAnsi="Arial" w:cs="Arial"/>
                <w:sz w:val="18"/>
                <w:szCs w:val="18"/>
              </w:rPr>
              <w:t>between the TOTAL concentration of aliphatic VPH Components eluting within the</w:t>
            </w:r>
            <w:r>
              <w:rPr>
                <w:rFonts w:ascii="Arial" w:hAnsi="Arial" w:cs="Arial"/>
                <w:sz w:val="18"/>
                <w:szCs w:val="18"/>
              </w:rPr>
              <w:t xml:space="preserve"> </w:t>
            </w:r>
            <w:r w:rsidRPr="00D91150">
              <w:rPr>
                <w:rFonts w:ascii="Arial" w:hAnsi="Arial" w:cs="Arial"/>
                <w:sz w:val="18"/>
                <w:szCs w:val="18"/>
              </w:rPr>
              <w:t>range of interest and the total FID area count of the applicable VPH component peaks.</w:t>
            </w:r>
            <w:r>
              <w:rPr>
                <w:rFonts w:ascii="Arial" w:hAnsi="Arial" w:cs="Arial"/>
                <w:sz w:val="18"/>
                <w:szCs w:val="18"/>
              </w:rPr>
              <w:t xml:space="preserve"> </w:t>
            </w:r>
            <w:r w:rsidRPr="00D91150">
              <w:rPr>
                <w:rFonts w:ascii="Arial" w:hAnsi="Arial" w:cs="Arial"/>
                <w:sz w:val="18"/>
                <w:szCs w:val="18"/>
              </w:rPr>
              <w:t>A CF is calculated for C9-C10 aromatic hydrocarbons based upon a correlation between</w:t>
            </w:r>
            <w:r>
              <w:rPr>
                <w:rFonts w:ascii="Arial" w:hAnsi="Arial" w:cs="Arial"/>
                <w:sz w:val="18"/>
                <w:szCs w:val="18"/>
              </w:rPr>
              <w:t xml:space="preserve"> </w:t>
            </w:r>
            <w:r w:rsidRPr="00D91150">
              <w:rPr>
                <w:rFonts w:ascii="Arial" w:hAnsi="Arial" w:cs="Arial"/>
                <w:sz w:val="18"/>
                <w:szCs w:val="18"/>
              </w:rPr>
              <w:t>the concentration of the one aromatic VPH</w:t>
            </w:r>
            <w:r>
              <w:rPr>
                <w:rFonts w:ascii="Arial" w:hAnsi="Arial" w:cs="Arial"/>
                <w:sz w:val="18"/>
                <w:szCs w:val="18"/>
              </w:rPr>
              <w:t xml:space="preserve"> </w:t>
            </w:r>
            <w:r w:rsidRPr="00D91150">
              <w:rPr>
                <w:rFonts w:ascii="Arial" w:hAnsi="Arial" w:cs="Arial"/>
                <w:sz w:val="18"/>
                <w:szCs w:val="18"/>
              </w:rPr>
              <w:t>Component used to calibrate this range and</w:t>
            </w:r>
          </w:p>
          <w:p w14:paraId="65BFC469" w14:textId="77777777" w:rsidR="00177C0A" w:rsidRPr="00403640" w:rsidRDefault="00177C0A" w:rsidP="0020258E">
            <w:pPr>
              <w:jc w:val="both"/>
              <w:rPr>
                <w:rFonts w:ascii="Arial" w:hAnsi="Arial" w:cs="Arial"/>
                <w:sz w:val="18"/>
                <w:szCs w:val="18"/>
              </w:rPr>
            </w:pPr>
            <w:r w:rsidRPr="00D91150">
              <w:rPr>
                <w:rFonts w:ascii="Arial" w:hAnsi="Arial" w:cs="Arial"/>
                <w:sz w:val="18"/>
                <w:szCs w:val="18"/>
              </w:rPr>
              <w:t>the PID area count of this VPH component.</w:t>
            </w:r>
          </w:p>
        </w:tc>
      </w:tr>
      <w:tr w:rsidR="00177C0A" w:rsidRPr="00A0149B" w14:paraId="452CB65F" w14:textId="77777777" w:rsidTr="000D36DE">
        <w:trPr>
          <w:trHeight w:val="264"/>
        </w:trPr>
        <w:tc>
          <w:tcPr>
            <w:tcW w:w="529" w:type="dxa"/>
            <w:noWrap/>
            <w:vAlign w:val="center"/>
          </w:tcPr>
          <w:p w14:paraId="69C8EE3F" w14:textId="4F9C27A1"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5C68D28F" w14:textId="50FE0FBE" w:rsidR="00177C0A" w:rsidRDefault="00177C0A" w:rsidP="0020258E">
            <w:pPr>
              <w:jc w:val="both"/>
              <w:rPr>
                <w:rFonts w:ascii="Arial" w:hAnsi="Arial" w:cs="Arial"/>
                <w:sz w:val="18"/>
                <w:szCs w:val="18"/>
              </w:rPr>
            </w:pPr>
            <w:r w:rsidRPr="00FF55D4">
              <w:rPr>
                <w:rFonts w:ascii="Arial" w:hAnsi="Arial" w:cs="Arial" w:hint="eastAsia"/>
                <w:sz w:val="18"/>
                <w:szCs w:val="18"/>
              </w:rPr>
              <w:t xml:space="preserve">Is the %RSD of the calibration factor </w:t>
            </w:r>
            <w:r>
              <w:rPr>
                <w:rFonts w:ascii="Arial" w:hAnsi="Arial" w:cs="Arial"/>
                <w:sz w:val="18"/>
                <w:szCs w:val="18"/>
              </w:rPr>
              <w:t>≤</w:t>
            </w:r>
            <w:r w:rsidRPr="00FF55D4">
              <w:rPr>
                <w:rFonts w:ascii="Arial" w:hAnsi="Arial" w:cs="Arial"/>
                <w:sz w:val="18"/>
                <w:szCs w:val="18"/>
              </w:rPr>
              <w:t>20 for the surrogate</w:t>
            </w:r>
            <w:r>
              <w:rPr>
                <w:rFonts w:ascii="Arial" w:hAnsi="Arial" w:cs="Arial"/>
                <w:sz w:val="18"/>
                <w:szCs w:val="18"/>
              </w:rPr>
              <w:t xml:space="preserve"> and</w:t>
            </w:r>
            <w:r w:rsidRPr="00FF55D4">
              <w:rPr>
                <w:rFonts w:ascii="Arial" w:hAnsi="Arial" w:cs="Arial"/>
                <w:sz w:val="18"/>
                <w:szCs w:val="18"/>
              </w:rPr>
              <w:t xml:space="preserve"> </w:t>
            </w:r>
            <w:r>
              <w:rPr>
                <w:rFonts w:ascii="Arial" w:hAnsi="Arial" w:cs="Arial"/>
                <w:sz w:val="18"/>
                <w:szCs w:val="18"/>
              </w:rPr>
              <w:t>≤</w:t>
            </w:r>
            <w:r w:rsidRPr="00FF55D4">
              <w:rPr>
                <w:rFonts w:ascii="Arial" w:hAnsi="Arial" w:cs="Arial"/>
                <w:sz w:val="18"/>
                <w:szCs w:val="18"/>
              </w:rPr>
              <w:t>25 for</w:t>
            </w:r>
            <w:r>
              <w:rPr>
                <w:rFonts w:ascii="Arial" w:hAnsi="Arial" w:cs="Arial"/>
                <w:sz w:val="18"/>
                <w:szCs w:val="18"/>
              </w:rPr>
              <w:t xml:space="preserve"> collective </w:t>
            </w:r>
            <w:r w:rsidRPr="00FF55D4">
              <w:rPr>
                <w:rFonts w:ascii="Arial" w:hAnsi="Arial" w:cs="Arial"/>
                <w:sz w:val="18"/>
                <w:szCs w:val="18"/>
              </w:rPr>
              <w:t>hydrocarbon ranges</w:t>
            </w:r>
            <w:r>
              <w:rPr>
                <w:rFonts w:ascii="Arial" w:hAnsi="Arial" w:cs="Arial"/>
                <w:sz w:val="18"/>
                <w:szCs w:val="18"/>
              </w:rPr>
              <w:t>?</w:t>
            </w:r>
            <w:r w:rsidRPr="00FF55D4">
              <w:rPr>
                <w:rFonts w:ascii="Arial" w:hAnsi="Arial" w:cs="Arial" w:hint="eastAsia"/>
                <w:sz w:val="18"/>
                <w:szCs w:val="18"/>
              </w:rPr>
              <w:t xml:space="preserve"> </w:t>
            </w:r>
            <w:r w:rsidRPr="009163EC">
              <w:rPr>
                <w:rFonts w:ascii="Arial" w:hAnsi="Arial" w:cs="Arial"/>
                <w:sz w:val="18"/>
                <w:szCs w:val="18"/>
              </w:rPr>
              <w:t>[MADEP VPH Rev. 2.1 (Feb 2018) Section 9.4.</w:t>
            </w:r>
            <w:r>
              <w:rPr>
                <w:rFonts w:ascii="Arial" w:hAnsi="Arial" w:cs="Arial"/>
                <w:sz w:val="18"/>
                <w:szCs w:val="18"/>
              </w:rPr>
              <w:t>2</w:t>
            </w:r>
            <w:r w:rsidRPr="009163EC">
              <w:rPr>
                <w:rFonts w:ascii="Arial" w:hAnsi="Arial" w:cs="Arial"/>
                <w:sz w:val="18"/>
                <w:szCs w:val="18"/>
              </w:rPr>
              <w:t>.</w:t>
            </w:r>
            <w:r>
              <w:rPr>
                <w:rFonts w:ascii="Arial" w:hAnsi="Arial" w:cs="Arial"/>
                <w:sz w:val="18"/>
                <w:szCs w:val="18"/>
              </w:rPr>
              <w:t>1</w:t>
            </w:r>
            <w:r w:rsidRPr="009163EC">
              <w:rPr>
                <w:rFonts w:ascii="Arial" w:hAnsi="Arial" w:cs="Arial"/>
                <w:sz w:val="18"/>
                <w:szCs w:val="18"/>
              </w:rPr>
              <w:t>2]</w:t>
            </w:r>
          </w:p>
        </w:tc>
        <w:tc>
          <w:tcPr>
            <w:tcW w:w="448" w:type="dxa"/>
            <w:noWrap/>
            <w:vAlign w:val="center"/>
          </w:tcPr>
          <w:p w14:paraId="3C629277" w14:textId="77777777" w:rsidR="00177C0A" w:rsidRPr="00A0149B" w:rsidRDefault="00177C0A" w:rsidP="00177C0A">
            <w:pPr>
              <w:rPr>
                <w:rFonts w:ascii="Arial" w:hAnsi="Arial" w:cs="Arial"/>
                <w:sz w:val="18"/>
                <w:szCs w:val="18"/>
              </w:rPr>
            </w:pPr>
          </w:p>
        </w:tc>
        <w:tc>
          <w:tcPr>
            <w:tcW w:w="448" w:type="dxa"/>
            <w:noWrap/>
            <w:vAlign w:val="center"/>
          </w:tcPr>
          <w:p w14:paraId="2C99A2E4" w14:textId="77777777" w:rsidR="00177C0A" w:rsidRPr="00A0149B" w:rsidRDefault="00177C0A" w:rsidP="00177C0A">
            <w:pPr>
              <w:rPr>
                <w:rFonts w:ascii="Arial" w:hAnsi="Arial" w:cs="Arial"/>
                <w:sz w:val="18"/>
                <w:szCs w:val="18"/>
              </w:rPr>
            </w:pPr>
          </w:p>
        </w:tc>
        <w:tc>
          <w:tcPr>
            <w:tcW w:w="4867" w:type="dxa"/>
            <w:gridSpan w:val="2"/>
            <w:vAlign w:val="center"/>
          </w:tcPr>
          <w:p w14:paraId="1D0ADF7E" w14:textId="77777777" w:rsidR="00177C0A" w:rsidRPr="00D91150" w:rsidRDefault="00177C0A" w:rsidP="0020258E">
            <w:pPr>
              <w:jc w:val="both"/>
              <w:rPr>
                <w:rFonts w:ascii="Arial" w:hAnsi="Arial" w:cs="Arial"/>
                <w:sz w:val="18"/>
                <w:szCs w:val="18"/>
              </w:rPr>
            </w:pPr>
            <w:r w:rsidRPr="009163EC">
              <w:rPr>
                <w:rFonts w:ascii="Arial" w:hAnsi="Arial" w:cs="Arial"/>
                <w:sz w:val="18"/>
                <w:szCs w:val="18"/>
              </w:rPr>
              <w:t xml:space="preserve">If the %RSD is </w:t>
            </w:r>
            <w:r>
              <w:rPr>
                <w:rFonts w:ascii="Arial" w:hAnsi="Arial" w:cs="Arial"/>
                <w:sz w:val="18"/>
                <w:szCs w:val="18"/>
              </w:rPr>
              <w:t>≤</w:t>
            </w:r>
            <w:r w:rsidRPr="009163EC">
              <w:rPr>
                <w:rFonts w:ascii="Arial" w:hAnsi="Arial" w:cs="Arial"/>
                <w:sz w:val="18"/>
                <w:szCs w:val="18"/>
              </w:rPr>
              <w:t xml:space="preserve">20 for Target VPH Analytes and the surrogate and </w:t>
            </w:r>
            <w:r>
              <w:rPr>
                <w:rFonts w:ascii="Arial" w:hAnsi="Arial" w:cs="Arial"/>
                <w:sz w:val="18"/>
                <w:szCs w:val="18"/>
              </w:rPr>
              <w:t>≤</w:t>
            </w:r>
            <w:r w:rsidRPr="009163EC">
              <w:rPr>
                <w:rFonts w:ascii="Arial" w:hAnsi="Arial" w:cs="Arial"/>
                <w:sz w:val="18"/>
                <w:szCs w:val="18"/>
              </w:rPr>
              <w:t>25 for</w:t>
            </w:r>
            <w:r>
              <w:rPr>
                <w:rFonts w:ascii="Arial" w:hAnsi="Arial" w:cs="Arial"/>
                <w:sz w:val="18"/>
                <w:szCs w:val="18"/>
              </w:rPr>
              <w:t xml:space="preserve"> </w:t>
            </w:r>
            <w:r w:rsidRPr="009163EC">
              <w:rPr>
                <w:rFonts w:ascii="Arial" w:hAnsi="Arial" w:cs="Arial"/>
                <w:sz w:val="18"/>
                <w:szCs w:val="18"/>
              </w:rPr>
              <w:t>hydrocarbon ranges, linearity can be assumed and the average CF can be used for</w:t>
            </w:r>
            <w:r>
              <w:rPr>
                <w:rFonts w:ascii="Arial" w:hAnsi="Arial" w:cs="Arial"/>
                <w:sz w:val="18"/>
                <w:szCs w:val="18"/>
              </w:rPr>
              <w:t xml:space="preserve"> </w:t>
            </w:r>
            <w:r w:rsidRPr="009163EC">
              <w:rPr>
                <w:rFonts w:ascii="Arial" w:hAnsi="Arial" w:cs="Arial"/>
                <w:sz w:val="18"/>
                <w:szCs w:val="18"/>
              </w:rPr>
              <w:t>quantitation in lieu of a calibration curve.</w:t>
            </w:r>
          </w:p>
        </w:tc>
      </w:tr>
      <w:tr w:rsidR="00177C0A" w:rsidRPr="00A0149B" w14:paraId="3931C30B" w14:textId="77777777" w:rsidTr="000D36DE">
        <w:trPr>
          <w:trHeight w:val="264"/>
        </w:trPr>
        <w:tc>
          <w:tcPr>
            <w:tcW w:w="529" w:type="dxa"/>
            <w:noWrap/>
            <w:vAlign w:val="center"/>
          </w:tcPr>
          <w:p w14:paraId="5F5D2CEE" w14:textId="34A928DA"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14919F2C" w14:textId="7A4DE561" w:rsidR="00177C0A" w:rsidRDefault="009A23D8" w:rsidP="0020258E">
            <w:pPr>
              <w:jc w:val="both"/>
              <w:rPr>
                <w:rFonts w:ascii="Arial" w:hAnsi="Arial" w:cs="Arial"/>
                <w:sz w:val="18"/>
                <w:szCs w:val="18"/>
              </w:rPr>
            </w:pPr>
            <w:r>
              <w:rPr>
                <w:rFonts w:ascii="Arial" w:hAnsi="Arial" w:cs="Arial"/>
                <w:sz w:val="18"/>
                <w:szCs w:val="18"/>
              </w:rPr>
              <w:t xml:space="preserve">If </w:t>
            </w:r>
            <w:r w:rsidR="00177C0A">
              <w:rPr>
                <w:rFonts w:ascii="Arial" w:hAnsi="Arial" w:cs="Arial"/>
                <w:sz w:val="18"/>
                <w:szCs w:val="18"/>
              </w:rPr>
              <w:t xml:space="preserve">collective </w:t>
            </w:r>
            <w:r w:rsidR="00177C0A" w:rsidRPr="00FF55D4">
              <w:rPr>
                <w:rFonts w:ascii="Arial" w:hAnsi="Arial" w:cs="Arial"/>
                <w:sz w:val="18"/>
                <w:szCs w:val="18"/>
              </w:rPr>
              <w:t>hydrocarbon range</w:t>
            </w:r>
            <w:r w:rsidR="00177C0A">
              <w:rPr>
                <w:rFonts w:ascii="Arial" w:hAnsi="Arial" w:cs="Arial"/>
                <w:sz w:val="18"/>
                <w:szCs w:val="18"/>
              </w:rPr>
              <w:t xml:space="preserve"> </w:t>
            </w:r>
            <w:r w:rsidR="00177C0A" w:rsidRPr="00FF55D4">
              <w:rPr>
                <w:rFonts w:ascii="Arial" w:hAnsi="Arial" w:cs="Arial"/>
                <w:sz w:val="18"/>
                <w:szCs w:val="18"/>
              </w:rPr>
              <w:t>concentrations</w:t>
            </w:r>
            <w:r w:rsidR="00177C0A">
              <w:rPr>
                <w:rFonts w:ascii="Arial" w:hAnsi="Arial" w:cs="Arial"/>
                <w:sz w:val="18"/>
                <w:szCs w:val="18"/>
              </w:rPr>
              <w:t xml:space="preserve"> </w:t>
            </w:r>
            <w:r w:rsidR="001E6FAB">
              <w:rPr>
                <w:rFonts w:ascii="Arial" w:hAnsi="Arial" w:cs="Arial"/>
                <w:sz w:val="18"/>
                <w:szCs w:val="18"/>
              </w:rPr>
              <w:t xml:space="preserve">are </w:t>
            </w:r>
            <w:r w:rsidR="00177C0A">
              <w:rPr>
                <w:rFonts w:ascii="Arial" w:hAnsi="Arial" w:cs="Arial"/>
                <w:sz w:val="18"/>
                <w:szCs w:val="18"/>
              </w:rPr>
              <w:t>calibrated using a linear regression</w:t>
            </w:r>
            <w:r w:rsidR="001E6FAB">
              <w:rPr>
                <w:rFonts w:ascii="Arial" w:hAnsi="Arial" w:cs="Arial"/>
                <w:sz w:val="18"/>
                <w:szCs w:val="18"/>
              </w:rPr>
              <w:t xml:space="preserve"> model,</w:t>
            </w:r>
            <w:r w:rsidR="00177C0A">
              <w:rPr>
                <w:rFonts w:ascii="Arial" w:hAnsi="Arial" w:cs="Arial"/>
                <w:sz w:val="18"/>
                <w:szCs w:val="18"/>
              </w:rPr>
              <w:t xml:space="preserve"> is the correlation coefficient ≥ </w:t>
            </w:r>
            <w:r w:rsidR="00177C0A" w:rsidRPr="00FF55D4">
              <w:rPr>
                <w:rFonts w:ascii="Arial" w:hAnsi="Arial" w:cs="Arial" w:hint="eastAsia"/>
                <w:sz w:val="18"/>
                <w:szCs w:val="18"/>
              </w:rPr>
              <w:t>0.99</w:t>
            </w:r>
            <w:r w:rsidR="00177C0A">
              <w:rPr>
                <w:rFonts w:ascii="Arial" w:hAnsi="Arial" w:cs="Arial"/>
                <w:sz w:val="18"/>
                <w:szCs w:val="18"/>
              </w:rPr>
              <w:t xml:space="preserve">? </w:t>
            </w:r>
            <w:r w:rsidR="00177C0A" w:rsidRPr="00FF55D4">
              <w:rPr>
                <w:rFonts w:ascii="Arial" w:hAnsi="Arial" w:cs="Arial"/>
                <w:sz w:val="18"/>
                <w:szCs w:val="18"/>
              </w:rPr>
              <w:t>[MADEP VPH Rev. 2.1 (Feb 2018) Section</w:t>
            </w:r>
            <w:r w:rsidR="00177C0A">
              <w:rPr>
                <w:rFonts w:ascii="Arial" w:hAnsi="Arial" w:cs="Arial"/>
                <w:sz w:val="18"/>
                <w:szCs w:val="18"/>
              </w:rPr>
              <w:t>s</w:t>
            </w:r>
            <w:r w:rsidR="00177C0A" w:rsidRPr="00FF55D4">
              <w:rPr>
                <w:rFonts w:ascii="Arial" w:hAnsi="Arial" w:cs="Arial"/>
                <w:sz w:val="18"/>
                <w:szCs w:val="18"/>
              </w:rPr>
              <w:t xml:space="preserve"> 9.4.</w:t>
            </w:r>
            <w:r w:rsidR="00177C0A">
              <w:rPr>
                <w:rFonts w:ascii="Arial" w:hAnsi="Arial" w:cs="Arial"/>
                <w:sz w:val="18"/>
                <w:szCs w:val="18"/>
              </w:rPr>
              <w:t>2.2 and 9.4.2.13</w:t>
            </w:r>
            <w:r w:rsidR="00177C0A" w:rsidRPr="00FF55D4">
              <w:rPr>
                <w:rFonts w:ascii="Arial" w:hAnsi="Arial" w:cs="Arial"/>
                <w:sz w:val="18"/>
                <w:szCs w:val="18"/>
              </w:rPr>
              <w:t>]</w:t>
            </w:r>
          </w:p>
        </w:tc>
        <w:tc>
          <w:tcPr>
            <w:tcW w:w="448" w:type="dxa"/>
            <w:noWrap/>
            <w:vAlign w:val="center"/>
          </w:tcPr>
          <w:p w14:paraId="3194265D" w14:textId="77777777" w:rsidR="00177C0A" w:rsidRPr="00A0149B" w:rsidRDefault="00177C0A" w:rsidP="00177C0A">
            <w:pPr>
              <w:rPr>
                <w:rFonts w:ascii="Arial" w:hAnsi="Arial" w:cs="Arial"/>
                <w:sz w:val="18"/>
                <w:szCs w:val="18"/>
              </w:rPr>
            </w:pPr>
          </w:p>
        </w:tc>
        <w:tc>
          <w:tcPr>
            <w:tcW w:w="448" w:type="dxa"/>
            <w:noWrap/>
            <w:vAlign w:val="center"/>
          </w:tcPr>
          <w:p w14:paraId="1B908D49" w14:textId="77777777" w:rsidR="00177C0A" w:rsidRPr="00A0149B" w:rsidRDefault="00177C0A" w:rsidP="00177C0A">
            <w:pPr>
              <w:rPr>
                <w:rFonts w:ascii="Arial" w:hAnsi="Arial" w:cs="Arial"/>
                <w:sz w:val="18"/>
                <w:szCs w:val="18"/>
              </w:rPr>
            </w:pPr>
          </w:p>
        </w:tc>
        <w:tc>
          <w:tcPr>
            <w:tcW w:w="4867" w:type="dxa"/>
            <w:gridSpan w:val="2"/>
            <w:vAlign w:val="center"/>
          </w:tcPr>
          <w:p w14:paraId="08B7A497" w14:textId="02186F51" w:rsidR="00177C0A" w:rsidRPr="00FF55D4" w:rsidRDefault="009B0419" w:rsidP="0020258E">
            <w:pPr>
              <w:jc w:val="both"/>
              <w:rPr>
                <w:rFonts w:ascii="Arial" w:hAnsi="Arial" w:cs="Arial"/>
                <w:sz w:val="18"/>
                <w:szCs w:val="18"/>
              </w:rPr>
            </w:pPr>
            <w:r>
              <w:rPr>
                <w:rFonts w:ascii="Arial" w:hAnsi="Arial" w:cs="Arial"/>
                <w:b/>
                <w:bCs/>
                <w:sz w:val="18"/>
                <w:szCs w:val="18"/>
              </w:rPr>
              <w:t xml:space="preserve">Section </w:t>
            </w:r>
            <w:r w:rsidRPr="009B0419">
              <w:rPr>
                <w:rFonts w:ascii="Arial" w:hAnsi="Arial" w:cs="Arial"/>
                <w:b/>
                <w:bCs/>
                <w:sz w:val="18"/>
                <w:szCs w:val="18"/>
              </w:rPr>
              <w:t>9.4.2.2:</w:t>
            </w:r>
            <w:r>
              <w:rPr>
                <w:rFonts w:ascii="Arial" w:hAnsi="Arial" w:cs="Arial"/>
                <w:sz w:val="18"/>
                <w:szCs w:val="18"/>
              </w:rPr>
              <w:t xml:space="preserve"> </w:t>
            </w:r>
            <w:r w:rsidR="00177C0A" w:rsidRPr="00FF55D4">
              <w:rPr>
                <w:rFonts w:ascii="Arial" w:hAnsi="Arial" w:cs="Arial"/>
                <w:sz w:val="18"/>
                <w:szCs w:val="18"/>
              </w:rPr>
              <w:t>The use of CFs is the preferred approach to determine the relationship between the</w:t>
            </w:r>
            <w:r w:rsidR="00177C0A">
              <w:rPr>
                <w:rFonts w:ascii="Arial" w:hAnsi="Arial" w:cs="Arial"/>
                <w:sz w:val="18"/>
                <w:szCs w:val="18"/>
              </w:rPr>
              <w:t xml:space="preserve"> </w:t>
            </w:r>
            <w:r w:rsidR="00177C0A" w:rsidRPr="00FF55D4">
              <w:rPr>
                <w:rFonts w:ascii="Arial" w:hAnsi="Arial" w:cs="Arial"/>
                <w:sz w:val="18"/>
                <w:szCs w:val="18"/>
              </w:rPr>
              <w:t>detector response and the Target VPH Analyte and hydrocarbon range concentrations. It</w:t>
            </w:r>
            <w:r w:rsidR="00177C0A">
              <w:rPr>
                <w:rFonts w:ascii="Arial" w:hAnsi="Arial" w:cs="Arial"/>
                <w:sz w:val="18"/>
                <w:szCs w:val="18"/>
              </w:rPr>
              <w:t xml:space="preserve"> </w:t>
            </w:r>
            <w:r w:rsidR="00177C0A" w:rsidRPr="00FF55D4">
              <w:rPr>
                <w:rFonts w:ascii="Arial" w:hAnsi="Arial" w:cs="Arial"/>
                <w:sz w:val="18"/>
                <w:szCs w:val="18"/>
              </w:rPr>
              <w:t>is also permissible to utilize linear regression</w:t>
            </w:r>
            <w:r w:rsidR="00177C0A">
              <w:rPr>
                <w:rFonts w:ascii="Arial" w:hAnsi="Arial" w:cs="Arial"/>
                <w:sz w:val="18"/>
                <w:szCs w:val="18"/>
              </w:rPr>
              <w:t xml:space="preserve"> </w:t>
            </w:r>
            <w:r w:rsidR="00177C0A" w:rsidRPr="00FF55D4">
              <w:rPr>
                <w:rFonts w:ascii="Arial" w:hAnsi="Arial" w:cs="Arial"/>
                <w:sz w:val="18"/>
                <w:szCs w:val="18"/>
              </w:rPr>
              <w:t>(see Sections 9.4.2.12 and 9.4.2.13). The</w:t>
            </w:r>
            <w:r w:rsidR="00177C0A">
              <w:rPr>
                <w:rFonts w:ascii="Arial" w:hAnsi="Arial" w:cs="Arial"/>
                <w:sz w:val="18"/>
                <w:szCs w:val="18"/>
              </w:rPr>
              <w:t xml:space="preserve"> </w:t>
            </w:r>
            <w:r w:rsidR="00177C0A" w:rsidRPr="00FF55D4">
              <w:rPr>
                <w:rFonts w:ascii="Arial" w:hAnsi="Arial" w:cs="Arial"/>
                <w:sz w:val="18"/>
                <w:szCs w:val="18"/>
              </w:rPr>
              <w:t>linear regression approach for Target VPH</w:t>
            </w:r>
            <w:r w:rsidR="00177C0A">
              <w:rPr>
                <w:rFonts w:ascii="Arial" w:hAnsi="Arial" w:cs="Arial"/>
                <w:sz w:val="18"/>
                <w:szCs w:val="18"/>
              </w:rPr>
              <w:t xml:space="preserve"> </w:t>
            </w:r>
            <w:r w:rsidR="00177C0A" w:rsidRPr="00FF55D4">
              <w:rPr>
                <w:rFonts w:ascii="Arial" w:hAnsi="Arial" w:cs="Arial"/>
                <w:sz w:val="18"/>
                <w:szCs w:val="18"/>
              </w:rPr>
              <w:t>Analytes and hydrocarbon ranges is described</w:t>
            </w:r>
            <w:r>
              <w:rPr>
                <w:rFonts w:ascii="Arial" w:hAnsi="Arial" w:cs="Arial"/>
                <w:sz w:val="18"/>
                <w:szCs w:val="18"/>
              </w:rPr>
              <w:t xml:space="preserve"> </w:t>
            </w:r>
            <w:r w:rsidR="00177C0A" w:rsidRPr="00FF55D4">
              <w:rPr>
                <w:rFonts w:ascii="Arial" w:hAnsi="Arial" w:cs="Arial"/>
                <w:sz w:val="18"/>
                <w:szCs w:val="18"/>
              </w:rPr>
              <w:t>in Appendix 6. The use of non-linear</w:t>
            </w:r>
            <w:r w:rsidR="00177C0A">
              <w:rPr>
                <w:rFonts w:ascii="Arial" w:hAnsi="Arial" w:cs="Arial"/>
                <w:sz w:val="18"/>
                <w:szCs w:val="18"/>
              </w:rPr>
              <w:t xml:space="preserve"> </w:t>
            </w:r>
            <w:r w:rsidR="00177C0A" w:rsidRPr="00FF55D4">
              <w:rPr>
                <w:rFonts w:ascii="Arial" w:hAnsi="Arial" w:cs="Arial"/>
                <w:sz w:val="18"/>
                <w:szCs w:val="18"/>
              </w:rPr>
              <w:t>regression is not allowed in this method and is</w:t>
            </w:r>
          </w:p>
          <w:p w14:paraId="0831F5BF" w14:textId="77777777" w:rsidR="00177C0A" w:rsidRDefault="00177C0A" w:rsidP="0020258E">
            <w:pPr>
              <w:jc w:val="both"/>
              <w:rPr>
                <w:rFonts w:ascii="Arial" w:hAnsi="Arial" w:cs="Arial"/>
                <w:sz w:val="18"/>
                <w:szCs w:val="18"/>
              </w:rPr>
            </w:pPr>
            <w:r w:rsidRPr="00FF55D4">
              <w:rPr>
                <w:rFonts w:ascii="Arial" w:hAnsi="Arial" w:cs="Arial"/>
                <w:sz w:val="18"/>
                <w:szCs w:val="18"/>
              </w:rPr>
              <w:t>considered a significant modification as</w:t>
            </w:r>
            <w:r>
              <w:rPr>
                <w:rFonts w:ascii="Arial" w:hAnsi="Arial" w:cs="Arial"/>
                <w:sz w:val="18"/>
                <w:szCs w:val="18"/>
              </w:rPr>
              <w:t xml:space="preserve"> </w:t>
            </w:r>
            <w:r w:rsidRPr="00FF55D4">
              <w:rPr>
                <w:rFonts w:ascii="Arial" w:hAnsi="Arial" w:cs="Arial"/>
                <w:sz w:val="18"/>
                <w:szCs w:val="18"/>
              </w:rPr>
              <w:t>discussed in Section 11.3.1.</w:t>
            </w:r>
          </w:p>
          <w:p w14:paraId="76D7DF46" w14:textId="77777777" w:rsidR="000963FD" w:rsidRDefault="000963FD" w:rsidP="0020258E">
            <w:pPr>
              <w:jc w:val="both"/>
              <w:rPr>
                <w:rFonts w:ascii="Arial" w:hAnsi="Arial" w:cs="Arial"/>
                <w:sz w:val="18"/>
                <w:szCs w:val="18"/>
              </w:rPr>
            </w:pPr>
          </w:p>
          <w:p w14:paraId="7FAD5F66" w14:textId="47539375" w:rsidR="00177C0A" w:rsidRPr="00403640" w:rsidRDefault="000963FD" w:rsidP="0020258E">
            <w:pPr>
              <w:jc w:val="both"/>
              <w:rPr>
                <w:rFonts w:ascii="Arial" w:hAnsi="Arial" w:cs="Arial"/>
                <w:sz w:val="18"/>
                <w:szCs w:val="18"/>
              </w:rPr>
            </w:pPr>
            <w:r w:rsidRPr="001F11C4">
              <w:rPr>
                <w:rFonts w:ascii="Arial" w:hAnsi="Arial" w:cs="Arial"/>
                <w:b/>
                <w:bCs/>
                <w:sz w:val="18"/>
                <w:szCs w:val="18"/>
              </w:rPr>
              <w:t>Section 9.4.2.</w:t>
            </w:r>
            <w:r w:rsidR="001F11C4" w:rsidRPr="001F11C4">
              <w:rPr>
                <w:rFonts w:ascii="Arial" w:hAnsi="Arial" w:cs="Arial"/>
                <w:b/>
                <w:bCs/>
                <w:sz w:val="18"/>
                <w:szCs w:val="18"/>
              </w:rPr>
              <w:t>13:</w:t>
            </w:r>
            <w:r w:rsidR="001F11C4">
              <w:rPr>
                <w:rFonts w:ascii="Arial" w:hAnsi="Arial" w:cs="Arial"/>
                <w:sz w:val="18"/>
                <w:szCs w:val="18"/>
              </w:rPr>
              <w:t xml:space="preserve"> </w:t>
            </w:r>
            <w:proofErr w:type="gramStart"/>
            <w:r w:rsidR="00177C0A" w:rsidRPr="00FF55D4">
              <w:rPr>
                <w:rFonts w:ascii="Arial" w:hAnsi="Arial" w:cs="Arial"/>
                <w:sz w:val="18"/>
                <w:szCs w:val="18"/>
              </w:rPr>
              <w:t>In order for</w:t>
            </w:r>
            <w:proofErr w:type="gramEnd"/>
            <w:r w:rsidR="00177C0A" w:rsidRPr="00FF55D4">
              <w:rPr>
                <w:rFonts w:ascii="Arial" w:hAnsi="Arial" w:cs="Arial"/>
                <w:sz w:val="18"/>
                <w:szCs w:val="18"/>
              </w:rPr>
              <w:t xml:space="preserve"> the linear regression model to be used for quantitative purposes, r</w:t>
            </w:r>
            <w:r w:rsidR="00177C0A">
              <w:rPr>
                <w:rFonts w:ascii="Arial" w:hAnsi="Arial" w:cs="Arial"/>
                <w:sz w:val="18"/>
                <w:szCs w:val="18"/>
              </w:rPr>
              <w:t xml:space="preserve"> </w:t>
            </w:r>
            <w:r w:rsidR="00177C0A" w:rsidRPr="00FF55D4">
              <w:rPr>
                <w:rFonts w:ascii="Arial" w:hAnsi="Arial" w:cs="Arial" w:hint="eastAsia"/>
                <w:sz w:val="18"/>
                <w:szCs w:val="18"/>
              </w:rPr>
              <w:t xml:space="preserve">(correlation coefficient) must be </w:t>
            </w:r>
            <w:r w:rsidR="00177C0A">
              <w:rPr>
                <w:rFonts w:ascii="Arial" w:hAnsi="Arial" w:cs="Arial"/>
                <w:sz w:val="18"/>
                <w:szCs w:val="18"/>
              </w:rPr>
              <w:t>≥</w:t>
            </w:r>
            <w:r w:rsidR="00177C0A" w:rsidRPr="00FF55D4">
              <w:rPr>
                <w:rFonts w:ascii="Arial" w:hAnsi="Arial" w:cs="Arial" w:hint="eastAsia"/>
                <w:sz w:val="18"/>
                <w:szCs w:val="18"/>
              </w:rPr>
              <w:t>0.99.</w:t>
            </w:r>
          </w:p>
        </w:tc>
      </w:tr>
      <w:tr w:rsidR="005254D2" w:rsidRPr="00A0149B" w14:paraId="640A397A" w14:textId="77777777" w:rsidTr="000D36DE">
        <w:trPr>
          <w:trHeight w:val="264"/>
        </w:trPr>
        <w:tc>
          <w:tcPr>
            <w:tcW w:w="529" w:type="dxa"/>
            <w:noWrap/>
            <w:vAlign w:val="center"/>
          </w:tcPr>
          <w:p w14:paraId="49DF452F" w14:textId="77777777" w:rsidR="00EE3058" w:rsidRPr="008D4248" w:rsidRDefault="00EE3058" w:rsidP="008D4248">
            <w:pPr>
              <w:pStyle w:val="ListParagraph"/>
              <w:numPr>
                <w:ilvl w:val="0"/>
                <w:numId w:val="3"/>
              </w:numPr>
              <w:rPr>
                <w:rFonts w:ascii="Arial" w:hAnsi="Arial" w:cs="Arial"/>
                <w:sz w:val="18"/>
                <w:szCs w:val="18"/>
              </w:rPr>
            </w:pPr>
          </w:p>
        </w:tc>
        <w:tc>
          <w:tcPr>
            <w:tcW w:w="4867" w:type="dxa"/>
            <w:noWrap/>
            <w:vAlign w:val="center"/>
          </w:tcPr>
          <w:p w14:paraId="156E0414" w14:textId="7E073DB2" w:rsidR="00EE3058" w:rsidRDefault="00EE3058" w:rsidP="0020258E">
            <w:pPr>
              <w:jc w:val="both"/>
              <w:rPr>
                <w:rFonts w:ascii="Arial" w:hAnsi="Arial" w:cs="Arial"/>
                <w:sz w:val="18"/>
                <w:szCs w:val="18"/>
              </w:rPr>
            </w:pPr>
            <w:r>
              <w:rPr>
                <w:rFonts w:ascii="Arial" w:hAnsi="Arial" w:cs="Arial"/>
                <w:sz w:val="18"/>
                <w:szCs w:val="18"/>
              </w:rPr>
              <w:t xml:space="preserve">If using </w:t>
            </w:r>
            <w:r w:rsidR="00186187">
              <w:rPr>
                <w:rFonts w:ascii="Arial" w:hAnsi="Arial" w:cs="Arial"/>
                <w:sz w:val="18"/>
                <w:szCs w:val="18"/>
              </w:rPr>
              <w:t xml:space="preserve">the linear regression model, </w:t>
            </w:r>
            <w:r w:rsidR="00226E51">
              <w:rPr>
                <w:rFonts w:ascii="Arial" w:hAnsi="Arial" w:cs="Arial"/>
                <w:sz w:val="18"/>
                <w:szCs w:val="18"/>
              </w:rPr>
              <w:t xml:space="preserve">are recalculated </w:t>
            </w:r>
            <w:r w:rsidR="00A1451E">
              <w:rPr>
                <w:rFonts w:ascii="Arial" w:hAnsi="Arial" w:cs="Arial"/>
                <w:sz w:val="18"/>
                <w:szCs w:val="18"/>
              </w:rPr>
              <w:t xml:space="preserve">concentrations in the lowest standard </w:t>
            </w:r>
            <w:r w:rsidR="00415F7E">
              <w:rPr>
                <w:rFonts w:ascii="Arial" w:hAnsi="Arial" w:cs="Arial"/>
                <w:sz w:val="18"/>
                <w:szCs w:val="18"/>
              </w:rPr>
              <w:t>using the final calibration curve within</w:t>
            </w:r>
            <w:r w:rsidR="00C912FD">
              <w:rPr>
                <w:rFonts w:ascii="Arial" w:hAnsi="Arial" w:cs="Arial"/>
                <w:sz w:val="18"/>
                <w:szCs w:val="18"/>
              </w:rPr>
              <w:t xml:space="preserve"> 70-130% recovery? </w:t>
            </w:r>
            <w:r w:rsidR="00C912FD" w:rsidRPr="000B5162">
              <w:rPr>
                <w:rFonts w:ascii="Arial" w:hAnsi="Arial" w:cs="Arial"/>
                <w:sz w:val="18"/>
                <w:szCs w:val="18"/>
              </w:rPr>
              <w:t>[MADEP VPH Rev. 2.1 (Feb 2018) Section 9.4.2.1</w:t>
            </w:r>
            <w:r w:rsidR="00C912FD">
              <w:rPr>
                <w:rFonts w:ascii="Arial" w:hAnsi="Arial" w:cs="Arial"/>
                <w:sz w:val="18"/>
                <w:szCs w:val="18"/>
              </w:rPr>
              <w:t>3</w:t>
            </w:r>
            <w:r w:rsidR="00C912FD" w:rsidRPr="000B5162">
              <w:rPr>
                <w:rFonts w:ascii="Arial" w:hAnsi="Arial" w:cs="Arial"/>
                <w:sz w:val="18"/>
                <w:szCs w:val="18"/>
              </w:rPr>
              <w:t>]</w:t>
            </w:r>
          </w:p>
        </w:tc>
        <w:tc>
          <w:tcPr>
            <w:tcW w:w="448" w:type="dxa"/>
            <w:noWrap/>
            <w:vAlign w:val="center"/>
          </w:tcPr>
          <w:p w14:paraId="389F2B3D" w14:textId="77777777" w:rsidR="00EE3058" w:rsidRPr="00A0149B" w:rsidRDefault="00EE3058" w:rsidP="00177C0A">
            <w:pPr>
              <w:rPr>
                <w:rFonts w:ascii="Arial" w:hAnsi="Arial" w:cs="Arial"/>
                <w:sz w:val="18"/>
                <w:szCs w:val="18"/>
              </w:rPr>
            </w:pPr>
          </w:p>
        </w:tc>
        <w:tc>
          <w:tcPr>
            <w:tcW w:w="448" w:type="dxa"/>
            <w:noWrap/>
            <w:vAlign w:val="center"/>
          </w:tcPr>
          <w:p w14:paraId="4D4A90EF" w14:textId="77777777" w:rsidR="00EE3058" w:rsidRPr="00A0149B" w:rsidRDefault="00EE3058" w:rsidP="00177C0A">
            <w:pPr>
              <w:rPr>
                <w:rFonts w:ascii="Arial" w:hAnsi="Arial" w:cs="Arial"/>
                <w:sz w:val="18"/>
                <w:szCs w:val="18"/>
              </w:rPr>
            </w:pPr>
          </w:p>
        </w:tc>
        <w:tc>
          <w:tcPr>
            <w:tcW w:w="4867" w:type="dxa"/>
            <w:gridSpan w:val="2"/>
            <w:vAlign w:val="center"/>
          </w:tcPr>
          <w:p w14:paraId="1760279F" w14:textId="77777777" w:rsidR="00EE3058" w:rsidRDefault="00C11081" w:rsidP="0020258E">
            <w:pPr>
              <w:jc w:val="both"/>
              <w:rPr>
                <w:rFonts w:ascii="Arial" w:hAnsi="Arial" w:cs="Arial"/>
                <w:sz w:val="18"/>
                <w:szCs w:val="18"/>
              </w:rPr>
            </w:pPr>
            <w:r w:rsidRPr="00C11081">
              <w:rPr>
                <w:rFonts w:ascii="Arial" w:hAnsi="Arial" w:cs="Arial"/>
                <w:sz w:val="18"/>
                <w:szCs w:val="18"/>
              </w:rPr>
              <w:t>In addition, the resulting calibration curve from the linear regression must be verified by recalculating concentrations of the Target VPH Analytes and hydrocarbon ranges in the lowest calibration standard using the final calibration curve. Recoveries must be 70-130%.</w:t>
            </w:r>
          </w:p>
          <w:p w14:paraId="7D235C9B" w14:textId="77777777" w:rsidR="00C96583" w:rsidRDefault="00C96583" w:rsidP="0020258E">
            <w:pPr>
              <w:jc w:val="both"/>
              <w:rPr>
                <w:rFonts w:ascii="Arial" w:hAnsi="Arial" w:cs="Arial"/>
                <w:sz w:val="18"/>
                <w:szCs w:val="18"/>
              </w:rPr>
            </w:pPr>
          </w:p>
          <w:p w14:paraId="40A70F7E" w14:textId="1F225429" w:rsidR="00C11081" w:rsidRPr="00FF55D4" w:rsidRDefault="000E5B95" w:rsidP="0020258E">
            <w:pPr>
              <w:jc w:val="both"/>
              <w:rPr>
                <w:rFonts w:ascii="Arial" w:hAnsi="Arial" w:cs="Arial"/>
                <w:sz w:val="18"/>
                <w:szCs w:val="18"/>
              </w:rPr>
            </w:pPr>
            <w:r w:rsidRPr="000E5B95">
              <w:rPr>
                <w:rFonts w:ascii="Arial" w:hAnsi="Arial" w:cs="Arial"/>
                <w:sz w:val="18"/>
                <w:szCs w:val="18"/>
              </w:rPr>
              <w:t>If recalculated concentrations from the lowest calibration standard are outside the 70- 130% recovery range, raise the RL to the concentration of the next highest calibration standard that exhibits acceptable recoveries when recalculated using the final calibration curve.</w:t>
            </w:r>
          </w:p>
        </w:tc>
      </w:tr>
      <w:tr w:rsidR="00177C0A" w:rsidRPr="00A0149B" w14:paraId="4AF747B1" w14:textId="77777777" w:rsidTr="000D36DE">
        <w:trPr>
          <w:trHeight w:val="264"/>
        </w:trPr>
        <w:tc>
          <w:tcPr>
            <w:tcW w:w="529" w:type="dxa"/>
            <w:noWrap/>
            <w:vAlign w:val="center"/>
          </w:tcPr>
          <w:p w14:paraId="4514418E" w14:textId="5890F31C"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3523C625" w14:textId="77777777" w:rsidR="00177C0A" w:rsidRDefault="00177C0A" w:rsidP="0020258E">
            <w:pPr>
              <w:jc w:val="both"/>
              <w:rPr>
                <w:rFonts w:ascii="Arial" w:hAnsi="Arial" w:cs="Arial"/>
                <w:sz w:val="18"/>
                <w:szCs w:val="18"/>
              </w:rPr>
            </w:pPr>
            <w:r>
              <w:rPr>
                <w:rFonts w:ascii="Arial" w:hAnsi="Arial" w:cs="Arial"/>
                <w:sz w:val="18"/>
                <w:szCs w:val="18"/>
              </w:rPr>
              <w:t xml:space="preserve">Is the </w:t>
            </w:r>
            <w:r w:rsidRPr="000B5162">
              <w:rPr>
                <w:rFonts w:ascii="Arial" w:hAnsi="Arial" w:cs="Arial"/>
                <w:sz w:val="18"/>
                <w:szCs w:val="18"/>
              </w:rPr>
              <w:t>initial calibration verified through the analysis of an initial calibration</w:t>
            </w:r>
            <w:r>
              <w:rPr>
                <w:rFonts w:ascii="Arial" w:hAnsi="Arial" w:cs="Arial"/>
                <w:sz w:val="18"/>
                <w:szCs w:val="18"/>
              </w:rPr>
              <w:t xml:space="preserve"> </w:t>
            </w:r>
            <w:r w:rsidRPr="000B5162">
              <w:rPr>
                <w:rFonts w:ascii="Arial" w:hAnsi="Arial" w:cs="Arial"/>
                <w:sz w:val="18"/>
                <w:szCs w:val="18"/>
              </w:rPr>
              <w:t>verification (ICV)</w:t>
            </w:r>
            <w:r>
              <w:rPr>
                <w:rFonts w:ascii="Arial" w:hAnsi="Arial" w:cs="Arial"/>
                <w:sz w:val="18"/>
                <w:szCs w:val="18"/>
              </w:rPr>
              <w:t xml:space="preserve"> made from a second source?</w:t>
            </w:r>
            <w:r>
              <w:t xml:space="preserve"> </w:t>
            </w:r>
            <w:r w:rsidRPr="000B5162">
              <w:rPr>
                <w:rFonts w:ascii="Arial" w:hAnsi="Arial" w:cs="Arial"/>
                <w:sz w:val="18"/>
                <w:szCs w:val="18"/>
              </w:rPr>
              <w:t>[MADEP VPH Rev. 2.1 (Feb 2018) Section 9.4.2.1</w:t>
            </w:r>
            <w:r>
              <w:rPr>
                <w:rFonts w:ascii="Arial" w:hAnsi="Arial" w:cs="Arial"/>
                <w:sz w:val="18"/>
                <w:szCs w:val="18"/>
              </w:rPr>
              <w:t>5</w:t>
            </w:r>
            <w:r w:rsidRPr="000B5162">
              <w:rPr>
                <w:rFonts w:ascii="Arial" w:hAnsi="Arial" w:cs="Arial"/>
                <w:sz w:val="18"/>
                <w:szCs w:val="18"/>
              </w:rPr>
              <w:t>]</w:t>
            </w:r>
            <w:r>
              <w:rPr>
                <w:rFonts w:ascii="Arial" w:hAnsi="Arial" w:cs="Arial"/>
                <w:sz w:val="18"/>
                <w:szCs w:val="18"/>
              </w:rPr>
              <w:t xml:space="preserve"> </w:t>
            </w:r>
          </w:p>
        </w:tc>
        <w:tc>
          <w:tcPr>
            <w:tcW w:w="448" w:type="dxa"/>
            <w:noWrap/>
            <w:vAlign w:val="center"/>
          </w:tcPr>
          <w:p w14:paraId="38753FF3" w14:textId="77777777" w:rsidR="00177C0A" w:rsidRPr="00A0149B" w:rsidRDefault="00177C0A" w:rsidP="00177C0A">
            <w:pPr>
              <w:rPr>
                <w:rFonts w:ascii="Arial" w:hAnsi="Arial" w:cs="Arial"/>
                <w:sz w:val="18"/>
                <w:szCs w:val="18"/>
              </w:rPr>
            </w:pPr>
          </w:p>
        </w:tc>
        <w:tc>
          <w:tcPr>
            <w:tcW w:w="448" w:type="dxa"/>
            <w:noWrap/>
            <w:vAlign w:val="center"/>
          </w:tcPr>
          <w:p w14:paraId="05232433" w14:textId="77777777" w:rsidR="00177C0A" w:rsidRPr="00A0149B" w:rsidRDefault="00177C0A" w:rsidP="00177C0A">
            <w:pPr>
              <w:rPr>
                <w:rFonts w:ascii="Arial" w:hAnsi="Arial" w:cs="Arial"/>
                <w:sz w:val="18"/>
                <w:szCs w:val="18"/>
              </w:rPr>
            </w:pPr>
          </w:p>
        </w:tc>
        <w:tc>
          <w:tcPr>
            <w:tcW w:w="4867" w:type="dxa"/>
            <w:gridSpan w:val="2"/>
            <w:vAlign w:val="center"/>
          </w:tcPr>
          <w:p w14:paraId="3030609E" w14:textId="77777777" w:rsidR="00177C0A" w:rsidRPr="00FF55D4" w:rsidRDefault="00177C0A" w:rsidP="0020258E">
            <w:pPr>
              <w:jc w:val="both"/>
              <w:rPr>
                <w:rFonts w:ascii="Arial" w:hAnsi="Arial" w:cs="Arial"/>
                <w:sz w:val="18"/>
                <w:szCs w:val="18"/>
              </w:rPr>
            </w:pPr>
            <w:r w:rsidRPr="00B73063">
              <w:rPr>
                <w:rFonts w:ascii="Arial" w:hAnsi="Arial" w:cs="Arial"/>
                <w:sz w:val="18"/>
                <w:szCs w:val="18"/>
              </w:rPr>
              <w:t>The initial calibration must be verified through the analysis of an initial calibration</w:t>
            </w:r>
            <w:r>
              <w:rPr>
                <w:rFonts w:ascii="Arial" w:hAnsi="Arial" w:cs="Arial"/>
                <w:sz w:val="18"/>
                <w:szCs w:val="18"/>
              </w:rPr>
              <w:t xml:space="preserve"> </w:t>
            </w:r>
            <w:r w:rsidRPr="00B73063">
              <w:rPr>
                <w:rFonts w:ascii="Arial" w:hAnsi="Arial" w:cs="Arial"/>
                <w:sz w:val="18"/>
                <w:szCs w:val="18"/>
              </w:rPr>
              <w:t>verification (ICV). This analysis must be performed every time an initial calibration is</w:t>
            </w:r>
            <w:r>
              <w:rPr>
                <w:rFonts w:ascii="Arial" w:hAnsi="Arial" w:cs="Arial"/>
                <w:sz w:val="18"/>
                <w:szCs w:val="18"/>
              </w:rPr>
              <w:t xml:space="preserve"> </w:t>
            </w:r>
            <w:r w:rsidRPr="00B73063">
              <w:rPr>
                <w:rFonts w:ascii="Arial" w:hAnsi="Arial" w:cs="Arial"/>
                <w:sz w:val="18"/>
                <w:szCs w:val="18"/>
              </w:rPr>
              <w:t>performed. The ICV must be prepared from a different stock</w:t>
            </w:r>
            <w:r>
              <w:rPr>
                <w:rFonts w:ascii="Arial" w:hAnsi="Arial" w:cs="Arial"/>
                <w:sz w:val="18"/>
                <w:szCs w:val="18"/>
              </w:rPr>
              <w:t xml:space="preserve"> </w:t>
            </w:r>
            <w:r w:rsidRPr="00B73063">
              <w:rPr>
                <w:rFonts w:ascii="Arial" w:hAnsi="Arial" w:cs="Arial"/>
                <w:sz w:val="18"/>
                <w:szCs w:val="18"/>
              </w:rPr>
              <w:t>standard than that used to</w:t>
            </w:r>
            <w:r>
              <w:rPr>
                <w:rFonts w:ascii="Arial" w:hAnsi="Arial" w:cs="Arial"/>
                <w:sz w:val="18"/>
                <w:szCs w:val="18"/>
              </w:rPr>
              <w:t xml:space="preserve"> </w:t>
            </w:r>
            <w:r w:rsidRPr="00B73063">
              <w:rPr>
                <w:rFonts w:ascii="Arial" w:hAnsi="Arial" w:cs="Arial"/>
                <w:sz w:val="18"/>
                <w:szCs w:val="18"/>
              </w:rPr>
              <w:t>prepare the</w:t>
            </w:r>
            <w:r>
              <w:rPr>
                <w:rFonts w:ascii="Arial" w:hAnsi="Arial" w:cs="Arial"/>
                <w:sz w:val="18"/>
                <w:szCs w:val="18"/>
              </w:rPr>
              <w:t xml:space="preserve"> </w:t>
            </w:r>
            <w:r w:rsidRPr="00B73063">
              <w:rPr>
                <w:rFonts w:ascii="Arial" w:hAnsi="Arial" w:cs="Arial"/>
                <w:sz w:val="18"/>
                <w:szCs w:val="18"/>
              </w:rPr>
              <w:t>calibration standard and must be analyzed</w:t>
            </w:r>
            <w:r>
              <w:rPr>
                <w:rFonts w:ascii="Arial" w:hAnsi="Arial" w:cs="Arial"/>
                <w:sz w:val="18"/>
                <w:szCs w:val="18"/>
              </w:rPr>
              <w:t xml:space="preserve"> </w:t>
            </w:r>
            <w:r w:rsidRPr="00B73063">
              <w:rPr>
                <w:rFonts w:ascii="Arial" w:hAnsi="Arial" w:cs="Arial"/>
                <w:sz w:val="18"/>
                <w:szCs w:val="18"/>
              </w:rPr>
              <w:t>immediately following the initial</w:t>
            </w:r>
            <w:r>
              <w:rPr>
                <w:rFonts w:ascii="Arial" w:hAnsi="Arial" w:cs="Arial"/>
                <w:sz w:val="18"/>
                <w:szCs w:val="18"/>
              </w:rPr>
              <w:t xml:space="preserve"> c</w:t>
            </w:r>
            <w:r w:rsidRPr="00B73063">
              <w:rPr>
                <w:rFonts w:ascii="Arial" w:hAnsi="Arial" w:cs="Arial"/>
                <w:sz w:val="18"/>
                <w:szCs w:val="18"/>
              </w:rPr>
              <w:t>alibration. The ICV should be prepared at a mid-range calibration curve</w:t>
            </w:r>
            <w:r>
              <w:rPr>
                <w:rFonts w:ascii="Arial" w:hAnsi="Arial" w:cs="Arial"/>
                <w:sz w:val="18"/>
                <w:szCs w:val="18"/>
              </w:rPr>
              <w:t>.</w:t>
            </w:r>
          </w:p>
        </w:tc>
      </w:tr>
      <w:tr w:rsidR="00177C0A" w:rsidRPr="00A0149B" w14:paraId="576EAC2D" w14:textId="77777777" w:rsidTr="000D36DE">
        <w:trPr>
          <w:trHeight w:val="264"/>
        </w:trPr>
        <w:tc>
          <w:tcPr>
            <w:tcW w:w="529" w:type="dxa"/>
            <w:noWrap/>
            <w:vAlign w:val="center"/>
          </w:tcPr>
          <w:p w14:paraId="0B863748" w14:textId="4BCB50B0"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370380CD" w14:textId="77777777" w:rsidR="00177C0A" w:rsidRDefault="00177C0A" w:rsidP="0020258E">
            <w:pPr>
              <w:jc w:val="both"/>
              <w:rPr>
                <w:rFonts w:ascii="Arial" w:hAnsi="Arial" w:cs="Arial"/>
                <w:sz w:val="18"/>
                <w:szCs w:val="18"/>
              </w:rPr>
            </w:pPr>
            <w:r>
              <w:rPr>
                <w:rFonts w:ascii="Arial" w:hAnsi="Arial" w:cs="Arial"/>
                <w:sz w:val="18"/>
                <w:szCs w:val="18"/>
              </w:rPr>
              <w:t>What is the acceptance criterion for the ICV?</w:t>
            </w:r>
            <w:r>
              <w:t xml:space="preserve"> </w:t>
            </w:r>
            <w:r w:rsidRPr="00FD02EB">
              <w:rPr>
                <w:rFonts w:ascii="Arial" w:hAnsi="Arial" w:cs="Arial"/>
                <w:sz w:val="18"/>
                <w:szCs w:val="18"/>
              </w:rPr>
              <w:t>[MADEP VPH Rev. 2.1 (Feb 2018) Section 10.</w:t>
            </w:r>
            <w:r>
              <w:rPr>
                <w:rFonts w:ascii="Arial" w:hAnsi="Arial" w:cs="Arial"/>
                <w:sz w:val="18"/>
                <w:szCs w:val="18"/>
              </w:rPr>
              <w:t>2</w:t>
            </w:r>
            <w:r w:rsidRPr="00FD02EB">
              <w:rPr>
                <w:rFonts w:ascii="Arial" w:hAnsi="Arial" w:cs="Arial"/>
                <w:sz w:val="18"/>
                <w:szCs w:val="18"/>
              </w:rPr>
              <w:t>.2]</w:t>
            </w:r>
            <w:r>
              <w:rPr>
                <w:rFonts w:ascii="Arial" w:hAnsi="Arial" w:cs="Arial"/>
                <w:sz w:val="18"/>
                <w:szCs w:val="18"/>
              </w:rPr>
              <w:t xml:space="preserve"> </w:t>
            </w:r>
          </w:p>
        </w:tc>
        <w:tc>
          <w:tcPr>
            <w:tcW w:w="448" w:type="dxa"/>
            <w:noWrap/>
            <w:vAlign w:val="center"/>
          </w:tcPr>
          <w:p w14:paraId="1C71026E" w14:textId="77777777" w:rsidR="00177C0A" w:rsidRPr="00A0149B" w:rsidRDefault="00177C0A" w:rsidP="00177C0A">
            <w:pPr>
              <w:rPr>
                <w:rFonts w:ascii="Arial" w:hAnsi="Arial" w:cs="Arial"/>
                <w:sz w:val="18"/>
                <w:szCs w:val="18"/>
              </w:rPr>
            </w:pPr>
          </w:p>
        </w:tc>
        <w:tc>
          <w:tcPr>
            <w:tcW w:w="448" w:type="dxa"/>
            <w:noWrap/>
            <w:vAlign w:val="center"/>
          </w:tcPr>
          <w:p w14:paraId="3676F427" w14:textId="77777777" w:rsidR="00177C0A" w:rsidRPr="00A0149B" w:rsidRDefault="00177C0A" w:rsidP="00177C0A">
            <w:pPr>
              <w:rPr>
                <w:rFonts w:ascii="Arial" w:hAnsi="Arial" w:cs="Arial"/>
                <w:sz w:val="18"/>
                <w:szCs w:val="18"/>
              </w:rPr>
            </w:pPr>
          </w:p>
        </w:tc>
        <w:tc>
          <w:tcPr>
            <w:tcW w:w="4867" w:type="dxa"/>
            <w:gridSpan w:val="2"/>
            <w:vAlign w:val="center"/>
          </w:tcPr>
          <w:p w14:paraId="0C814CDF" w14:textId="77777777" w:rsidR="00177C0A" w:rsidRPr="00B73063" w:rsidRDefault="00177C0A" w:rsidP="0020258E">
            <w:pPr>
              <w:jc w:val="both"/>
              <w:rPr>
                <w:rFonts w:ascii="Arial" w:hAnsi="Arial" w:cs="Arial"/>
                <w:sz w:val="18"/>
                <w:szCs w:val="18"/>
              </w:rPr>
            </w:pPr>
            <w:r w:rsidRPr="00FD02EB">
              <w:rPr>
                <w:rFonts w:ascii="Arial" w:hAnsi="Arial" w:cs="Arial"/>
                <w:sz w:val="18"/>
                <w:szCs w:val="18"/>
              </w:rPr>
              <w:t xml:space="preserve">The recoveries of all Target VPH Analytes and </w:t>
            </w:r>
            <w:proofErr w:type="gramStart"/>
            <w:r w:rsidRPr="00FD02EB">
              <w:rPr>
                <w:rFonts w:ascii="Arial" w:hAnsi="Arial" w:cs="Arial"/>
                <w:sz w:val="18"/>
                <w:szCs w:val="18"/>
              </w:rPr>
              <w:t>hydrocarbon ranges</w:t>
            </w:r>
            <w:proofErr w:type="gramEnd"/>
            <w:r w:rsidRPr="00FD02EB">
              <w:rPr>
                <w:rFonts w:ascii="Arial" w:hAnsi="Arial" w:cs="Arial"/>
                <w:sz w:val="18"/>
                <w:szCs w:val="18"/>
              </w:rPr>
              <w:t xml:space="preserve"> must be</w:t>
            </w:r>
            <w:r>
              <w:rPr>
                <w:rFonts w:ascii="Arial" w:hAnsi="Arial" w:cs="Arial"/>
                <w:sz w:val="18"/>
                <w:szCs w:val="18"/>
              </w:rPr>
              <w:t xml:space="preserve"> </w:t>
            </w:r>
            <w:r w:rsidRPr="00FD02EB">
              <w:rPr>
                <w:rFonts w:ascii="Arial" w:hAnsi="Arial" w:cs="Arial"/>
                <w:sz w:val="18"/>
                <w:szCs w:val="18"/>
              </w:rPr>
              <w:t>between 70-</w:t>
            </w:r>
            <w:r>
              <w:rPr>
                <w:rFonts w:ascii="Arial" w:hAnsi="Arial" w:cs="Arial"/>
                <w:sz w:val="18"/>
                <w:szCs w:val="18"/>
              </w:rPr>
              <w:t xml:space="preserve"> 1</w:t>
            </w:r>
            <w:r w:rsidRPr="00FD02EB">
              <w:rPr>
                <w:rFonts w:ascii="Arial" w:hAnsi="Arial" w:cs="Arial"/>
                <w:sz w:val="18"/>
                <w:szCs w:val="18"/>
              </w:rPr>
              <w:t>30%. A new five-point calibration must be performed if &gt;10% of all analytes are</w:t>
            </w:r>
            <w:r>
              <w:rPr>
                <w:rFonts w:ascii="Arial" w:hAnsi="Arial" w:cs="Arial"/>
                <w:sz w:val="18"/>
                <w:szCs w:val="18"/>
              </w:rPr>
              <w:t xml:space="preserve"> </w:t>
            </w:r>
            <w:r w:rsidRPr="00FD02EB">
              <w:rPr>
                <w:rFonts w:ascii="Arial" w:hAnsi="Arial" w:cs="Arial"/>
                <w:sz w:val="18"/>
                <w:szCs w:val="18"/>
              </w:rPr>
              <w:t>outside of criteria.</w:t>
            </w:r>
          </w:p>
        </w:tc>
      </w:tr>
      <w:tr w:rsidR="00177C0A" w:rsidRPr="00A0149B" w14:paraId="579E70F3" w14:textId="77777777" w:rsidTr="000D36DE">
        <w:trPr>
          <w:trHeight w:val="264"/>
        </w:trPr>
        <w:tc>
          <w:tcPr>
            <w:tcW w:w="529" w:type="dxa"/>
            <w:shd w:val="clear" w:color="auto" w:fill="D9D9D9" w:themeFill="background1" w:themeFillShade="D9"/>
            <w:noWrap/>
            <w:vAlign w:val="center"/>
          </w:tcPr>
          <w:p w14:paraId="4BD017C8" w14:textId="77777777" w:rsidR="00177C0A" w:rsidRPr="008D4248" w:rsidRDefault="00177C0A" w:rsidP="00155C16">
            <w:pPr>
              <w:pStyle w:val="ListParagraph"/>
              <w:ind w:left="72"/>
              <w:rPr>
                <w:rFonts w:ascii="Arial" w:hAnsi="Arial" w:cs="Arial"/>
                <w:sz w:val="18"/>
                <w:szCs w:val="18"/>
              </w:rPr>
            </w:pPr>
          </w:p>
        </w:tc>
        <w:tc>
          <w:tcPr>
            <w:tcW w:w="4867" w:type="dxa"/>
            <w:shd w:val="clear" w:color="auto" w:fill="D9D9D9" w:themeFill="background1" w:themeFillShade="D9"/>
            <w:noWrap/>
            <w:vAlign w:val="center"/>
          </w:tcPr>
          <w:p w14:paraId="092D40E8" w14:textId="15B39AD7" w:rsidR="00177C0A" w:rsidRPr="00560E41" w:rsidRDefault="00177C0A" w:rsidP="00177C0A">
            <w:pPr>
              <w:jc w:val="center"/>
              <w:rPr>
                <w:rFonts w:ascii="Arial" w:hAnsi="Arial" w:cs="Arial"/>
                <w:b/>
                <w:sz w:val="18"/>
                <w:szCs w:val="18"/>
              </w:rPr>
            </w:pPr>
            <w:r w:rsidRPr="00560E41">
              <w:rPr>
                <w:rFonts w:ascii="Arial" w:hAnsi="Arial" w:cs="Arial"/>
                <w:b/>
                <w:sz w:val="18"/>
                <w:szCs w:val="18"/>
              </w:rPr>
              <w:t>PROCEDURE – Sample Preparation</w:t>
            </w:r>
          </w:p>
        </w:tc>
        <w:tc>
          <w:tcPr>
            <w:tcW w:w="448" w:type="dxa"/>
            <w:shd w:val="clear" w:color="auto" w:fill="D9D9D9" w:themeFill="background1" w:themeFillShade="D9"/>
            <w:noWrap/>
            <w:vAlign w:val="center"/>
          </w:tcPr>
          <w:p w14:paraId="281FB151" w14:textId="77777777" w:rsidR="00177C0A" w:rsidRDefault="00177C0A" w:rsidP="00177C0A">
            <w:pPr>
              <w:jc w:val="both"/>
              <w:rPr>
                <w:rFonts w:ascii="Arial" w:hAnsi="Arial" w:cs="Arial"/>
                <w:b/>
                <w:sz w:val="18"/>
                <w:szCs w:val="18"/>
              </w:rPr>
            </w:pPr>
            <w:r>
              <w:rPr>
                <w:rFonts w:ascii="Arial" w:hAnsi="Arial" w:cs="Arial"/>
                <w:b/>
                <w:sz w:val="18"/>
                <w:szCs w:val="18"/>
              </w:rPr>
              <w:t>LAB</w:t>
            </w:r>
          </w:p>
        </w:tc>
        <w:tc>
          <w:tcPr>
            <w:tcW w:w="448" w:type="dxa"/>
            <w:shd w:val="clear" w:color="auto" w:fill="D9D9D9" w:themeFill="background1" w:themeFillShade="D9"/>
            <w:noWrap/>
            <w:vAlign w:val="center"/>
          </w:tcPr>
          <w:p w14:paraId="62E22A45" w14:textId="77777777" w:rsidR="00177C0A" w:rsidRDefault="00177C0A" w:rsidP="00177C0A">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197C7B9A" w14:textId="77777777" w:rsidR="00177C0A" w:rsidRPr="00560E41" w:rsidRDefault="00177C0A" w:rsidP="00177C0A">
            <w:pPr>
              <w:jc w:val="center"/>
              <w:rPr>
                <w:rFonts w:ascii="Arial" w:hAnsi="Arial" w:cs="Arial"/>
                <w:b/>
                <w:sz w:val="18"/>
                <w:szCs w:val="18"/>
              </w:rPr>
            </w:pPr>
            <w:r w:rsidRPr="00560E41">
              <w:rPr>
                <w:rFonts w:ascii="Arial" w:hAnsi="Arial" w:cs="Arial"/>
                <w:b/>
                <w:sz w:val="18"/>
                <w:szCs w:val="18"/>
              </w:rPr>
              <w:t>EXPLANATION</w:t>
            </w:r>
          </w:p>
        </w:tc>
      </w:tr>
      <w:tr w:rsidR="00177C0A" w:rsidRPr="00A0149B" w14:paraId="77B58D84" w14:textId="77777777" w:rsidTr="000D36DE">
        <w:trPr>
          <w:trHeight w:val="264"/>
        </w:trPr>
        <w:tc>
          <w:tcPr>
            <w:tcW w:w="529" w:type="dxa"/>
            <w:noWrap/>
            <w:vAlign w:val="center"/>
          </w:tcPr>
          <w:p w14:paraId="74600858" w14:textId="51E34FC5" w:rsidR="00177C0A" w:rsidRPr="008D4248" w:rsidRDefault="00177C0A" w:rsidP="008D4248">
            <w:pPr>
              <w:pStyle w:val="ListParagraph"/>
              <w:numPr>
                <w:ilvl w:val="0"/>
                <w:numId w:val="3"/>
              </w:numPr>
              <w:rPr>
                <w:rFonts w:ascii="Arial" w:hAnsi="Arial" w:cs="Arial"/>
                <w:sz w:val="18"/>
                <w:szCs w:val="18"/>
              </w:rPr>
            </w:pPr>
          </w:p>
        </w:tc>
        <w:tc>
          <w:tcPr>
            <w:tcW w:w="4867" w:type="dxa"/>
            <w:noWrap/>
            <w:vAlign w:val="center"/>
          </w:tcPr>
          <w:p w14:paraId="62DF5F17" w14:textId="3DFBBA3C" w:rsidR="00177C0A" w:rsidRDefault="00614868" w:rsidP="0020258E">
            <w:pPr>
              <w:jc w:val="both"/>
              <w:rPr>
                <w:rFonts w:ascii="Arial" w:hAnsi="Arial" w:cs="Arial"/>
                <w:sz w:val="18"/>
                <w:szCs w:val="18"/>
              </w:rPr>
            </w:pPr>
            <w:r>
              <w:rPr>
                <w:rFonts w:ascii="Arial" w:hAnsi="Arial" w:cs="Arial"/>
                <w:sz w:val="18"/>
                <w:szCs w:val="18"/>
              </w:rPr>
              <w:t xml:space="preserve">Does the laboratory use an autosampler or </w:t>
            </w:r>
            <w:r w:rsidR="0061420E">
              <w:rPr>
                <w:rFonts w:ascii="Arial" w:hAnsi="Arial" w:cs="Arial"/>
                <w:sz w:val="18"/>
                <w:szCs w:val="18"/>
              </w:rPr>
              <w:t xml:space="preserve">manual load system? </w:t>
            </w:r>
            <w:r w:rsidR="001835EF" w:rsidRPr="004575EA">
              <w:rPr>
                <w:rFonts w:ascii="Arial" w:hAnsi="Arial" w:cs="Arial"/>
                <w:sz w:val="18"/>
                <w:szCs w:val="18"/>
              </w:rPr>
              <w:t>[MADEP VPH Rev. 2.1 (Feb 2018) Section 9.</w:t>
            </w:r>
            <w:r w:rsidR="001835EF">
              <w:rPr>
                <w:rFonts w:ascii="Arial" w:hAnsi="Arial" w:cs="Arial"/>
                <w:sz w:val="18"/>
                <w:szCs w:val="18"/>
              </w:rPr>
              <w:t>1.2</w:t>
            </w:r>
            <w:r w:rsidR="008F19D1">
              <w:rPr>
                <w:rFonts w:ascii="Arial" w:hAnsi="Arial" w:cs="Arial"/>
                <w:sz w:val="18"/>
                <w:szCs w:val="18"/>
              </w:rPr>
              <w:t xml:space="preserve"> Note</w:t>
            </w:r>
            <w:r w:rsidR="001835EF" w:rsidRPr="004575EA">
              <w:rPr>
                <w:rFonts w:ascii="Arial" w:hAnsi="Arial" w:cs="Arial"/>
                <w:sz w:val="18"/>
                <w:szCs w:val="18"/>
              </w:rPr>
              <w:t xml:space="preserve">] </w:t>
            </w:r>
            <w:r w:rsidR="001835EF">
              <w:rPr>
                <w:rFonts w:ascii="Arial" w:hAnsi="Arial" w:cs="Arial"/>
                <w:sz w:val="18"/>
                <w:szCs w:val="18"/>
              </w:rPr>
              <w:t xml:space="preserve"> </w:t>
            </w:r>
          </w:p>
          <w:p w14:paraId="48FFE97D" w14:textId="77777777" w:rsidR="0061420E" w:rsidRDefault="0061420E" w:rsidP="0020258E">
            <w:pPr>
              <w:jc w:val="both"/>
              <w:rPr>
                <w:rFonts w:ascii="Arial" w:hAnsi="Arial" w:cs="Arial"/>
                <w:sz w:val="18"/>
                <w:szCs w:val="18"/>
              </w:rPr>
            </w:pPr>
          </w:p>
          <w:p w14:paraId="640BE18C" w14:textId="77777777" w:rsidR="0061420E" w:rsidRPr="00E565C2" w:rsidRDefault="0061420E" w:rsidP="0020258E">
            <w:pPr>
              <w:jc w:val="both"/>
              <w:rPr>
                <w:rFonts w:ascii="Arial" w:hAnsi="Arial" w:cs="Arial"/>
                <w:b/>
                <w:bCs/>
                <w:sz w:val="18"/>
                <w:szCs w:val="18"/>
              </w:rPr>
            </w:pPr>
            <w:r w:rsidRPr="00E565C2">
              <w:rPr>
                <w:rFonts w:ascii="Arial" w:hAnsi="Arial" w:cs="Arial"/>
                <w:b/>
                <w:bCs/>
                <w:sz w:val="18"/>
                <w:szCs w:val="18"/>
              </w:rPr>
              <w:lastRenderedPageBreak/>
              <w:t>Answer:</w:t>
            </w:r>
          </w:p>
          <w:p w14:paraId="2F291CE1" w14:textId="77777777" w:rsidR="0061420E" w:rsidRDefault="0061420E" w:rsidP="0020258E">
            <w:pPr>
              <w:jc w:val="both"/>
              <w:rPr>
                <w:rFonts w:ascii="Arial" w:hAnsi="Arial" w:cs="Arial"/>
                <w:sz w:val="18"/>
                <w:szCs w:val="18"/>
              </w:rPr>
            </w:pPr>
          </w:p>
          <w:p w14:paraId="232D11A8" w14:textId="2290333F" w:rsidR="0061420E" w:rsidRPr="00F749DE" w:rsidRDefault="0061420E" w:rsidP="0020258E">
            <w:pPr>
              <w:jc w:val="both"/>
              <w:rPr>
                <w:rFonts w:ascii="Arial" w:hAnsi="Arial" w:cs="Arial"/>
                <w:sz w:val="18"/>
                <w:szCs w:val="18"/>
              </w:rPr>
            </w:pPr>
          </w:p>
        </w:tc>
        <w:tc>
          <w:tcPr>
            <w:tcW w:w="448" w:type="dxa"/>
            <w:shd w:val="clear" w:color="auto" w:fill="D9D9D9" w:themeFill="background1" w:themeFillShade="D9"/>
            <w:noWrap/>
            <w:vAlign w:val="center"/>
          </w:tcPr>
          <w:p w14:paraId="130B0CE9" w14:textId="77777777" w:rsidR="00177C0A" w:rsidRPr="00A0149B" w:rsidRDefault="00177C0A" w:rsidP="00177C0A">
            <w:pPr>
              <w:rPr>
                <w:rFonts w:ascii="Arial" w:hAnsi="Arial" w:cs="Arial"/>
                <w:sz w:val="18"/>
                <w:szCs w:val="18"/>
              </w:rPr>
            </w:pPr>
          </w:p>
        </w:tc>
        <w:tc>
          <w:tcPr>
            <w:tcW w:w="448" w:type="dxa"/>
            <w:noWrap/>
            <w:vAlign w:val="center"/>
          </w:tcPr>
          <w:p w14:paraId="29FB06EF" w14:textId="77777777" w:rsidR="00177C0A" w:rsidRPr="00A0149B" w:rsidRDefault="00177C0A" w:rsidP="00177C0A">
            <w:pPr>
              <w:rPr>
                <w:rFonts w:ascii="Arial" w:hAnsi="Arial" w:cs="Arial"/>
                <w:sz w:val="18"/>
                <w:szCs w:val="18"/>
              </w:rPr>
            </w:pPr>
          </w:p>
        </w:tc>
        <w:tc>
          <w:tcPr>
            <w:tcW w:w="4867" w:type="dxa"/>
            <w:gridSpan w:val="2"/>
            <w:vAlign w:val="center"/>
          </w:tcPr>
          <w:p w14:paraId="1F3B99D2" w14:textId="77777777" w:rsidR="00177C0A" w:rsidRDefault="008F19D1" w:rsidP="001835EF">
            <w:pPr>
              <w:jc w:val="both"/>
              <w:rPr>
                <w:rFonts w:ascii="Arial" w:hAnsi="Arial" w:cs="Arial"/>
                <w:b/>
                <w:bCs/>
                <w:sz w:val="18"/>
                <w:szCs w:val="18"/>
              </w:rPr>
            </w:pPr>
            <w:r>
              <w:rPr>
                <w:rFonts w:ascii="Arial" w:hAnsi="Arial" w:cs="Arial"/>
                <w:b/>
                <w:bCs/>
                <w:sz w:val="18"/>
                <w:szCs w:val="18"/>
              </w:rPr>
              <w:t xml:space="preserve">Note: </w:t>
            </w:r>
            <w:r w:rsidR="001835EF" w:rsidRPr="001835EF">
              <w:rPr>
                <w:rFonts w:ascii="Arial" w:hAnsi="Arial" w:cs="Arial"/>
                <w:b/>
                <w:bCs/>
                <w:sz w:val="18"/>
                <w:szCs w:val="18"/>
              </w:rPr>
              <w:t>Although procedures for manual purge-and-trap load systems are provided below,</w:t>
            </w:r>
            <w:r w:rsidR="001835EF">
              <w:rPr>
                <w:rFonts w:ascii="Arial" w:hAnsi="Arial" w:cs="Arial"/>
                <w:b/>
                <w:bCs/>
                <w:sz w:val="18"/>
                <w:szCs w:val="18"/>
              </w:rPr>
              <w:t xml:space="preserve"> </w:t>
            </w:r>
            <w:r w:rsidR="001835EF" w:rsidRPr="001835EF">
              <w:rPr>
                <w:rFonts w:ascii="Arial" w:hAnsi="Arial" w:cs="Arial"/>
                <w:b/>
                <w:bCs/>
                <w:sz w:val="18"/>
                <w:szCs w:val="18"/>
              </w:rPr>
              <w:t xml:space="preserve">MassDEP prefers the use of purge-and-trap autosamplers to reduce </w:t>
            </w:r>
            <w:r w:rsidR="001835EF" w:rsidRPr="001835EF">
              <w:rPr>
                <w:rFonts w:ascii="Arial" w:hAnsi="Arial" w:cs="Arial"/>
                <w:b/>
                <w:bCs/>
                <w:sz w:val="18"/>
                <w:szCs w:val="18"/>
              </w:rPr>
              <w:lastRenderedPageBreak/>
              <w:t>variability and to</w:t>
            </w:r>
            <w:r w:rsidR="001835EF">
              <w:rPr>
                <w:rFonts w:ascii="Arial" w:hAnsi="Arial" w:cs="Arial"/>
                <w:b/>
                <w:bCs/>
                <w:sz w:val="18"/>
                <w:szCs w:val="18"/>
              </w:rPr>
              <w:t xml:space="preserve"> </w:t>
            </w:r>
            <w:r w:rsidR="001835EF" w:rsidRPr="001835EF">
              <w:rPr>
                <w:rFonts w:ascii="Arial" w:hAnsi="Arial" w:cs="Arial"/>
                <w:b/>
                <w:bCs/>
                <w:sz w:val="18"/>
                <w:szCs w:val="18"/>
              </w:rPr>
              <w:t>minimize the handling of samples for VPH analysis.</w:t>
            </w:r>
          </w:p>
          <w:p w14:paraId="35ED6A27" w14:textId="77777777" w:rsidR="00FC60D4" w:rsidRDefault="00FC60D4" w:rsidP="001835EF">
            <w:pPr>
              <w:jc w:val="both"/>
              <w:rPr>
                <w:rFonts w:ascii="Arial" w:hAnsi="Arial" w:cs="Arial"/>
                <w:b/>
                <w:bCs/>
                <w:sz w:val="18"/>
                <w:szCs w:val="18"/>
              </w:rPr>
            </w:pPr>
          </w:p>
          <w:p w14:paraId="1E45D2D2" w14:textId="52D71BCB" w:rsidR="00FC60D4" w:rsidRPr="008C58F9" w:rsidRDefault="008C58F9" w:rsidP="001835EF">
            <w:pPr>
              <w:jc w:val="both"/>
              <w:rPr>
                <w:rFonts w:ascii="Arial" w:hAnsi="Arial" w:cs="Arial"/>
                <w:sz w:val="18"/>
                <w:szCs w:val="18"/>
              </w:rPr>
            </w:pPr>
            <w:r>
              <w:rPr>
                <w:rFonts w:ascii="Arial" w:hAnsi="Arial" w:cs="Arial"/>
                <w:sz w:val="18"/>
                <w:szCs w:val="18"/>
              </w:rPr>
              <w:t xml:space="preserve">If using a manual load system, </w:t>
            </w:r>
            <w:r w:rsidR="00117C2E">
              <w:rPr>
                <w:rFonts w:ascii="Arial" w:hAnsi="Arial" w:cs="Arial"/>
                <w:sz w:val="18"/>
                <w:szCs w:val="18"/>
              </w:rPr>
              <w:t xml:space="preserve">see Section 9.1.2.1 </w:t>
            </w:r>
            <w:r w:rsidR="002806CD">
              <w:rPr>
                <w:rFonts w:ascii="Arial" w:hAnsi="Arial" w:cs="Arial"/>
                <w:sz w:val="18"/>
                <w:szCs w:val="18"/>
              </w:rPr>
              <w:t xml:space="preserve">for additional requirements. </w:t>
            </w:r>
          </w:p>
        </w:tc>
      </w:tr>
      <w:tr w:rsidR="00C3721C" w:rsidRPr="00A0149B" w14:paraId="40FD3498" w14:textId="77777777" w:rsidTr="000D36DE">
        <w:trPr>
          <w:trHeight w:val="264"/>
        </w:trPr>
        <w:tc>
          <w:tcPr>
            <w:tcW w:w="529" w:type="dxa"/>
            <w:noWrap/>
            <w:vAlign w:val="center"/>
          </w:tcPr>
          <w:p w14:paraId="1CF840DF" w14:textId="77777777"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7ADD6D18" w14:textId="19C90B1E" w:rsidR="00C3721C" w:rsidRDefault="00C3721C" w:rsidP="00C3721C">
            <w:pPr>
              <w:jc w:val="both"/>
              <w:rPr>
                <w:rFonts w:ascii="Arial" w:hAnsi="Arial" w:cs="Arial"/>
                <w:sz w:val="18"/>
                <w:szCs w:val="18"/>
              </w:rPr>
            </w:pPr>
            <w:r>
              <w:rPr>
                <w:rFonts w:ascii="Arial" w:hAnsi="Arial" w:cs="Arial"/>
                <w:sz w:val="18"/>
                <w:szCs w:val="18"/>
              </w:rPr>
              <w:t>Are samples i</w:t>
            </w:r>
            <w:r w:rsidRPr="004575EA">
              <w:rPr>
                <w:rFonts w:ascii="Arial" w:hAnsi="Arial" w:cs="Arial"/>
                <w:sz w:val="18"/>
                <w:szCs w:val="18"/>
              </w:rPr>
              <w:t>ntroduce</w:t>
            </w:r>
            <w:r>
              <w:rPr>
                <w:rFonts w:ascii="Arial" w:hAnsi="Arial" w:cs="Arial"/>
                <w:sz w:val="18"/>
                <w:szCs w:val="18"/>
              </w:rPr>
              <w:t xml:space="preserve">d </w:t>
            </w:r>
            <w:r w:rsidRPr="004575EA">
              <w:rPr>
                <w:rFonts w:ascii="Arial" w:hAnsi="Arial" w:cs="Arial"/>
                <w:sz w:val="18"/>
                <w:szCs w:val="18"/>
              </w:rPr>
              <w:t>into the GC using a purge-and-trap concentrator</w:t>
            </w:r>
            <w:r>
              <w:rPr>
                <w:rFonts w:ascii="Arial" w:hAnsi="Arial" w:cs="Arial"/>
                <w:sz w:val="18"/>
                <w:szCs w:val="18"/>
              </w:rPr>
              <w:t>?</w:t>
            </w:r>
            <w:r>
              <w:t xml:space="preserve"> </w:t>
            </w:r>
            <w:r w:rsidRPr="004575EA">
              <w:rPr>
                <w:rFonts w:ascii="Arial" w:hAnsi="Arial" w:cs="Arial"/>
                <w:sz w:val="18"/>
                <w:szCs w:val="18"/>
              </w:rPr>
              <w:t>[MADEP VPH Rev. 2.1 (Feb 2018) Section 9.</w:t>
            </w:r>
            <w:r>
              <w:rPr>
                <w:rFonts w:ascii="Arial" w:hAnsi="Arial" w:cs="Arial"/>
                <w:sz w:val="18"/>
                <w:szCs w:val="18"/>
              </w:rPr>
              <w:t>1.2</w:t>
            </w:r>
            <w:r w:rsidRPr="004575EA">
              <w:rPr>
                <w:rFonts w:ascii="Arial" w:hAnsi="Arial" w:cs="Arial"/>
                <w:sz w:val="18"/>
                <w:szCs w:val="18"/>
              </w:rPr>
              <w:t xml:space="preserve">] </w:t>
            </w:r>
            <w:r>
              <w:rPr>
                <w:rFonts w:ascii="Arial" w:hAnsi="Arial" w:cs="Arial"/>
                <w:sz w:val="18"/>
                <w:szCs w:val="18"/>
              </w:rPr>
              <w:t xml:space="preserve"> </w:t>
            </w:r>
          </w:p>
        </w:tc>
        <w:tc>
          <w:tcPr>
            <w:tcW w:w="448" w:type="dxa"/>
            <w:noWrap/>
            <w:vAlign w:val="center"/>
          </w:tcPr>
          <w:p w14:paraId="1BAF39DE" w14:textId="77777777" w:rsidR="00C3721C" w:rsidRPr="00A0149B" w:rsidRDefault="00C3721C" w:rsidP="00C3721C">
            <w:pPr>
              <w:rPr>
                <w:rFonts w:ascii="Arial" w:hAnsi="Arial" w:cs="Arial"/>
                <w:sz w:val="18"/>
                <w:szCs w:val="18"/>
              </w:rPr>
            </w:pPr>
          </w:p>
        </w:tc>
        <w:tc>
          <w:tcPr>
            <w:tcW w:w="448" w:type="dxa"/>
            <w:noWrap/>
            <w:vAlign w:val="center"/>
          </w:tcPr>
          <w:p w14:paraId="2C4BAEC6" w14:textId="77777777" w:rsidR="00C3721C" w:rsidRPr="00A0149B" w:rsidRDefault="00C3721C" w:rsidP="00C3721C">
            <w:pPr>
              <w:rPr>
                <w:rFonts w:ascii="Arial" w:hAnsi="Arial" w:cs="Arial"/>
                <w:sz w:val="18"/>
                <w:szCs w:val="18"/>
              </w:rPr>
            </w:pPr>
          </w:p>
        </w:tc>
        <w:tc>
          <w:tcPr>
            <w:tcW w:w="4867" w:type="dxa"/>
            <w:gridSpan w:val="2"/>
            <w:vAlign w:val="center"/>
          </w:tcPr>
          <w:p w14:paraId="6E7CB373" w14:textId="291DDF95" w:rsidR="00C3721C" w:rsidRPr="004575EA" w:rsidRDefault="00C3721C" w:rsidP="00C3721C">
            <w:pPr>
              <w:jc w:val="both"/>
              <w:rPr>
                <w:rFonts w:ascii="Arial" w:hAnsi="Arial" w:cs="Arial"/>
                <w:sz w:val="18"/>
                <w:szCs w:val="18"/>
              </w:rPr>
            </w:pPr>
            <w:r w:rsidRPr="004575EA">
              <w:rPr>
                <w:rFonts w:ascii="Arial" w:hAnsi="Arial" w:cs="Arial"/>
                <w:sz w:val="18"/>
                <w:szCs w:val="18"/>
              </w:rPr>
              <w:t>Introduce volatile compounds into the GC using a purge-and-trap concentrator.</w:t>
            </w:r>
          </w:p>
        </w:tc>
      </w:tr>
      <w:tr w:rsidR="00C3721C" w:rsidRPr="00A0149B" w14:paraId="1B6D3313" w14:textId="77777777" w:rsidTr="000D36DE">
        <w:trPr>
          <w:trHeight w:val="264"/>
        </w:trPr>
        <w:tc>
          <w:tcPr>
            <w:tcW w:w="529" w:type="dxa"/>
            <w:noWrap/>
            <w:vAlign w:val="center"/>
          </w:tcPr>
          <w:p w14:paraId="0B02E8E2" w14:textId="18781E9F"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09ACD72F" w14:textId="77777777" w:rsidR="00C3721C" w:rsidRPr="00933A87" w:rsidRDefault="00C3721C" w:rsidP="00C3721C">
            <w:pPr>
              <w:jc w:val="both"/>
              <w:rPr>
                <w:rFonts w:ascii="Arial" w:hAnsi="Arial" w:cs="Arial"/>
                <w:sz w:val="18"/>
                <w:szCs w:val="18"/>
              </w:rPr>
            </w:pPr>
            <w:r>
              <w:rPr>
                <w:rFonts w:ascii="Arial" w:hAnsi="Arial" w:cs="Arial"/>
                <w:sz w:val="18"/>
                <w:szCs w:val="18"/>
              </w:rPr>
              <w:t>Is a 5.0 mL sample volume used?</w:t>
            </w:r>
            <w:r>
              <w:t xml:space="preserve"> </w:t>
            </w:r>
            <w:r w:rsidRPr="004575EA">
              <w:rPr>
                <w:rFonts w:ascii="Arial" w:hAnsi="Arial" w:cs="Arial"/>
                <w:sz w:val="18"/>
                <w:szCs w:val="18"/>
              </w:rPr>
              <w:t>[MADEP VPH Rev. 2.1 (Feb 2018) Section 9.1.2</w:t>
            </w:r>
            <w:r>
              <w:rPr>
                <w:rFonts w:ascii="Arial" w:hAnsi="Arial" w:cs="Arial"/>
                <w:sz w:val="18"/>
                <w:szCs w:val="18"/>
              </w:rPr>
              <w:t>.1</w:t>
            </w:r>
            <w:r w:rsidRPr="004575EA">
              <w:rPr>
                <w:rFonts w:ascii="Arial" w:hAnsi="Arial" w:cs="Arial"/>
                <w:sz w:val="18"/>
                <w:szCs w:val="18"/>
              </w:rPr>
              <w:t xml:space="preserve">]  </w:t>
            </w:r>
          </w:p>
        </w:tc>
        <w:tc>
          <w:tcPr>
            <w:tcW w:w="448" w:type="dxa"/>
            <w:tcBorders>
              <w:bottom w:val="single" w:sz="4" w:space="0" w:color="auto"/>
            </w:tcBorders>
            <w:noWrap/>
            <w:vAlign w:val="center"/>
          </w:tcPr>
          <w:p w14:paraId="46C7D893" w14:textId="77777777" w:rsidR="00C3721C" w:rsidRPr="00A0149B" w:rsidRDefault="00C3721C" w:rsidP="00C3721C">
            <w:pPr>
              <w:rPr>
                <w:rFonts w:ascii="Arial" w:hAnsi="Arial" w:cs="Arial"/>
                <w:sz w:val="18"/>
                <w:szCs w:val="18"/>
              </w:rPr>
            </w:pPr>
          </w:p>
        </w:tc>
        <w:tc>
          <w:tcPr>
            <w:tcW w:w="448" w:type="dxa"/>
            <w:tcBorders>
              <w:bottom w:val="single" w:sz="4" w:space="0" w:color="auto"/>
            </w:tcBorders>
            <w:noWrap/>
            <w:vAlign w:val="center"/>
          </w:tcPr>
          <w:p w14:paraId="7BCC6993" w14:textId="77777777" w:rsidR="00C3721C" w:rsidRPr="00A0149B" w:rsidRDefault="00C3721C" w:rsidP="00C3721C">
            <w:pPr>
              <w:rPr>
                <w:rFonts w:ascii="Arial" w:hAnsi="Arial" w:cs="Arial"/>
                <w:sz w:val="18"/>
                <w:szCs w:val="18"/>
              </w:rPr>
            </w:pPr>
          </w:p>
        </w:tc>
        <w:tc>
          <w:tcPr>
            <w:tcW w:w="4867" w:type="dxa"/>
            <w:gridSpan w:val="2"/>
            <w:vAlign w:val="center"/>
          </w:tcPr>
          <w:p w14:paraId="314E144A" w14:textId="562C5F0D" w:rsidR="00C3721C" w:rsidRPr="00A0149B" w:rsidRDefault="00C3721C" w:rsidP="00C3721C">
            <w:pPr>
              <w:jc w:val="both"/>
              <w:rPr>
                <w:rFonts w:ascii="Arial" w:hAnsi="Arial" w:cs="Arial"/>
                <w:sz w:val="18"/>
                <w:szCs w:val="18"/>
              </w:rPr>
            </w:pPr>
          </w:p>
        </w:tc>
      </w:tr>
      <w:tr w:rsidR="005D0158" w:rsidRPr="00A0149B" w14:paraId="543C2EF1" w14:textId="77777777" w:rsidTr="000D36DE">
        <w:trPr>
          <w:trHeight w:val="264"/>
        </w:trPr>
        <w:tc>
          <w:tcPr>
            <w:tcW w:w="529" w:type="dxa"/>
            <w:noWrap/>
            <w:vAlign w:val="center"/>
          </w:tcPr>
          <w:p w14:paraId="0EC874D7" w14:textId="77777777" w:rsidR="005D0158" w:rsidRPr="008D4248" w:rsidRDefault="005D0158" w:rsidP="00C3721C">
            <w:pPr>
              <w:pStyle w:val="ListParagraph"/>
              <w:numPr>
                <w:ilvl w:val="0"/>
                <w:numId w:val="3"/>
              </w:numPr>
              <w:rPr>
                <w:rFonts w:ascii="Arial" w:hAnsi="Arial" w:cs="Arial"/>
                <w:sz w:val="18"/>
                <w:szCs w:val="18"/>
              </w:rPr>
            </w:pPr>
          </w:p>
        </w:tc>
        <w:tc>
          <w:tcPr>
            <w:tcW w:w="4867" w:type="dxa"/>
            <w:noWrap/>
            <w:vAlign w:val="center"/>
          </w:tcPr>
          <w:p w14:paraId="3B370B3C" w14:textId="67E643AB" w:rsidR="005D0158" w:rsidRDefault="004467E5" w:rsidP="00C3721C">
            <w:pPr>
              <w:jc w:val="both"/>
              <w:rPr>
                <w:rFonts w:ascii="Arial" w:hAnsi="Arial" w:cs="Arial"/>
                <w:sz w:val="18"/>
                <w:szCs w:val="18"/>
              </w:rPr>
            </w:pPr>
            <w:r>
              <w:rPr>
                <w:rFonts w:ascii="Arial" w:hAnsi="Arial" w:cs="Arial"/>
                <w:sz w:val="18"/>
                <w:szCs w:val="18"/>
              </w:rPr>
              <w:t>Is the weight of the</w:t>
            </w:r>
            <w:r w:rsidR="00FD4EB7">
              <w:rPr>
                <w:rFonts w:ascii="Arial" w:hAnsi="Arial" w:cs="Arial"/>
                <w:sz w:val="18"/>
                <w:szCs w:val="18"/>
              </w:rPr>
              <w:t xml:space="preserve"> non-aqueous sample</w:t>
            </w:r>
            <w:r>
              <w:rPr>
                <w:rFonts w:ascii="Arial" w:hAnsi="Arial" w:cs="Arial"/>
                <w:sz w:val="18"/>
                <w:szCs w:val="18"/>
              </w:rPr>
              <w:t xml:space="preserve"> determined</w:t>
            </w:r>
            <w:r w:rsidR="001812B7">
              <w:rPr>
                <w:rFonts w:ascii="Arial" w:hAnsi="Arial" w:cs="Arial"/>
                <w:sz w:val="18"/>
                <w:szCs w:val="18"/>
              </w:rPr>
              <w:t xml:space="preserve">? </w:t>
            </w:r>
            <w:r w:rsidR="001812B7" w:rsidRPr="004575EA">
              <w:rPr>
                <w:rFonts w:ascii="Arial" w:hAnsi="Arial" w:cs="Arial"/>
                <w:sz w:val="18"/>
                <w:szCs w:val="18"/>
              </w:rPr>
              <w:t>[MADEP VPH Rev. 2.1 (Feb 2018) Section 9.1.</w:t>
            </w:r>
            <w:r w:rsidR="001812B7">
              <w:rPr>
                <w:rFonts w:ascii="Arial" w:hAnsi="Arial" w:cs="Arial"/>
                <w:sz w:val="18"/>
                <w:szCs w:val="18"/>
              </w:rPr>
              <w:t>3.1</w:t>
            </w:r>
            <w:r w:rsidR="001812B7" w:rsidRPr="004575EA">
              <w:rPr>
                <w:rFonts w:ascii="Arial" w:hAnsi="Arial" w:cs="Arial"/>
                <w:sz w:val="18"/>
                <w:szCs w:val="18"/>
              </w:rPr>
              <w:t>]</w:t>
            </w:r>
          </w:p>
        </w:tc>
        <w:tc>
          <w:tcPr>
            <w:tcW w:w="448" w:type="dxa"/>
            <w:tcBorders>
              <w:bottom w:val="single" w:sz="4" w:space="0" w:color="auto"/>
            </w:tcBorders>
            <w:noWrap/>
            <w:vAlign w:val="center"/>
          </w:tcPr>
          <w:p w14:paraId="49B6E04D" w14:textId="77777777" w:rsidR="005D0158" w:rsidRPr="00A0149B" w:rsidRDefault="005D0158" w:rsidP="00C3721C">
            <w:pPr>
              <w:rPr>
                <w:rFonts w:ascii="Arial" w:hAnsi="Arial" w:cs="Arial"/>
                <w:sz w:val="18"/>
                <w:szCs w:val="18"/>
              </w:rPr>
            </w:pPr>
          </w:p>
        </w:tc>
        <w:tc>
          <w:tcPr>
            <w:tcW w:w="448" w:type="dxa"/>
            <w:tcBorders>
              <w:bottom w:val="single" w:sz="4" w:space="0" w:color="auto"/>
            </w:tcBorders>
            <w:noWrap/>
            <w:vAlign w:val="center"/>
          </w:tcPr>
          <w:p w14:paraId="07C7CC35" w14:textId="77777777" w:rsidR="005D0158" w:rsidRPr="00A0149B" w:rsidRDefault="005D0158" w:rsidP="00C3721C">
            <w:pPr>
              <w:rPr>
                <w:rFonts w:ascii="Arial" w:hAnsi="Arial" w:cs="Arial"/>
                <w:sz w:val="18"/>
                <w:szCs w:val="18"/>
              </w:rPr>
            </w:pPr>
          </w:p>
        </w:tc>
        <w:tc>
          <w:tcPr>
            <w:tcW w:w="4867" w:type="dxa"/>
            <w:gridSpan w:val="2"/>
            <w:vAlign w:val="center"/>
          </w:tcPr>
          <w:p w14:paraId="16F1C5C1" w14:textId="1321CB06" w:rsidR="005D0158" w:rsidRPr="00A0149B" w:rsidRDefault="00373A7E" w:rsidP="00373A7E">
            <w:pPr>
              <w:jc w:val="both"/>
              <w:rPr>
                <w:rFonts w:ascii="Arial" w:hAnsi="Arial" w:cs="Arial"/>
                <w:sz w:val="18"/>
                <w:szCs w:val="18"/>
              </w:rPr>
            </w:pPr>
            <w:r w:rsidRPr="00373A7E">
              <w:rPr>
                <w:rFonts w:ascii="Arial" w:hAnsi="Arial" w:cs="Arial"/>
                <w:sz w:val="18"/>
                <w:szCs w:val="18"/>
              </w:rPr>
              <w:t>Weigh the sample vial to 0.1 g on a top-loading balance and determine the weight of the</w:t>
            </w:r>
            <w:r>
              <w:rPr>
                <w:rFonts w:ascii="Arial" w:hAnsi="Arial" w:cs="Arial"/>
                <w:sz w:val="18"/>
                <w:szCs w:val="18"/>
              </w:rPr>
              <w:t xml:space="preserve"> </w:t>
            </w:r>
            <w:r w:rsidRPr="00373A7E">
              <w:rPr>
                <w:rFonts w:ascii="Arial" w:hAnsi="Arial" w:cs="Arial"/>
                <w:sz w:val="18"/>
                <w:szCs w:val="18"/>
              </w:rPr>
              <w:t>soil/sediment sample; this determination requires knowledge of the empty/tared weight of</w:t>
            </w:r>
            <w:r>
              <w:rPr>
                <w:rFonts w:ascii="Arial" w:hAnsi="Arial" w:cs="Arial"/>
                <w:sz w:val="18"/>
                <w:szCs w:val="18"/>
              </w:rPr>
              <w:t xml:space="preserve"> </w:t>
            </w:r>
            <w:r w:rsidRPr="00373A7E">
              <w:rPr>
                <w:rFonts w:ascii="Arial" w:hAnsi="Arial" w:cs="Arial"/>
                <w:sz w:val="18"/>
                <w:szCs w:val="18"/>
              </w:rPr>
              <w:t>the sample vial and volume/weight of methanol preservative that was added to the sample</w:t>
            </w:r>
            <w:r>
              <w:rPr>
                <w:rFonts w:ascii="Arial" w:hAnsi="Arial" w:cs="Arial"/>
                <w:sz w:val="18"/>
                <w:szCs w:val="18"/>
              </w:rPr>
              <w:t xml:space="preserve"> </w:t>
            </w:r>
            <w:r w:rsidRPr="00373A7E">
              <w:rPr>
                <w:rFonts w:ascii="Arial" w:hAnsi="Arial" w:cs="Arial"/>
                <w:sz w:val="18"/>
                <w:szCs w:val="18"/>
              </w:rPr>
              <w:t>vial.</w:t>
            </w:r>
          </w:p>
        </w:tc>
      </w:tr>
      <w:tr w:rsidR="005D0158" w:rsidRPr="00A0149B" w14:paraId="458ED627" w14:textId="77777777" w:rsidTr="000D36DE">
        <w:trPr>
          <w:trHeight w:val="264"/>
        </w:trPr>
        <w:tc>
          <w:tcPr>
            <w:tcW w:w="529" w:type="dxa"/>
            <w:noWrap/>
            <w:vAlign w:val="center"/>
          </w:tcPr>
          <w:p w14:paraId="6FB5D8E9" w14:textId="77777777" w:rsidR="005D0158" w:rsidRPr="008D4248" w:rsidRDefault="005D0158" w:rsidP="00C3721C">
            <w:pPr>
              <w:pStyle w:val="ListParagraph"/>
              <w:numPr>
                <w:ilvl w:val="0"/>
                <w:numId w:val="3"/>
              </w:numPr>
              <w:rPr>
                <w:rFonts w:ascii="Arial" w:hAnsi="Arial" w:cs="Arial"/>
                <w:sz w:val="18"/>
                <w:szCs w:val="18"/>
              </w:rPr>
            </w:pPr>
          </w:p>
        </w:tc>
        <w:tc>
          <w:tcPr>
            <w:tcW w:w="4867" w:type="dxa"/>
            <w:noWrap/>
            <w:vAlign w:val="center"/>
          </w:tcPr>
          <w:p w14:paraId="2E4F67F2" w14:textId="049A86C8" w:rsidR="005D0158" w:rsidRDefault="00F05720" w:rsidP="00C3721C">
            <w:pPr>
              <w:jc w:val="both"/>
              <w:rPr>
                <w:rFonts w:ascii="Arial" w:hAnsi="Arial" w:cs="Arial"/>
                <w:sz w:val="18"/>
                <w:szCs w:val="18"/>
              </w:rPr>
            </w:pPr>
            <w:r>
              <w:rPr>
                <w:rFonts w:ascii="Arial" w:hAnsi="Arial" w:cs="Arial"/>
                <w:sz w:val="18"/>
                <w:szCs w:val="18"/>
              </w:rPr>
              <w:t xml:space="preserve">Is </w:t>
            </w:r>
            <w:r w:rsidR="005B755E">
              <w:rPr>
                <w:rFonts w:ascii="Arial" w:hAnsi="Arial" w:cs="Arial"/>
                <w:sz w:val="18"/>
                <w:szCs w:val="18"/>
              </w:rPr>
              <w:t xml:space="preserve">the </w:t>
            </w:r>
            <w:r>
              <w:rPr>
                <w:rFonts w:ascii="Arial" w:hAnsi="Arial" w:cs="Arial"/>
                <w:sz w:val="18"/>
                <w:szCs w:val="18"/>
              </w:rPr>
              <w:t xml:space="preserve">surrogate spiking </w:t>
            </w:r>
            <w:r w:rsidR="00AF5B9C">
              <w:rPr>
                <w:rFonts w:ascii="Arial" w:hAnsi="Arial" w:cs="Arial"/>
                <w:sz w:val="18"/>
                <w:szCs w:val="18"/>
              </w:rPr>
              <w:t xml:space="preserve">solution </w:t>
            </w:r>
            <w:r w:rsidR="003F2F08">
              <w:rPr>
                <w:rFonts w:ascii="Arial" w:hAnsi="Arial" w:cs="Arial"/>
                <w:sz w:val="18"/>
                <w:szCs w:val="18"/>
              </w:rPr>
              <w:t xml:space="preserve">added to non-aqueous samples </w:t>
            </w:r>
            <w:r w:rsidR="007A2562">
              <w:rPr>
                <w:rFonts w:ascii="Arial" w:hAnsi="Arial" w:cs="Arial"/>
                <w:sz w:val="18"/>
                <w:szCs w:val="18"/>
              </w:rPr>
              <w:t xml:space="preserve">prior to </w:t>
            </w:r>
            <w:r w:rsidR="002E68A9">
              <w:rPr>
                <w:rFonts w:ascii="Arial" w:hAnsi="Arial" w:cs="Arial"/>
                <w:sz w:val="18"/>
                <w:szCs w:val="18"/>
              </w:rPr>
              <w:t xml:space="preserve">extraction? </w:t>
            </w:r>
            <w:r w:rsidR="002E68A9" w:rsidRPr="004575EA">
              <w:rPr>
                <w:rFonts w:ascii="Arial" w:hAnsi="Arial" w:cs="Arial"/>
                <w:sz w:val="18"/>
                <w:szCs w:val="18"/>
              </w:rPr>
              <w:t>[MADEP VPH Rev. 2.1 (Feb 2018) Section 9.1.</w:t>
            </w:r>
            <w:r w:rsidR="002E68A9">
              <w:rPr>
                <w:rFonts w:ascii="Arial" w:hAnsi="Arial" w:cs="Arial"/>
                <w:sz w:val="18"/>
                <w:szCs w:val="18"/>
              </w:rPr>
              <w:t>3.2</w:t>
            </w:r>
            <w:r w:rsidR="002E68A9" w:rsidRPr="004575EA">
              <w:rPr>
                <w:rFonts w:ascii="Arial" w:hAnsi="Arial" w:cs="Arial"/>
                <w:sz w:val="18"/>
                <w:szCs w:val="18"/>
              </w:rPr>
              <w:t>]</w:t>
            </w:r>
          </w:p>
        </w:tc>
        <w:tc>
          <w:tcPr>
            <w:tcW w:w="448" w:type="dxa"/>
            <w:tcBorders>
              <w:bottom w:val="single" w:sz="4" w:space="0" w:color="auto"/>
            </w:tcBorders>
            <w:noWrap/>
            <w:vAlign w:val="center"/>
          </w:tcPr>
          <w:p w14:paraId="375367C9" w14:textId="77777777" w:rsidR="005D0158" w:rsidRPr="00A0149B" w:rsidRDefault="005D0158" w:rsidP="00C3721C">
            <w:pPr>
              <w:rPr>
                <w:rFonts w:ascii="Arial" w:hAnsi="Arial" w:cs="Arial"/>
                <w:sz w:val="18"/>
                <w:szCs w:val="18"/>
              </w:rPr>
            </w:pPr>
          </w:p>
        </w:tc>
        <w:tc>
          <w:tcPr>
            <w:tcW w:w="448" w:type="dxa"/>
            <w:tcBorders>
              <w:bottom w:val="single" w:sz="4" w:space="0" w:color="auto"/>
            </w:tcBorders>
            <w:noWrap/>
            <w:vAlign w:val="center"/>
          </w:tcPr>
          <w:p w14:paraId="15C15EB1" w14:textId="77777777" w:rsidR="005D0158" w:rsidRPr="00A0149B" w:rsidRDefault="005D0158" w:rsidP="00C3721C">
            <w:pPr>
              <w:rPr>
                <w:rFonts w:ascii="Arial" w:hAnsi="Arial" w:cs="Arial"/>
                <w:sz w:val="18"/>
                <w:szCs w:val="18"/>
              </w:rPr>
            </w:pPr>
          </w:p>
        </w:tc>
        <w:tc>
          <w:tcPr>
            <w:tcW w:w="4867" w:type="dxa"/>
            <w:gridSpan w:val="2"/>
            <w:vAlign w:val="center"/>
          </w:tcPr>
          <w:p w14:paraId="26755957" w14:textId="25E00B16" w:rsidR="00466725" w:rsidRPr="00466725" w:rsidRDefault="00466725" w:rsidP="00466725">
            <w:pPr>
              <w:jc w:val="both"/>
              <w:rPr>
                <w:rFonts w:ascii="Arial" w:hAnsi="Arial" w:cs="Arial"/>
                <w:sz w:val="18"/>
                <w:szCs w:val="18"/>
              </w:rPr>
            </w:pPr>
            <w:r w:rsidRPr="00466725">
              <w:rPr>
                <w:rFonts w:ascii="Arial" w:hAnsi="Arial" w:cs="Arial"/>
                <w:sz w:val="18"/>
                <w:szCs w:val="18"/>
              </w:rPr>
              <w:t>Add a specified volume (recommended not to exceed 1.0 mL) of the surrogate spiking</w:t>
            </w:r>
            <w:r>
              <w:rPr>
                <w:rFonts w:ascii="Arial" w:hAnsi="Arial" w:cs="Arial"/>
                <w:sz w:val="18"/>
                <w:szCs w:val="18"/>
              </w:rPr>
              <w:t xml:space="preserve"> </w:t>
            </w:r>
            <w:r w:rsidRPr="00466725">
              <w:rPr>
                <w:rFonts w:ascii="Arial" w:hAnsi="Arial" w:cs="Arial"/>
                <w:sz w:val="18"/>
                <w:szCs w:val="18"/>
              </w:rPr>
              <w:t>solution through the septum of the sample vial. The concentration and/or volume of the</w:t>
            </w:r>
          </w:p>
          <w:p w14:paraId="365A6985" w14:textId="1FFFAEA0" w:rsidR="005D0158" w:rsidRPr="00A0149B" w:rsidRDefault="00466725" w:rsidP="00466725">
            <w:pPr>
              <w:jc w:val="both"/>
              <w:rPr>
                <w:rFonts w:ascii="Arial" w:hAnsi="Arial" w:cs="Arial"/>
                <w:sz w:val="18"/>
                <w:szCs w:val="18"/>
              </w:rPr>
            </w:pPr>
            <w:r w:rsidRPr="00466725">
              <w:rPr>
                <w:rFonts w:ascii="Arial" w:hAnsi="Arial" w:cs="Arial"/>
                <w:sz w:val="18"/>
                <w:szCs w:val="18"/>
              </w:rPr>
              <w:t xml:space="preserve">surrogate spiking </w:t>
            </w:r>
            <w:proofErr w:type="gramStart"/>
            <w:r w:rsidRPr="00466725">
              <w:rPr>
                <w:rFonts w:ascii="Arial" w:hAnsi="Arial" w:cs="Arial"/>
                <w:sz w:val="18"/>
                <w:szCs w:val="18"/>
              </w:rPr>
              <w:t>solution</w:t>
            </w:r>
            <w:proofErr w:type="gramEnd"/>
            <w:r w:rsidRPr="00466725">
              <w:rPr>
                <w:rFonts w:ascii="Arial" w:hAnsi="Arial" w:cs="Arial"/>
                <w:sz w:val="18"/>
                <w:szCs w:val="18"/>
              </w:rPr>
              <w:t xml:space="preserve"> may need to be increased for samples that are highly</w:t>
            </w:r>
            <w:r>
              <w:rPr>
                <w:rFonts w:ascii="Arial" w:hAnsi="Arial" w:cs="Arial"/>
                <w:sz w:val="18"/>
                <w:szCs w:val="18"/>
              </w:rPr>
              <w:t xml:space="preserve"> </w:t>
            </w:r>
            <w:r w:rsidRPr="00466725">
              <w:rPr>
                <w:rFonts w:ascii="Arial" w:hAnsi="Arial" w:cs="Arial"/>
                <w:sz w:val="18"/>
                <w:szCs w:val="18"/>
              </w:rPr>
              <w:t>contaminated (based upon screening and/or field notes), to prevent dilution to below</w:t>
            </w:r>
            <w:r>
              <w:rPr>
                <w:rFonts w:ascii="Arial" w:hAnsi="Arial" w:cs="Arial"/>
                <w:sz w:val="18"/>
                <w:szCs w:val="18"/>
              </w:rPr>
              <w:t xml:space="preserve"> </w:t>
            </w:r>
            <w:r w:rsidRPr="00466725">
              <w:rPr>
                <w:rFonts w:ascii="Arial" w:hAnsi="Arial" w:cs="Arial"/>
                <w:sz w:val="18"/>
                <w:szCs w:val="18"/>
              </w:rPr>
              <w:t>detectable limits. The amount of surrogate added should yield a final concentration of 2.5</w:t>
            </w:r>
            <w:r>
              <w:rPr>
                <w:rFonts w:ascii="Arial" w:hAnsi="Arial" w:cs="Arial"/>
                <w:sz w:val="18"/>
                <w:szCs w:val="18"/>
              </w:rPr>
              <w:t xml:space="preserve"> </w:t>
            </w:r>
            <w:r w:rsidRPr="00466725">
              <w:rPr>
                <w:rFonts w:ascii="Arial" w:hAnsi="Arial" w:cs="Arial"/>
                <w:sz w:val="18"/>
                <w:szCs w:val="18"/>
              </w:rPr>
              <w:t>mg/kg.</w:t>
            </w:r>
          </w:p>
        </w:tc>
      </w:tr>
      <w:tr w:rsidR="00F01D76" w:rsidRPr="00A0149B" w14:paraId="2C3E5CD3" w14:textId="77777777" w:rsidTr="000D36DE">
        <w:trPr>
          <w:trHeight w:val="264"/>
        </w:trPr>
        <w:tc>
          <w:tcPr>
            <w:tcW w:w="529" w:type="dxa"/>
            <w:noWrap/>
            <w:vAlign w:val="center"/>
          </w:tcPr>
          <w:p w14:paraId="116AD7A0" w14:textId="77777777" w:rsidR="00F01D76" w:rsidRPr="008D4248" w:rsidRDefault="00F01D76" w:rsidP="00C3721C">
            <w:pPr>
              <w:pStyle w:val="ListParagraph"/>
              <w:numPr>
                <w:ilvl w:val="0"/>
                <w:numId w:val="3"/>
              </w:numPr>
              <w:rPr>
                <w:rFonts w:ascii="Arial" w:hAnsi="Arial" w:cs="Arial"/>
                <w:sz w:val="18"/>
                <w:szCs w:val="18"/>
              </w:rPr>
            </w:pPr>
          </w:p>
        </w:tc>
        <w:tc>
          <w:tcPr>
            <w:tcW w:w="4867" w:type="dxa"/>
            <w:noWrap/>
            <w:vAlign w:val="center"/>
          </w:tcPr>
          <w:p w14:paraId="4ADEDB55" w14:textId="142BE609" w:rsidR="00F01D76" w:rsidRDefault="00F21642" w:rsidP="00C3721C">
            <w:pPr>
              <w:jc w:val="both"/>
              <w:rPr>
                <w:rFonts w:ascii="Arial" w:hAnsi="Arial" w:cs="Arial"/>
                <w:sz w:val="18"/>
                <w:szCs w:val="18"/>
              </w:rPr>
            </w:pPr>
            <w:r>
              <w:rPr>
                <w:rFonts w:ascii="Arial" w:hAnsi="Arial" w:cs="Arial"/>
                <w:sz w:val="18"/>
                <w:szCs w:val="18"/>
              </w:rPr>
              <w:t xml:space="preserve">Is the sample agitated </w:t>
            </w:r>
            <w:r w:rsidR="00A02359">
              <w:rPr>
                <w:rFonts w:ascii="Arial" w:hAnsi="Arial" w:cs="Arial"/>
                <w:sz w:val="18"/>
                <w:szCs w:val="18"/>
              </w:rPr>
              <w:t xml:space="preserve">to mix? </w:t>
            </w:r>
            <w:r w:rsidR="00933457" w:rsidRPr="00E378E6">
              <w:rPr>
                <w:rFonts w:ascii="Arial" w:hAnsi="Arial" w:cs="Arial"/>
                <w:sz w:val="18"/>
                <w:szCs w:val="18"/>
              </w:rPr>
              <w:t>[MADEP VPH Rev. 2.1 (Feb 2018) Section 9.1.</w:t>
            </w:r>
            <w:r w:rsidR="00933457">
              <w:rPr>
                <w:rFonts w:ascii="Arial" w:hAnsi="Arial" w:cs="Arial"/>
                <w:sz w:val="18"/>
                <w:szCs w:val="18"/>
              </w:rPr>
              <w:t>3.</w:t>
            </w:r>
            <w:r w:rsidR="00026A4E">
              <w:rPr>
                <w:rFonts w:ascii="Arial" w:hAnsi="Arial" w:cs="Arial"/>
                <w:sz w:val="18"/>
                <w:szCs w:val="18"/>
              </w:rPr>
              <w:t>4</w:t>
            </w:r>
            <w:r w:rsidR="00933457" w:rsidRPr="00E378E6">
              <w:rPr>
                <w:rFonts w:ascii="Arial" w:hAnsi="Arial" w:cs="Arial"/>
                <w:sz w:val="18"/>
                <w:szCs w:val="18"/>
              </w:rPr>
              <w:t xml:space="preserve">]  </w:t>
            </w:r>
          </w:p>
        </w:tc>
        <w:tc>
          <w:tcPr>
            <w:tcW w:w="448" w:type="dxa"/>
            <w:tcBorders>
              <w:bottom w:val="single" w:sz="4" w:space="0" w:color="auto"/>
            </w:tcBorders>
            <w:noWrap/>
            <w:vAlign w:val="center"/>
          </w:tcPr>
          <w:p w14:paraId="62912D49" w14:textId="77777777" w:rsidR="00F01D76" w:rsidRPr="00A0149B" w:rsidRDefault="00F01D76" w:rsidP="00C3721C">
            <w:pPr>
              <w:rPr>
                <w:rFonts w:ascii="Arial" w:hAnsi="Arial" w:cs="Arial"/>
                <w:sz w:val="18"/>
                <w:szCs w:val="18"/>
              </w:rPr>
            </w:pPr>
          </w:p>
        </w:tc>
        <w:tc>
          <w:tcPr>
            <w:tcW w:w="448" w:type="dxa"/>
            <w:tcBorders>
              <w:bottom w:val="single" w:sz="4" w:space="0" w:color="auto"/>
            </w:tcBorders>
            <w:noWrap/>
            <w:vAlign w:val="center"/>
          </w:tcPr>
          <w:p w14:paraId="76832873" w14:textId="77777777" w:rsidR="00F01D76" w:rsidRPr="00A0149B" w:rsidRDefault="00F01D76" w:rsidP="00C3721C">
            <w:pPr>
              <w:rPr>
                <w:rFonts w:ascii="Arial" w:hAnsi="Arial" w:cs="Arial"/>
                <w:sz w:val="18"/>
                <w:szCs w:val="18"/>
              </w:rPr>
            </w:pPr>
          </w:p>
        </w:tc>
        <w:tc>
          <w:tcPr>
            <w:tcW w:w="4867" w:type="dxa"/>
            <w:gridSpan w:val="2"/>
            <w:vAlign w:val="center"/>
          </w:tcPr>
          <w:p w14:paraId="20B3C94D" w14:textId="6DA8497C" w:rsidR="00F01D76" w:rsidRPr="00466725" w:rsidRDefault="00471507" w:rsidP="00466725">
            <w:pPr>
              <w:jc w:val="both"/>
              <w:rPr>
                <w:rFonts w:ascii="Arial" w:hAnsi="Arial" w:cs="Arial"/>
                <w:sz w:val="18"/>
                <w:szCs w:val="18"/>
              </w:rPr>
            </w:pPr>
            <w:r>
              <w:rPr>
                <w:rFonts w:ascii="Arial" w:hAnsi="Arial" w:cs="Arial"/>
                <w:sz w:val="18"/>
                <w:szCs w:val="18"/>
              </w:rPr>
              <w:t>Agitate sample to facilitate adequate mixing of spiking solution(s).</w:t>
            </w:r>
          </w:p>
        </w:tc>
      </w:tr>
      <w:tr w:rsidR="005D0158" w:rsidRPr="00A0149B" w14:paraId="58B32132" w14:textId="77777777" w:rsidTr="000D36DE">
        <w:trPr>
          <w:trHeight w:val="264"/>
        </w:trPr>
        <w:tc>
          <w:tcPr>
            <w:tcW w:w="529" w:type="dxa"/>
            <w:noWrap/>
            <w:vAlign w:val="center"/>
          </w:tcPr>
          <w:p w14:paraId="4BD8F398" w14:textId="77777777" w:rsidR="005D0158" w:rsidRPr="008D4248" w:rsidRDefault="005D0158" w:rsidP="00C3721C">
            <w:pPr>
              <w:pStyle w:val="ListParagraph"/>
              <w:numPr>
                <w:ilvl w:val="0"/>
                <w:numId w:val="3"/>
              </w:numPr>
              <w:rPr>
                <w:rFonts w:ascii="Arial" w:hAnsi="Arial" w:cs="Arial"/>
                <w:sz w:val="18"/>
                <w:szCs w:val="18"/>
              </w:rPr>
            </w:pPr>
          </w:p>
        </w:tc>
        <w:tc>
          <w:tcPr>
            <w:tcW w:w="4867" w:type="dxa"/>
            <w:noWrap/>
            <w:vAlign w:val="center"/>
          </w:tcPr>
          <w:p w14:paraId="5D05E67C" w14:textId="585352EA" w:rsidR="005D0158" w:rsidRDefault="0036460B" w:rsidP="00C3721C">
            <w:pPr>
              <w:jc w:val="both"/>
              <w:rPr>
                <w:rFonts w:ascii="Arial" w:hAnsi="Arial" w:cs="Arial"/>
                <w:sz w:val="18"/>
                <w:szCs w:val="18"/>
              </w:rPr>
            </w:pPr>
            <w:r>
              <w:rPr>
                <w:rFonts w:ascii="Arial" w:hAnsi="Arial" w:cs="Arial"/>
                <w:sz w:val="18"/>
                <w:szCs w:val="18"/>
              </w:rPr>
              <w:t>Is</w:t>
            </w:r>
            <w:r w:rsidR="00844BC4">
              <w:rPr>
                <w:rFonts w:ascii="Arial" w:hAnsi="Arial" w:cs="Arial"/>
                <w:sz w:val="18"/>
                <w:szCs w:val="18"/>
              </w:rPr>
              <w:t xml:space="preserve"> the sample allowed to settle until a layer of methanol is apparent? </w:t>
            </w:r>
            <w:r w:rsidR="00844BC4" w:rsidRPr="00E378E6">
              <w:rPr>
                <w:rFonts w:ascii="Arial" w:hAnsi="Arial" w:cs="Arial"/>
                <w:sz w:val="18"/>
                <w:szCs w:val="18"/>
              </w:rPr>
              <w:t>[MADEP VPH Rev. 2.1 (Feb 2018) Section 9.1.</w:t>
            </w:r>
            <w:r w:rsidR="00844BC4">
              <w:rPr>
                <w:rFonts w:ascii="Arial" w:hAnsi="Arial" w:cs="Arial"/>
                <w:sz w:val="18"/>
                <w:szCs w:val="18"/>
              </w:rPr>
              <w:t>3.</w:t>
            </w:r>
            <w:r w:rsidR="00C97AD5">
              <w:rPr>
                <w:rFonts w:ascii="Arial" w:hAnsi="Arial" w:cs="Arial"/>
                <w:sz w:val="18"/>
                <w:szCs w:val="18"/>
              </w:rPr>
              <w:t>5</w:t>
            </w:r>
            <w:r w:rsidR="00844BC4" w:rsidRPr="00E378E6">
              <w:rPr>
                <w:rFonts w:ascii="Arial" w:hAnsi="Arial" w:cs="Arial"/>
                <w:sz w:val="18"/>
                <w:szCs w:val="18"/>
              </w:rPr>
              <w:t xml:space="preserve">]  </w:t>
            </w:r>
          </w:p>
        </w:tc>
        <w:tc>
          <w:tcPr>
            <w:tcW w:w="448" w:type="dxa"/>
            <w:tcBorders>
              <w:bottom w:val="single" w:sz="4" w:space="0" w:color="auto"/>
            </w:tcBorders>
            <w:noWrap/>
            <w:vAlign w:val="center"/>
          </w:tcPr>
          <w:p w14:paraId="4667FBD6" w14:textId="77777777" w:rsidR="005D0158" w:rsidRPr="00A0149B" w:rsidRDefault="005D0158" w:rsidP="00C3721C">
            <w:pPr>
              <w:rPr>
                <w:rFonts w:ascii="Arial" w:hAnsi="Arial" w:cs="Arial"/>
                <w:sz w:val="18"/>
                <w:szCs w:val="18"/>
              </w:rPr>
            </w:pPr>
          </w:p>
        </w:tc>
        <w:tc>
          <w:tcPr>
            <w:tcW w:w="448" w:type="dxa"/>
            <w:tcBorders>
              <w:bottom w:val="single" w:sz="4" w:space="0" w:color="auto"/>
            </w:tcBorders>
            <w:noWrap/>
            <w:vAlign w:val="center"/>
          </w:tcPr>
          <w:p w14:paraId="1E3523F3" w14:textId="77777777" w:rsidR="005D0158" w:rsidRPr="00A0149B" w:rsidRDefault="005D0158" w:rsidP="00C3721C">
            <w:pPr>
              <w:rPr>
                <w:rFonts w:ascii="Arial" w:hAnsi="Arial" w:cs="Arial"/>
                <w:sz w:val="18"/>
                <w:szCs w:val="18"/>
              </w:rPr>
            </w:pPr>
          </w:p>
        </w:tc>
        <w:tc>
          <w:tcPr>
            <w:tcW w:w="4867" w:type="dxa"/>
            <w:gridSpan w:val="2"/>
            <w:vAlign w:val="center"/>
          </w:tcPr>
          <w:p w14:paraId="77B0E7A2" w14:textId="34B290FE" w:rsidR="005D0158" w:rsidRPr="00A0149B" w:rsidRDefault="002A3D0C" w:rsidP="00C3721C">
            <w:pPr>
              <w:jc w:val="both"/>
              <w:rPr>
                <w:rFonts w:ascii="Arial" w:hAnsi="Arial" w:cs="Arial"/>
                <w:sz w:val="18"/>
                <w:szCs w:val="18"/>
              </w:rPr>
            </w:pPr>
            <w:r w:rsidRPr="002A3D0C">
              <w:rPr>
                <w:rFonts w:ascii="Arial" w:hAnsi="Arial" w:cs="Arial"/>
                <w:sz w:val="18"/>
                <w:szCs w:val="18"/>
              </w:rPr>
              <w:t>Allow soil/sediment to settle until a layer of methanol is apparent.</w:t>
            </w:r>
          </w:p>
        </w:tc>
      </w:tr>
      <w:tr w:rsidR="00C3721C" w:rsidRPr="00A0149B" w14:paraId="2D34CEB2" w14:textId="77777777" w:rsidTr="000D36DE">
        <w:trPr>
          <w:trHeight w:val="264"/>
        </w:trPr>
        <w:tc>
          <w:tcPr>
            <w:tcW w:w="529" w:type="dxa"/>
            <w:tcBorders>
              <w:bottom w:val="single" w:sz="4" w:space="0" w:color="auto"/>
            </w:tcBorders>
            <w:noWrap/>
            <w:vAlign w:val="center"/>
          </w:tcPr>
          <w:p w14:paraId="474D31B9" w14:textId="533B7C5F" w:rsidR="00C3721C" w:rsidRPr="008D4248" w:rsidRDefault="00C3721C" w:rsidP="00C3721C">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77796D88" w14:textId="453D3B6C" w:rsidR="00C3721C" w:rsidRPr="008C0C53" w:rsidRDefault="00C3721C" w:rsidP="007F24E4">
            <w:pPr>
              <w:jc w:val="both"/>
              <w:rPr>
                <w:rFonts w:ascii="Arial" w:hAnsi="Arial" w:cs="Arial"/>
                <w:sz w:val="18"/>
                <w:szCs w:val="18"/>
              </w:rPr>
            </w:pPr>
            <w:r>
              <w:rPr>
                <w:rFonts w:ascii="Arial" w:hAnsi="Arial" w:cs="Arial"/>
                <w:sz w:val="18"/>
                <w:szCs w:val="18"/>
              </w:rPr>
              <w:t xml:space="preserve">For soil samples, is an </w:t>
            </w:r>
            <w:r w:rsidRPr="00E378E6">
              <w:rPr>
                <w:rFonts w:ascii="Arial" w:hAnsi="Arial" w:cs="Arial"/>
                <w:sz w:val="18"/>
                <w:szCs w:val="18"/>
              </w:rPr>
              <w:t>appropriate aliquot of the methanol extract for</w:t>
            </w:r>
            <w:r w:rsidR="007F24E4">
              <w:rPr>
                <w:rFonts w:ascii="Arial" w:hAnsi="Arial" w:cs="Arial"/>
                <w:sz w:val="18"/>
                <w:szCs w:val="18"/>
              </w:rPr>
              <w:t xml:space="preserve"> </w:t>
            </w:r>
            <w:r w:rsidRPr="00E378E6">
              <w:rPr>
                <w:rFonts w:ascii="Arial" w:hAnsi="Arial" w:cs="Arial"/>
                <w:sz w:val="18"/>
                <w:szCs w:val="18"/>
              </w:rPr>
              <w:t xml:space="preserve">sparging </w:t>
            </w:r>
            <w:r>
              <w:rPr>
                <w:rFonts w:ascii="Arial" w:hAnsi="Arial" w:cs="Arial"/>
                <w:sz w:val="18"/>
                <w:szCs w:val="18"/>
              </w:rPr>
              <w:t xml:space="preserve">withdrawn </w:t>
            </w:r>
            <w:r w:rsidRPr="00E378E6">
              <w:rPr>
                <w:rFonts w:ascii="Arial" w:hAnsi="Arial" w:cs="Arial"/>
                <w:sz w:val="18"/>
                <w:szCs w:val="18"/>
              </w:rPr>
              <w:t xml:space="preserve">through the septum of the </w:t>
            </w:r>
            <w:r>
              <w:rPr>
                <w:rFonts w:ascii="Arial" w:hAnsi="Arial" w:cs="Arial"/>
                <w:sz w:val="18"/>
                <w:szCs w:val="18"/>
              </w:rPr>
              <w:t xml:space="preserve">sample </w:t>
            </w:r>
            <w:r w:rsidRPr="00E378E6">
              <w:rPr>
                <w:rFonts w:ascii="Arial" w:hAnsi="Arial" w:cs="Arial"/>
                <w:sz w:val="18"/>
                <w:szCs w:val="18"/>
              </w:rPr>
              <w:t>container</w:t>
            </w:r>
            <w:r>
              <w:rPr>
                <w:rFonts w:ascii="Arial" w:hAnsi="Arial" w:cs="Arial"/>
                <w:sz w:val="18"/>
                <w:szCs w:val="18"/>
              </w:rPr>
              <w:t xml:space="preserve"> and </w:t>
            </w:r>
            <w:r w:rsidRPr="00E378E6">
              <w:rPr>
                <w:rFonts w:ascii="Arial" w:hAnsi="Arial" w:cs="Arial"/>
                <w:sz w:val="18"/>
                <w:szCs w:val="18"/>
              </w:rPr>
              <w:t>add</w:t>
            </w:r>
            <w:r>
              <w:rPr>
                <w:rFonts w:ascii="Arial" w:hAnsi="Arial" w:cs="Arial"/>
                <w:sz w:val="18"/>
                <w:szCs w:val="18"/>
              </w:rPr>
              <w:t>ed</w:t>
            </w:r>
            <w:r w:rsidRPr="00E378E6">
              <w:rPr>
                <w:rFonts w:ascii="Arial" w:hAnsi="Arial" w:cs="Arial"/>
                <w:sz w:val="18"/>
                <w:szCs w:val="18"/>
              </w:rPr>
              <w:t xml:space="preserve"> to 5 mL of reagent water for analysis</w:t>
            </w:r>
            <w:r>
              <w:rPr>
                <w:rFonts w:ascii="Arial" w:hAnsi="Arial" w:cs="Arial"/>
                <w:sz w:val="18"/>
                <w:szCs w:val="18"/>
              </w:rPr>
              <w:t>?</w:t>
            </w:r>
            <w:r>
              <w:t xml:space="preserve"> </w:t>
            </w:r>
            <w:r w:rsidRPr="00E378E6">
              <w:rPr>
                <w:rFonts w:ascii="Arial" w:hAnsi="Arial" w:cs="Arial"/>
                <w:sz w:val="18"/>
                <w:szCs w:val="18"/>
              </w:rPr>
              <w:t>[MADEP VPH Rev. 2.1 (Feb 2018) Section</w:t>
            </w:r>
            <w:r>
              <w:rPr>
                <w:rFonts w:ascii="Arial" w:hAnsi="Arial" w:cs="Arial"/>
                <w:sz w:val="18"/>
                <w:szCs w:val="18"/>
              </w:rPr>
              <w:t>s</w:t>
            </w:r>
            <w:r w:rsidRPr="00E378E6">
              <w:rPr>
                <w:rFonts w:ascii="Arial" w:hAnsi="Arial" w:cs="Arial"/>
                <w:sz w:val="18"/>
                <w:szCs w:val="18"/>
              </w:rPr>
              <w:t xml:space="preserve"> 9.1.</w:t>
            </w:r>
            <w:r>
              <w:rPr>
                <w:rFonts w:ascii="Arial" w:hAnsi="Arial" w:cs="Arial"/>
                <w:sz w:val="18"/>
                <w:szCs w:val="18"/>
              </w:rPr>
              <w:t>3.6 and 9.1.3.7</w:t>
            </w:r>
            <w:r w:rsidRPr="00E378E6">
              <w:rPr>
                <w:rFonts w:ascii="Arial" w:hAnsi="Arial" w:cs="Arial"/>
                <w:sz w:val="18"/>
                <w:szCs w:val="18"/>
              </w:rPr>
              <w:t xml:space="preserve">]  </w:t>
            </w:r>
          </w:p>
        </w:tc>
        <w:tc>
          <w:tcPr>
            <w:tcW w:w="448" w:type="dxa"/>
            <w:tcBorders>
              <w:bottom w:val="single" w:sz="4" w:space="0" w:color="auto"/>
            </w:tcBorders>
            <w:shd w:val="clear" w:color="auto" w:fill="FFFFFF" w:themeFill="background1"/>
            <w:noWrap/>
            <w:vAlign w:val="center"/>
          </w:tcPr>
          <w:p w14:paraId="086BE6C2" w14:textId="77777777" w:rsidR="00C3721C" w:rsidRPr="00A0149B" w:rsidRDefault="00C3721C" w:rsidP="00C3721C">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2E8046C4" w14:textId="77777777" w:rsidR="00C3721C" w:rsidRPr="00A0149B" w:rsidRDefault="00C3721C" w:rsidP="00C3721C">
            <w:pPr>
              <w:rPr>
                <w:rFonts w:ascii="Arial" w:hAnsi="Arial" w:cs="Arial"/>
                <w:sz w:val="18"/>
                <w:szCs w:val="18"/>
              </w:rPr>
            </w:pPr>
          </w:p>
        </w:tc>
        <w:tc>
          <w:tcPr>
            <w:tcW w:w="4867" w:type="dxa"/>
            <w:gridSpan w:val="2"/>
            <w:tcBorders>
              <w:bottom w:val="single" w:sz="4" w:space="0" w:color="auto"/>
            </w:tcBorders>
            <w:vAlign w:val="center"/>
          </w:tcPr>
          <w:p w14:paraId="63AD961F" w14:textId="642210B3" w:rsidR="00C3721C" w:rsidRDefault="00C10EF6" w:rsidP="00C3721C">
            <w:pPr>
              <w:jc w:val="both"/>
              <w:rPr>
                <w:rFonts w:ascii="Arial" w:hAnsi="Arial" w:cs="Arial"/>
                <w:sz w:val="18"/>
                <w:szCs w:val="18"/>
              </w:rPr>
            </w:pPr>
            <w:r w:rsidRPr="00C10EF6">
              <w:rPr>
                <w:rFonts w:ascii="Arial" w:hAnsi="Arial" w:cs="Arial"/>
                <w:b/>
                <w:bCs/>
                <w:sz w:val="18"/>
                <w:szCs w:val="18"/>
              </w:rPr>
              <w:t>Section 9.1.3.6:</w:t>
            </w:r>
            <w:r>
              <w:rPr>
                <w:rFonts w:ascii="Arial" w:hAnsi="Arial" w:cs="Arial"/>
                <w:sz w:val="18"/>
                <w:szCs w:val="18"/>
              </w:rPr>
              <w:t xml:space="preserve"> </w:t>
            </w:r>
            <w:r w:rsidR="00C3721C" w:rsidRPr="00E378E6">
              <w:rPr>
                <w:rFonts w:ascii="Arial" w:hAnsi="Arial" w:cs="Arial"/>
                <w:sz w:val="18"/>
                <w:szCs w:val="18"/>
              </w:rPr>
              <w:t>Using a microliter syringe, withdraw an</w:t>
            </w:r>
            <w:r w:rsidR="00C3721C">
              <w:rPr>
                <w:rFonts w:ascii="Arial" w:hAnsi="Arial" w:cs="Arial"/>
                <w:sz w:val="18"/>
                <w:szCs w:val="18"/>
              </w:rPr>
              <w:t xml:space="preserve"> </w:t>
            </w:r>
            <w:r w:rsidR="00C3721C" w:rsidRPr="00E378E6">
              <w:rPr>
                <w:rFonts w:ascii="Arial" w:hAnsi="Arial" w:cs="Arial"/>
                <w:sz w:val="18"/>
                <w:szCs w:val="18"/>
              </w:rPr>
              <w:t>appropriate aliquot of the methanol extract for</w:t>
            </w:r>
            <w:r>
              <w:rPr>
                <w:rFonts w:ascii="Arial" w:hAnsi="Arial" w:cs="Arial"/>
                <w:sz w:val="18"/>
                <w:szCs w:val="18"/>
              </w:rPr>
              <w:t xml:space="preserve"> </w:t>
            </w:r>
            <w:r w:rsidR="00C3721C" w:rsidRPr="00E378E6">
              <w:rPr>
                <w:rFonts w:ascii="Arial" w:hAnsi="Arial" w:cs="Arial"/>
                <w:sz w:val="18"/>
                <w:szCs w:val="18"/>
              </w:rPr>
              <w:t>sparging through the septum of the container. Sample screening data can be used to</w:t>
            </w:r>
            <w:r w:rsidR="00C3721C">
              <w:rPr>
                <w:rFonts w:ascii="Arial" w:hAnsi="Arial" w:cs="Arial"/>
                <w:sz w:val="18"/>
                <w:szCs w:val="18"/>
              </w:rPr>
              <w:t xml:space="preserve"> </w:t>
            </w:r>
            <w:r w:rsidR="00C3721C" w:rsidRPr="00E378E6">
              <w:rPr>
                <w:rFonts w:ascii="Arial" w:hAnsi="Arial" w:cs="Arial"/>
                <w:sz w:val="18"/>
                <w:szCs w:val="18"/>
              </w:rPr>
              <w:t>determine the volume of methanol extract to add to the 5 mL of reagent water for analysis.</w:t>
            </w:r>
          </w:p>
          <w:p w14:paraId="1168F9EB" w14:textId="77777777" w:rsidR="00C10EF6" w:rsidRDefault="00C10EF6" w:rsidP="00C3721C">
            <w:pPr>
              <w:jc w:val="both"/>
              <w:rPr>
                <w:rFonts w:ascii="Arial" w:hAnsi="Arial" w:cs="Arial"/>
                <w:sz w:val="18"/>
                <w:szCs w:val="18"/>
              </w:rPr>
            </w:pPr>
          </w:p>
          <w:p w14:paraId="0A27A014" w14:textId="6A6A64F8" w:rsidR="00C3721C" w:rsidRPr="00A0149B" w:rsidRDefault="00271298" w:rsidP="00C73DC1">
            <w:pPr>
              <w:jc w:val="both"/>
              <w:rPr>
                <w:rFonts w:ascii="Arial" w:hAnsi="Arial" w:cs="Arial"/>
                <w:sz w:val="18"/>
                <w:szCs w:val="18"/>
              </w:rPr>
            </w:pPr>
            <w:r w:rsidRPr="00271298">
              <w:rPr>
                <w:rFonts w:ascii="Arial" w:hAnsi="Arial" w:cs="Arial"/>
                <w:b/>
                <w:bCs/>
                <w:sz w:val="18"/>
                <w:szCs w:val="18"/>
              </w:rPr>
              <w:t>Section 9.1.3.7:</w:t>
            </w:r>
            <w:r>
              <w:rPr>
                <w:rFonts w:ascii="Arial" w:hAnsi="Arial" w:cs="Arial"/>
                <w:sz w:val="18"/>
                <w:szCs w:val="18"/>
              </w:rPr>
              <w:t xml:space="preserve"> </w:t>
            </w:r>
            <w:r w:rsidR="00C3721C" w:rsidRPr="00E378E6">
              <w:rPr>
                <w:rFonts w:ascii="Arial" w:hAnsi="Arial" w:cs="Arial"/>
                <w:sz w:val="18"/>
                <w:szCs w:val="18"/>
              </w:rPr>
              <w:t>Be advised that the volume of methanol aliquot added to the</w:t>
            </w:r>
            <w:r w:rsidR="00C3721C">
              <w:rPr>
                <w:rFonts w:ascii="Arial" w:hAnsi="Arial" w:cs="Arial"/>
                <w:sz w:val="18"/>
                <w:szCs w:val="18"/>
              </w:rPr>
              <w:t xml:space="preserve"> </w:t>
            </w:r>
            <w:r w:rsidR="00C3721C" w:rsidRPr="00E378E6">
              <w:rPr>
                <w:rFonts w:ascii="Arial" w:hAnsi="Arial" w:cs="Arial"/>
                <w:sz w:val="18"/>
                <w:szCs w:val="18"/>
              </w:rPr>
              <w:t xml:space="preserve">reagent water should not exceed 200 </w:t>
            </w:r>
            <w:proofErr w:type="spellStart"/>
            <w:r w:rsidR="00C3721C" w:rsidRPr="00E378E6">
              <w:rPr>
                <w:rFonts w:ascii="Arial" w:hAnsi="Arial" w:cs="Arial"/>
                <w:sz w:val="18"/>
                <w:szCs w:val="18"/>
              </w:rPr>
              <w:t>μL</w:t>
            </w:r>
            <w:proofErr w:type="spellEnd"/>
            <w:r w:rsidR="00C3721C" w:rsidRPr="00E378E6">
              <w:rPr>
                <w:rFonts w:ascii="Arial" w:hAnsi="Arial" w:cs="Arial"/>
                <w:sz w:val="18"/>
                <w:szCs w:val="18"/>
              </w:rPr>
              <w:t xml:space="preserve"> to preclude adverse solvent front and trap</w:t>
            </w:r>
            <w:r w:rsidR="00C3721C">
              <w:rPr>
                <w:rFonts w:ascii="Arial" w:hAnsi="Arial" w:cs="Arial"/>
                <w:sz w:val="18"/>
                <w:szCs w:val="18"/>
              </w:rPr>
              <w:t xml:space="preserve"> </w:t>
            </w:r>
            <w:r w:rsidR="00C3721C" w:rsidRPr="00E378E6">
              <w:rPr>
                <w:rFonts w:ascii="Arial" w:hAnsi="Arial" w:cs="Arial"/>
                <w:sz w:val="18"/>
                <w:szCs w:val="18"/>
              </w:rPr>
              <w:t>breakthrough difficulties. Alternatively, the addition of methanol extracts to reagent</w:t>
            </w:r>
            <w:r w:rsidR="00C3721C">
              <w:rPr>
                <w:rFonts w:ascii="Arial" w:hAnsi="Arial" w:cs="Arial"/>
                <w:sz w:val="18"/>
                <w:szCs w:val="18"/>
              </w:rPr>
              <w:t xml:space="preserve"> </w:t>
            </w:r>
            <w:r w:rsidR="00C3721C" w:rsidRPr="00E378E6">
              <w:rPr>
                <w:rFonts w:ascii="Arial" w:hAnsi="Arial" w:cs="Arial"/>
                <w:sz w:val="18"/>
                <w:szCs w:val="18"/>
              </w:rPr>
              <w:t>water can be performed in 40 mL VOC vials when an autosampler is used keeping</w:t>
            </w:r>
            <w:r w:rsidR="00C3721C">
              <w:rPr>
                <w:rFonts w:ascii="Arial" w:hAnsi="Arial" w:cs="Arial"/>
                <w:sz w:val="18"/>
                <w:szCs w:val="18"/>
              </w:rPr>
              <w:t xml:space="preserve"> </w:t>
            </w:r>
            <w:r w:rsidR="00C3721C" w:rsidRPr="00E378E6">
              <w:rPr>
                <w:rFonts w:ascii="Arial" w:hAnsi="Arial" w:cs="Arial"/>
                <w:sz w:val="18"/>
                <w:szCs w:val="18"/>
              </w:rPr>
              <w:t>similar methanol to water ratios.</w:t>
            </w:r>
          </w:p>
        </w:tc>
      </w:tr>
      <w:tr w:rsidR="00C3721C" w:rsidRPr="00A0149B" w14:paraId="6B3C0FED" w14:textId="77777777" w:rsidTr="000D36DE">
        <w:trPr>
          <w:trHeight w:val="264"/>
        </w:trPr>
        <w:tc>
          <w:tcPr>
            <w:tcW w:w="529" w:type="dxa"/>
            <w:tcBorders>
              <w:bottom w:val="single" w:sz="4" w:space="0" w:color="auto"/>
            </w:tcBorders>
            <w:noWrap/>
            <w:vAlign w:val="center"/>
          </w:tcPr>
          <w:p w14:paraId="5DEA5BAD" w14:textId="2C1F34B6" w:rsidR="00C3721C" w:rsidRPr="008D4248" w:rsidRDefault="00C3721C" w:rsidP="00C3721C">
            <w:pPr>
              <w:pStyle w:val="ListParagraph"/>
              <w:numPr>
                <w:ilvl w:val="0"/>
                <w:numId w:val="3"/>
              </w:numPr>
              <w:rPr>
                <w:rFonts w:ascii="Arial" w:hAnsi="Arial" w:cs="Arial"/>
                <w:sz w:val="18"/>
                <w:szCs w:val="18"/>
              </w:rPr>
            </w:pPr>
          </w:p>
        </w:tc>
        <w:tc>
          <w:tcPr>
            <w:tcW w:w="4867" w:type="dxa"/>
            <w:tcBorders>
              <w:bottom w:val="single" w:sz="4" w:space="0" w:color="auto"/>
            </w:tcBorders>
            <w:noWrap/>
            <w:vAlign w:val="center"/>
          </w:tcPr>
          <w:p w14:paraId="655ADE5C" w14:textId="582B7E68" w:rsidR="00C3721C" w:rsidRPr="008C0C53" w:rsidRDefault="00C3721C" w:rsidP="00C73DC1">
            <w:pPr>
              <w:jc w:val="both"/>
              <w:rPr>
                <w:rFonts w:ascii="Arial" w:hAnsi="Arial" w:cs="Arial"/>
                <w:sz w:val="18"/>
                <w:szCs w:val="18"/>
              </w:rPr>
            </w:pPr>
            <w:r w:rsidRPr="00E378E6">
              <w:rPr>
                <w:rFonts w:ascii="Arial" w:hAnsi="Arial" w:cs="Arial"/>
                <w:sz w:val="18"/>
                <w:szCs w:val="18"/>
              </w:rPr>
              <w:t xml:space="preserve"> </w:t>
            </w:r>
            <w:r>
              <w:rPr>
                <w:rFonts w:ascii="Arial" w:hAnsi="Arial" w:cs="Arial"/>
                <w:sz w:val="18"/>
                <w:szCs w:val="18"/>
              </w:rPr>
              <w:t>Is the purge time 11 minutes?</w:t>
            </w:r>
            <w:r>
              <w:t xml:space="preserve"> </w:t>
            </w:r>
            <w:r w:rsidRPr="00F34D06">
              <w:rPr>
                <w:rFonts w:ascii="Arial" w:hAnsi="Arial" w:cs="Arial"/>
                <w:sz w:val="18"/>
                <w:szCs w:val="18"/>
              </w:rPr>
              <w:t>[MADEP VPH Rev. 2.1 (Feb 2018) Section 9.1.2.</w:t>
            </w:r>
            <w:r>
              <w:rPr>
                <w:rFonts w:ascii="Arial" w:hAnsi="Arial" w:cs="Arial"/>
                <w:sz w:val="18"/>
                <w:szCs w:val="18"/>
              </w:rPr>
              <w:t>3</w:t>
            </w:r>
            <w:r w:rsidRPr="00F34D06">
              <w:rPr>
                <w:rFonts w:ascii="Arial" w:hAnsi="Arial" w:cs="Arial"/>
                <w:sz w:val="18"/>
                <w:szCs w:val="18"/>
              </w:rPr>
              <w:t xml:space="preserve">] </w:t>
            </w:r>
          </w:p>
        </w:tc>
        <w:tc>
          <w:tcPr>
            <w:tcW w:w="448" w:type="dxa"/>
            <w:tcBorders>
              <w:bottom w:val="single" w:sz="4" w:space="0" w:color="auto"/>
            </w:tcBorders>
            <w:shd w:val="clear" w:color="auto" w:fill="FFFFFF" w:themeFill="background1"/>
            <w:noWrap/>
            <w:vAlign w:val="center"/>
          </w:tcPr>
          <w:p w14:paraId="6A115FE4" w14:textId="77777777" w:rsidR="00C3721C" w:rsidRPr="00A0149B" w:rsidRDefault="00C3721C" w:rsidP="00C3721C">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379890F6" w14:textId="77777777" w:rsidR="00C3721C" w:rsidRPr="00A0149B" w:rsidRDefault="00C3721C" w:rsidP="00C3721C">
            <w:pPr>
              <w:rPr>
                <w:rFonts w:ascii="Arial" w:hAnsi="Arial" w:cs="Arial"/>
                <w:sz w:val="18"/>
                <w:szCs w:val="18"/>
              </w:rPr>
            </w:pPr>
          </w:p>
        </w:tc>
        <w:tc>
          <w:tcPr>
            <w:tcW w:w="4867" w:type="dxa"/>
            <w:gridSpan w:val="2"/>
            <w:tcBorders>
              <w:bottom w:val="single" w:sz="4" w:space="0" w:color="auto"/>
            </w:tcBorders>
            <w:vAlign w:val="center"/>
          </w:tcPr>
          <w:p w14:paraId="050D5329" w14:textId="0AEE81F0" w:rsidR="00C3721C" w:rsidRPr="00A0149B" w:rsidRDefault="00C3721C" w:rsidP="00C73DC1">
            <w:pPr>
              <w:jc w:val="both"/>
              <w:rPr>
                <w:rFonts w:ascii="Arial" w:hAnsi="Arial" w:cs="Arial"/>
                <w:sz w:val="18"/>
                <w:szCs w:val="18"/>
              </w:rPr>
            </w:pPr>
            <w:proofErr w:type="gramStart"/>
            <w:r w:rsidRPr="00F34D06">
              <w:rPr>
                <w:rFonts w:ascii="Arial" w:hAnsi="Arial" w:cs="Arial"/>
                <w:sz w:val="18"/>
                <w:szCs w:val="18"/>
              </w:rPr>
              <w:t>Regardless</w:t>
            </w:r>
            <w:proofErr w:type="gramEnd"/>
            <w:r w:rsidRPr="00F34D06">
              <w:rPr>
                <w:rFonts w:ascii="Arial" w:hAnsi="Arial" w:cs="Arial"/>
                <w:sz w:val="18"/>
                <w:szCs w:val="18"/>
              </w:rPr>
              <w:t xml:space="preserve"> </w:t>
            </w:r>
            <w:proofErr w:type="gramStart"/>
            <w:r w:rsidRPr="00F34D06">
              <w:rPr>
                <w:rFonts w:ascii="Arial" w:hAnsi="Arial" w:cs="Arial"/>
                <w:sz w:val="18"/>
                <w:szCs w:val="18"/>
              </w:rPr>
              <w:t>if</w:t>
            </w:r>
            <w:proofErr w:type="gramEnd"/>
            <w:r w:rsidRPr="00F34D06">
              <w:rPr>
                <w:rFonts w:ascii="Arial" w:hAnsi="Arial" w:cs="Arial"/>
                <w:sz w:val="18"/>
                <w:szCs w:val="18"/>
              </w:rPr>
              <w:t xml:space="preserve"> manual load or autosampler is used, purge the sample for 11 minutes.</w:t>
            </w:r>
          </w:p>
        </w:tc>
      </w:tr>
      <w:tr w:rsidR="00C3721C" w:rsidRPr="00A0149B" w14:paraId="0F5E324F" w14:textId="77777777" w:rsidTr="000D36DE">
        <w:trPr>
          <w:trHeight w:val="264"/>
        </w:trPr>
        <w:tc>
          <w:tcPr>
            <w:tcW w:w="529" w:type="dxa"/>
            <w:shd w:val="clear" w:color="auto" w:fill="D9D9D9" w:themeFill="background1" w:themeFillShade="D9"/>
            <w:noWrap/>
            <w:vAlign w:val="center"/>
          </w:tcPr>
          <w:p w14:paraId="7A3BF499" w14:textId="77777777" w:rsidR="00C3721C" w:rsidRPr="008D4248" w:rsidRDefault="00C3721C" w:rsidP="00C3721C">
            <w:pPr>
              <w:pStyle w:val="ListParagraph"/>
              <w:ind w:left="72"/>
              <w:rPr>
                <w:rFonts w:ascii="Arial" w:hAnsi="Arial" w:cs="Arial"/>
                <w:sz w:val="18"/>
                <w:szCs w:val="18"/>
              </w:rPr>
            </w:pPr>
          </w:p>
        </w:tc>
        <w:tc>
          <w:tcPr>
            <w:tcW w:w="4867" w:type="dxa"/>
            <w:shd w:val="clear" w:color="auto" w:fill="D9D9D9" w:themeFill="background1" w:themeFillShade="D9"/>
            <w:noWrap/>
            <w:vAlign w:val="center"/>
          </w:tcPr>
          <w:p w14:paraId="69239B5F" w14:textId="77777777" w:rsidR="00C3721C" w:rsidRPr="00560E41" w:rsidRDefault="00C3721C" w:rsidP="00C3721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48" w:type="dxa"/>
            <w:shd w:val="clear" w:color="auto" w:fill="D9D9D9" w:themeFill="background1" w:themeFillShade="D9"/>
            <w:noWrap/>
            <w:vAlign w:val="center"/>
          </w:tcPr>
          <w:p w14:paraId="160C8D37" w14:textId="77777777" w:rsidR="00C3721C" w:rsidRDefault="00C3721C" w:rsidP="00C3721C">
            <w:pPr>
              <w:jc w:val="both"/>
              <w:rPr>
                <w:rFonts w:ascii="Arial" w:hAnsi="Arial" w:cs="Arial"/>
                <w:b/>
                <w:sz w:val="18"/>
                <w:szCs w:val="18"/>
              </w:rPr>
            </w:pPr>
            <w:r>
              <w:rPr>
                <w:rFonts w:ascii="Arial" w:hAnsi="Arial" w:cs="Arial"/>
                <w:b/>
                <w:sz w:val="18"/>
                <w:szCs w:val="18"/>
              </w:rPr>
              <w:t>LAB</w:t>
            </w:r>
          </w:p>
        </w:tc>
        <w:tc>
          <w:tcPr>
            <w:tcW w:w="448" w:type="dxa"/>
            <w:shd w:val="clear" w:color="auto" w:fill="D9D9D9" w:themeFill="background1" w:themeFillShade="D9"/>
            <w:noWrap/>
            <w:vAlign w:val="center"/>
          </w:tcPr>
          <w:p w14:paraId="7A923A90" w14:textId="77777777" w:rsidR="00C3721C" w:rsidRDefault="00C3721C" w:rsidP="00C3721C">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56DDA05F" w14:textId="77777777" w:rsidR="00C3721C" w:rsidRPr="00560E41" w:rsidRDefault="00C3721C" w:rsidP="00C3721C">
            <w:pPr>
              <w:jc w:val="center"/>
              <w:rPr>
                <w:rFonts w:ascii="Arial" w:hAnsi="Arial" w:cs="Arial"/>
                <w:b/>
                <w:sz w:val="18"/>
                <w:szCs w:val="18"/>
              </w:rPr>
            </w:pPr>
            <w:r w:rsidRPr="00560E41">
              <w:rPr>
                <w:rFonts w:ascii="Arial" w:hAnsi="Arial" w:cs="Arial"/>
                <w:b/>
                <w:sz w:val="18"/>
                <w:szCs w:val="18"/>
              </w:rPr>
              <w:t>EXPLANATION</w:t>
            </w:r>
          </w:p>
        </w:tc>
      </w:tr>
      <w:tr w:rsidR="00C3721C" w:rsidRPr="00A0149B" w14:paraId="384A2AD8" w14:textId="77777777" w:rsidTr="000D36DE">
        <w:trPr>
          <w:trHeight w:val="264"/>
        </w:trPr>
        <w:tc>
          <w:tcPr>
            <w:tcW w:w="529" w:type="dxa"/>
            <w:noWrap/>
            <w:vAlign w:val="center"/>
          </w:tcPr>
          <w:p w14:paraId="2BBCB35A" w14:textId="4435E8AF"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01395572" w14:textId="661D1916" w:rsidR="00C3721C" w:rsidRPr="00414BED" w:rsidRDefault="00C3721C" w:rsidP="00C3721C">
            <w:pPr>
              <w:jc w:val="both"/>
              <w:rPr>
                <w:rFonts w:ascii="Arial" w:hAnsi="Arial" w:cs="Arial"/>
                <w:sz w:val="18"/>
                <w:szCs w:val="18"/>
              </w:rPr>
            </w:pPr>
            <w:r w:rsidRPr="00DC4A35">
              <w:rPr>
                <w:rFonts w:ascii="Arial" w:hAnsi="Arial" w:cs="Arial"/>
                <w:sz w:val="18"/>
                <w:szCs w:val="18"/>
              </w:rPr>
              <w:t>When and how is manual integration performed? [NC WW/GW LC</w:t>
            </w:r>
            <w:r>
              <w:rPr>
                <w:rFonts w:ascii="Arial" w:hAnsi="Arial" w:cs="Arial"/>
                <w:sz w:val="18"/>
                <w:szCs w:val="18"/>
              </w:rPr>
              <w:t xml:space="preserve">B Manual Integration </w:t>
            </w:r>
            <w:r w:rsidRPr="00DC4A35">
              <w:rPr>
                <w:rFonts w:ascii="Arial" w:hAnsi="Arial" w:cs="Arial"/>
                <w:sz w:val="18"/>
                <w:szCs w:val="18"/>
              </w:rPr>
              <w:t>Policy]</w:t>
            </w:r>
          </w:p>
        </w:tc>
        <w:tc>
          <w:tcPr>
            <w:tcW w:w="448" w:type="dxa"/>
            <w:tcBorders>
              <w:bottom w:val="single" w:sz="4" w:space="0" w:color="auto"/>
            </w:tcBorders>
            <w:shd w:val="clear" w:color="auto" w:fill="FFFFFF" w:themeFill="background1"/>
            <w:noWrap/>
            <w:vAlign w:val="center"/>
          </w:tcPr>
          <w:p w14:paraId="0F8FB069" w14:textId="77777777" w:rsidR="00C3721C" w:rsidRPr="00A0149B" w:rsidRDefault="00C3721C" w:rsidP="00C3721C">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166F7641" w14:textId="77777777" w:rsidR="00C3721C" w:rsidRPr="00A0149B" w:rsidRDefault="00C3721C" w:rsidP="00C3721C">
            <w:pPr>
              <w:rPr>
                <w:rFonts w:ascii="Arial" w:hAnsi="Arial" w:cs="Arial"/>
                <w:sz w:val="18"/>
                <w:szCs w:val="18"/>
              </w:rPr>
            </w:pPr>
          </w:p>
        </w:tc>
        <w:tc>
          <w:tcPr>
            <w:tcW w:w="4867" w:type="dxa"/>
            <w:gridSpan w:val="2"/>
            <w:vAlign w:val="center"/>
          </w:tcPr>
          <w:p w14:paraId="4D184CE1" w14:textId="77777777" w:rsidR="00C3721C" w:rsidRPr="00A0149B" w:rsidRDefault="00C3721C" w:rsidP="00C3721C">
            <w:pPr>
              <w:jc w:val="both"/>
              <w:rPr>
                <w:rFonts w:ascii="Arial" w:hAnsi="Arial" w:cs="Arial"/>
                <w:sz w:val="18"/>
                <w:szCs w:val="18"/>
              </w:rPr>
            </w:pPr>
            <w:r w:rsidRPr="00DC4A35">
              <w:rPr>
                <w:rFonts w:ascii="Arial" w:hAnsi="Arial" w:cs="Arial"/>
                <w:sz w:val="18"/>
                <w:szCs w:val="18"/>
              </w:rPr>
              <w:t xml:space="preserve">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w:t>
            </w:r>
            <w:proofErr w:type="gramStart"/>
            <w:r w:rsidRPr="00DC4A35">
              <w:rPr>
                <w:rFonts w:ascii="Arial" w:hAnsi="Arial" w:cs="Arial"/>
                <w:sz w:val="18"/>
                <w:szCs w:val="18"/>
              </w:rPr>
              <w:t>the manual</w:t>
            </w:r>
            <w:proofErr w:type="gramEnd"/>
            <w:r w:rsidRPr="00DC4A35">
              <w:rPr>
                <w:rFonts w:ascii="Arial" w:hAnsi="Arial" w:cs="Arial"/>
                <w:sz w:val="18"/>
                <w:szCs w:val="18"/>
              </w:rPr>
              <w:t xml:space="preserve"> integration shall be 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assure integrations are technically sound and representative of the response.</w:t>
            </w:r>
          </w:p>
        </w:tc>
      </w:tr>
      <w:tr w:rsidR="00C3721C" w:rsidRPr="00A0149B" w14:paraId="2A7D6F56" w14:textId="77777777" w:rsidTr="000D36DE">
        <w:trPr>
          <w:trHeight w:val="264"/>
        </w:trPr>
        <w:tc>
          <w:tcPr>
            <w:tcW w:w="529" w:type="dxa"/>
            <w:noWrap/>
            <w:vAlign w:val="center"/>
          </w:tcPr>
          <w:p w14:paraId="105A6D33" w14:textId="632C4EC0"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781BF100" w14:textId="77777777" w:rsidR="00C3721C" w:rsidRPr="00DD4723" w:rsidRDefault="00C3721C" w:rsidP="00C3721C">
            <w:pPr>
              <w:jc w:val="both"/>
              <w:rPr>
                <w:rFonts w:ascii="Arial" w:hAnsi="Arial" w:cs="Arial"/>
                <w:sz w:val="18"/>
                <w:szCs w:val="18"/>
              </w:rPr>
            </w:pPr>
            <w:r>
              <w:rPr>
                <w:rFonts w:ascii="Arial" w:hAnsi="Arial" w:cs="Arial"/>
                <w:sz w:val="18"/>
                <w:szCs w:val="18"/>
              </w:rPr>
              <w:t>Are c</w:t>
            </w:r>
            <w:r w:rsidRPr="00F13A80">
              <w:rPr>
                <w:rFonts w:ascii="Arial" w:hAnsi="Arial" w:cs="Arial"/>
                <w:sz w:val="18"/>
                <w:szCs w:val="18"/>
              </w:rPr>
              <w:t>ollective peak area</w:t>
            </w:r>
            <w:r>
              <w:rPr>
                <w:rFonts w:ascii="Arial" w:hAnsi="Arial" w:cs="Arial"/>
                <w:sz w:val="18"/>
                <w:szCs w:val="18"/>
              </w:rPr>
              <w:t>s</w:t>
            </w:r>
            <w:r w:rsidRPr="00F13A80">
              <w:rPr>
                <w:rFonts w:ascii="Arial" w:hAnsi="Arial" w:cs="Arial"/>
                <w:sz w:val="18"/>
                <w:szCs w:val="18"/>
              </w:rPr>
              <w:t xml:space="preserve"> for the</w:t>
            </w:r>
            <w:r>
              <w:rPr>
                <w:rFonts w:ascii="Arial" w:hAnsi="Arial" w:cs="Arial"/>
                <w:sz w:val="18"/>
                <w:szCs w:val="18"/>
              </w:rPr>
              <w:t xml:space="preserve"> </w:t>
            </w:r>
            <w:r w:rsidRPr="00F13A80">
              <w:rPr>
                <w:rFonts w:ascii="Arial" w:hAnsi="Arial" w:cs="Arial"/>
                <w:sz w:val="18"/>
                <w:szCs w:val="18"/>
              </w:rPr>
              <w:t xml:space="preserve">hydrocarbon ranges </w:t>
            </w:r>
            <w:r>
              <w:rPr>
                <w:rFonts w:ascii="Arial" w:hAnsi="Arial" w:cs="Arial"/>
                <w:sz w:val="18"/>
                <w:szCs w:val="18"/>
              </w:rPr>
              <w:t xml:space="preserve">integrated </w:t>
            </w:r>
            <w:r w:rsidRPr="00F13A80">
              <w:rPr>
                <w:rFonts w:ascii="Arial" w:hAnsi="Arial" w:cs="Arial"/>
                <w:sz w:val="18"/>
                <w:szCs w:val="18"/>
              </w:rPr>
              <w:t>from baseline? [MADEP VPH Rev. 2.1 (Feb 2018) Section 9.</w:t>
            </w:r>
            <w:r>
              <w:rPr>
                <w:rFonts w:ascii="Arial" w:hAnsi="Arial" w:cs="Arial"/>
                <w:sz w:val="18"/>
                <w:szCs w:val="18"/>
              </w:rPr>
              <w:t>5</w:t>
            </w:r>
            <w:r w:rsidRPr="00F13A80">
              <w:rPr>
                <w:rFonts w:ascii="Arial" w:hAnsi="Arial" w:cs="Arial"/>
                <w:sz w:val="18"/>
                <w:szCs w:val="18"/>
              </w:rPr>
              <w:t>.</w:t>
            </w:r>
            <w:r>
              <w:rPr>
                <w:rFonts w:ascii="Arial" w:hAnsi="Arial" w:cs="Arial"/>
                <w:sz w:val="18"/>
                <w:szCs w:val="18"/>
              </w:rPr>
              <w:t>4</w:t>
            </w:r>
            <w:r w:rsidRPr="00F13A80">
              <w:rPr>
                <w:rFonts w:ascii="Arial" w:hAnsi="Arial" w:cs="Arial"/>
                <w:sz w:val="18"/>
                <w:szCs w:val="18"/>
              </w:rPr>
              <w:t xml:space="preserve">]  </w:t>
            </w:r>
          </w:p>
        </w:tc>
        <w:tc>
          <w:tcPr>
            <w:tcW w:w="448" w:type="dxa"/>
            <w:tcBorders>
              <w:bottom w:val="single" w:sz="4" w:space="0" w:color="auto"/>
            </w:tcBorders>
            <w:shd w:val="clear" w:color="auto" w:fill="FFFFFF" w:themeFill="background1"/>
            <w:noWrap/>
            <w:vAlign w:val="center"/>
          </w:tcPr>
          <w:p w14:paraId="62F98509" w14:textId="77777777" w:rsidR="00C3721C" w:rsidRPr="00A0149B" w:rsidRDefault="00C3721C" w:rsidP="00C3721C">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197183D0" w14:textId="77777777" w:rsidR="00C3721C" w:rsidRPr="00A0149B" w:rsidRDefault="00C3721C" w:rsidP="00C3721C">
            <w:pPr>
              <w:rPr>
                <w:rFonts w:ascii="Arial" w:hAnsi="Arial" w:cs="Arial"/>
                <w:sz w:val="18"/>
                <w:szCs w:val="18"/>
              </w:rPr>
            </w:pPr>
          </w:p>
        </w:tc>
        <w:tc>
          <w:tcPr>
            <w:tcW w:w="4867" w:type="dxa"/>
            <w:gridSpan w:val="2"/>
            <w:vAlign w:val="center"/>
          </w:tcPr>
          <w:p w14:paraId="02484B4D" w14:textId="5DF87D60" w:rsidR="00C3721C" w:rsidRDefault="00C3721C" w:rsidP="00876E80">
            <w:pPr>
              <w:jc w:val="both"/>
              <w:rPr>
                <w:rFonts w:ascii="Arial" w:hAnsi="Arial" w:cs="Arial"/>
                <w:sz w:val="18"/>
                <w:szCs w:val="18"/>
              </w:rPr>
            </w:pPr>
            <w:r w:rsidRPr="005A15B9">
              <w:rPr>
                <w:rFonts w:ascii="Arial" w:hAnsi="Arial" w:cs="Arial"/>
                <w:sz w:val="18"/>
                <w:szCs w:val="18"/>
              </w:rPr>
              <w:t>Collective peak area integration for the hydrocarbon ranges must be from baseline (i.e., must</w:t>
            </w:r>
            <w:r>
              <w:rPr>
                <w:rFonts w:ascii="Arial" w:hAnsi="Arial" w:cs="Arial"/>
                <w:sz w:val="18"/>
                <w:szCs w:val="18"/>
              </w:rPr>
              <w:t xml:space="preserve"> </w:t>
            </w:r>
            <w:r w:rsidRPr="005A15B9">
              <w:rPr>
                <w:rFonts w:ascii="Arial" w:hAnsi="Arial" w:cs="Arial"/>
                <w:sz w:val="18"/>
                <w:szCs w:val="18"/>
              </w:rPr>
              <w:t xml:space="preserve">include the unresolved complex mixture "hump" areas). </w:t>
            </w:r>
          </w:p>
        </w:tc>
      </w:tr>
      <w:tr w:rsidR="00C3721C" w:rsidRPr="00A0149B" w14:paraId="62A66A99" w14:textId="77777777" w:rsidTr="000D36DE">
        <w:trPr>
          <w:trHeight w:val="264"/>
        </w:trPr>
        <w:tc>
          <w:tcPr>
            <w:tcW w:w="529" w:type="dxa"/>
            <w:noWrap/>
            <w:vAlign w:val="center"/>
          </w:tcPr>
          <w:p w14:paraId="29251016" w14:textId="35D5F909"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0DE6DE4F" w14:textId="77777777" w:rsidR="00C3721C" w:rsidRPr="00D8503D" w:rsidRDefault="00C3721C" w:rsidP="00C3721C">
            <w:pPr>
              <w:jc w:val="both"/>
              <w:rPr>
                <w:rFonts w:ascii="Arial" w:hAnsi="Arial" w:cs="Arial"/>
                <w:sz w:val="18"/>
                <w:szCs w:val="18"/>
              </w:rPr>
            </w:pPr>
            <w:r>
              <w:rPr>
                <w:rFonts w:ascii="Arial" w:hAnsi="Arial" w:cs="Arial"/>
                <w:sz w:val="18"/>
                <w:szCs w:val="18"/>
              </w:rPr>
              <w:t xml:space="preserve">Are </w:t>
            </w:r>
            <w:r w:rsidRPr="005A15B9">
              <w:rPr>
                <w:rFonts w:ascii="Arial" w:hAnsi="Arial" w:cs="Arial"/>
                <w:sz w:val="18"/>
                <w:szCs w:val="18"/>
              </w:rPr>
              <w:t>individual target VPH analytes and surrogate compounds</w:t>
            </w:r>
            <w:r>
              <w:rPr>
                <w:rFonts w:ascii="Arial" w:hAnsi="Arial" w:cs="Arial"/>
                <w:sz w:val="18"/>
                <w:szCs w:val="18"/>
              </w:rPr>
              <w:t xml:space="preserve"> integrated using </w:t>
            </w:r>
            <w:r w:rsidRPr="005A15B9">
              <w:rPr>
                <w:rFonts w:ascii="Arial" w:hAnsi="Arial" w:cs="Arial"/>
                <w:sz w:val="18"/>
                <w:szCs w:val="18"/>
              </w:rPr>
              <w:t>a valley-to-valley approach</w:t>
            </w:r>
            <w:r>
              <w:rPr>
                <w:rFonts w:ascii="Arial" w:hAnsi="Arial" w:cs="Arial"/>
                <w:sz w:val="18"/>
                <w:szCs w:val="18"/>
              </w:rPr>
              <w:t>?</w:t>
            </w:r>
            <w:r>
              <w:t xml:space="preserve"> </w:t>
            </w:r>
            <w:r w:rsidRPr="002D51C5">
              <w:rPr>
                <w:rFonts w:ascii="Arial" w:hAnsi="Arial" w:cs="Arial"/>
                <w:sz w:val="18"/>
                <w:szCs w:val="18"/>
              </w:rPr>
              <w:t xml:space="preserve">[MADEP VPH Rev. 2.1 (Feb 2018) Section 9.5.4]  </w:t>
            </w:r>
          </w:p>
        </w:tc>
        <w:tc>
          <w:tcPr>
            <w:tcW w:w="448" w:type="dxa"/>
            <w:tcBorders>
              <w:bottom w:val="single" w:sz="4" w:space="0" w:color="auto"/>
            </w:tcBorders>
            <w:shd w:val="clear" w:color="auto" w:fill="FFFFFF" w:themeFill="background1"/>
            <w:noWrap/>
            <w:vAlign w:val="center"/>
          </w:tcPr>
          <w:p w14:paraId="6CEB26A8" w14:textId="77777777" w:rsidR="00C3721C" w:rsidRPr="00A0149B" w:rsidRDefault="00C3721C" w:rsidP="00C3721C">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1436F072" w14:textId="77777777" w:rsidR="00C3721C" w:rsidRPr="00A0149B" w:rsidRDefault="00C3721C" w:rsidP="00C3721C">
            <w:pPr>
              <w:rPr>
                <w:rFonts w:ascii="Arial" w:hAnsi="Arial" w:cs="Arial"/>
                <w:sz w:val="18"/>
                <w:szCs w:val="18"/>
              </w:rPr>
            </w:pPr>
          </w:p>
        </w:tc>
        <w:tc>
          <w:tcPr>
            <w:tcW w:w="4867" w:type="dxa"/>
            <w:gridSpan w:val="2"/>
            <w:vAlign w:val="center"/>
          </w:tcPr>
          <w:p w14:paraId="1AB3112B" w14:textId="77777777" w:rsidR="00C3721C" w:rsidRDefault="00C3721C" w:rsidP="00C3721C">
            <w:pPr>
              <w:jc w:val="both"/>
              <w:rPr>
                <w:rFonts w:ascii="Arial" w:hAnsi="Arial" w:cs="Arial"/>
                <w:sz w:val="18"/>
                <w:szCs w:val="18"/>
              </w:rPr>
            </w:pPr>
            <w:r w:rsidRPr="005A15B9">
              <w:rPr>
                <w:rFonts w:ascii="Arial" w:hAnsi="Arial" w:cs="Arial"/>
                <w:sz w:val="18"/>
                <w:szCs w:val="18"/>
              </w:rPr>
              <w:t>For the integration of individual</w:t>
            </w:r>
            <w:r>
              <w:rPr>
                <w:rFonts w:ascii="Arial" w:hAnsi="Arial" w:cs="Arial"/>
                <w:sz w:val="18"/>
                <w:szCs w:val="18"/>
              </w:rPr>
              <w:t xml:space="preserve"> t</w:t>
            </w:r>
            <w:r w:rsidRPr="005A15B9">
              <w:rPr>
                <w:rFonts w:ascii="Arial" w:hAnsi="Arial" w:cs="Arial"/>
                <w:sz w:val="18"/>
                <w:szCs w:val="18"/>
              </w:rPr>
              <w:t xml:space="preserve">arget VPH </w:t>
            </w:r>
            <w:r>
              <w:rPr>
                <w:rFonts w:ascii="Arial" w:hAnsi="Arial" w:cs="Arial"/>
                <w:sz w:val="18"/>
                <w:szCs w:val="18"/>
              </w:rPr>
              <w:t>a</w:t>
            </w:r>
            <w:r w:rsidRPr="005A15B9">
              <w:rPr>
                <w:rFonts w:ascii="Arial" w:hAnsi="Arial" w:cs="Arial"/>
                <w:sz w:val="18"/>
                <w:szCs w:val="18"/>
              </w:rPr>
              <w:t>nalytes and surrogate compounds, a valley-to-valley approach should typically be</w:t>
            </w:r>
            <w:r>
              <w:rPr>
                <w:rFonts w:ascii="Arial" w:hAnsi="Arial" w:cs="Arial"/>
                <w:sz w:val="18"/>
                <w:szCs w:val="18"/>
              </w:rPr>
              <w:t xml:space="preserve"> </w:t>
            </w:r>
            <w:r w:rsidRPr="005A15B9">
              <w:rPr>
                <w:rFonts w:ascii="Arial" w:hAnsi="Arial" w:cs="Arial"/>
                <w:sz w:val="18"/>
                <w:szCs w:val="18"/>
              </w:rPr>
              <w:t>used, though this approach may be modified on a case-by-case basis by an experienced analyst. In</w:t>
            </w:r>
            <w:r>
              <w:rPr>
                <w:rFonts w:ascii="Arial" w:hAnsi="Arial" w:cs="Arial"/>
                <w:sz w:val="18"/>
                <w:szCs w:val="18"/>
              </w:rPr>
              <w:t xml:space="preserve"> </w:t>
            </w:r>
            <w:r w:rsidRPr="005A15B9">
              <w:rPr>
                <w:rFonts w:ascii="Arial" w:hAnsi="Arial" w:cs="Arial"/>
                <w:sz w:val="18"/>
                <w:szCs w:val="18"/>
              </w:rPr>
              <w:t xml:space="preserve">any case, the unresolved complex mixture “hump” areas must </w:t>
            </w:r>
            <w:r w:rsidRPr="005A15B9">
              <w:rPr>
                <w:rFonts w:ascii="Arial" w:hAnsi="Arial" w:cs="Arial"/>
                <w:sz w:val="18"/>
                <w:szCs w:val="18"/>
              </w:rPr>
              <w:lastRenderedPageBreak/>
              <w:t>not be included in the integration of</w:t>
            </w:r>
            <w:r>
              <w:rPr>
                <w:rFonts w:ascii="Arial" w:hAnsi="Arial" w:cs="Arial"/>
                <w:sz w:val="18"/>
                <w:szCs w:val="18"/>
              </w:rPr>
              <w:t xml:space="preserve"> </w:t>
            </w:r>
            <w:r w:rsidRPr="005A15B9">
              <w:rPr>
                <w:rFonts w:ascii="Arial" w:hAnsi="Arial" w:cs="Arial"/>
                <w:sz w:val="18"/>
                <w:szCs w:val="18"/>
              </w:rPr>
              <w:t xml:space="preserve">individual </w:t>
            </w:r>
            <w:r>
              <w:rPr>
                <w:rFonts w:ascii="Arial" w:hAnsi="Arial" w:cs="Arial"/>
                <w:sz w:val="18"/>
                <w:szCs w:val="18"/>
              </w:rPr>
              <w:t>t</w:t>
            </w:r>
            <w:r w:rsidRPr="005A15B9">
              <w:rPr>
                <w:rFonts w:ascii="Arial" w:hAnsi="Arial" w:cs="Arial"/>
                <w:sz w:val="18"/>
                <w:szCs w:val="18"/>
              </w:rPr>
              <w:t xml:space="preserve">arget VPH </w:t>
            </w:r>
            <w:r>
              <w:rPr>
                <w:rFonts w:ascii="Arial" w:hAnsi="Arial" w:cs="Arial"/>
                <w:sz w:val="18"/>
                <w:szCs w:val="18"/>
              </w:rPr>
              <w:t>a</w:t>
            </w:r>
            <w:r w:rsidRPr="005A15B9">
              <w:rPr>
                <w:rFonts w:ascii="Arial" w:hAnsi="Arial" w:cs="Arial"/>
                <w:sz w:val="18"/>
                <w:szCs w:val="18"/>
              </w:rPr>
              <w:t>nalytes and surrogate compounds.</w:t>
            </w:r>
          </w:p>
        </w:tc>
      </w:tr>
      <w:tr w:rsidR="00C3721C" w:rsidRPr="00A0149B" w14:paraId="3B43CF32" w14:textId="77777777" w:rsidTr="000D36DE">
        <w:trPr>
          <w:trHeight w:val="264"/>
        </w:trPr>
        <w:tc>
          <w:tcPr>
            <w:tcW w:w="529" w:type="dxa"/>
            <w:noWrap/>
            <w:vAlign w:val="center"/>
          </w:tcPr>
          <w:p w14:paraId="25545077" w14:textId="6CBFAD93"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2E9FB9C0" w14:textId="77777777" w:rsidR="00C3721C" w:rsidRPr="00D8503D" w:rsidRDefault="00C3721C" w:rsidP="00C3721C">
            <w:pPr>
              <w:jc w:val="both"/>
              <w:rPr>
                <w:rFonts w:ascii="Arial" w:hAnsi="Arial" w:cs="Arial"/>
                <w:sz w:val="18"/>
                <w:szCs w:val="18"/>
              </w:rPr>
            </w:pPr>
            <w:r>
              <w:rPr>
                <w:rFonts w:ascii="Arial" w:hAnsi="Arial" w:cs="Arial"/>
                <w:sz w:val="18"/>
                <w:szCs w:val="18"/>
              </w:rPr>
              <w:t>Is the surrogate area excluded or subtracted from the collective hydrocarbon range areas?</w:t>
            </w:r>
            <w:r>
              <w:t xml:space="preserve"> </w:t>
            </w:r>
            <w:r w:rsidRPr="002D51C5">
              <w:rPr>
                <w:rFonts w:ascii="Arial" w:hAnsi="Arial" w:cs="Arial"/>
                <w:sz w:val="18"/>
                <w:szCs w:val="18"/>
              </w:rPr>
              <w:t>[MADEP VPH Rev. 2.1 (Feb 2018) Section 9.</w:t>
            </w:r>
            <w:r>
              <w:rPr>
                <w:rFonts w:ascii="Arial" w:hAnsi="Arial" w:cs="Arial"/>
                <w:sz w:val="18"/>
                <w:szCs w:val="18"/>
              </w:rPr>
              <w:t>6.2</w:t>
            </w:r>
            <w:r w:rsidRPr="002D51C5">
              <w:rPr>
                <w:rFonts w:ascii="Arial" w:hAnsi="Arial" w:cs="Arial"/>
                <w:sz w:val="18"/>
                <w:szCs w:val="18"/>
              </w:rPr>
              <w:t xml:space="preserve">]  </w:t>
            </w:r>
          </w:p>
        </w:tc>
        <w:tc>
          <w:tcPr>
            <w:tcW w:w="448" w:type="dxa"/>
            <w:tcBorders>
              <w:bottom w:val="single" w:sz="4" w:space="0" w:color="auto"/>
            </w:tcBorders>
            <w:shd w:val="clear" w:color="auto" w:fill="FFFFFF" w:themeFill="background1"/>
            <w:noWrap/>
            <w:vAlign w:val="center"/>
          </w:tcPr>
          <w:p w14:paraId="40A5D065" w14:textId="77777777" w:rsidR="00C3721C" w:rsidRPr="00A0149B" w:rsidRDefault="00C3721C" w:rsidP="00C3721C">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34387DC5" w14:textId="77777777" w:rsidR="00C3721C" w:rsidRPr="00A0149B" w:rsidRDefault="00C3721C" w:rsidP="00C3721C">
            <w:pPr>
              <w:rPr>
                <w:rFonts w:ascii="Arial" w:hAnsi="Arial" w:cs="Arial"/>
                <w:sz w:val="18"/>
                <w:szCs w:val="18"/>
              </w:rPr>
            </w:pPr>
          </w:p>
        </w:tc>
        <w:tc>
          <w:tcPr>
            <w:tcW w:w="4867" w:type="dxa"/>
            <w:gridSpan w:val="2"/>
            <w:vAlign w:val="center"/>
          </w:tcPr>
          <w:p w14:paraId="763DC88D" w14:textId="77777777" w:rsidR="00C3721C" w:rsidRDefault="00C3721C" w:rsidP="00C3721C">
            <w:pPr>
              <w:jc w:val="both"/>
              <w:rPr>
                <w:rFonts w:ascii="Arial" w:hAnsi="Arial" w:cs="Arial"/>
                <w:sz w:val="18"/>
                <w:szCs w:val="18"/>
              </w:rPr>
            </w:pPr>
            <w:r w:rsidRPr="002D51C5">
              <w:rPr>
                <w:rFonts w:ascii="Arial" w:hAnsi="Arial" w:cs="Arial"/>
                <w:sz w:val="18"/>
                <w:szCs w:val="18"/>
              </w:rPr>
              <w:t>When calculating the VPH by GC/PID/FID method aliphatic and aromatic hydrocarbon range</w:t>
            </w:r>
            <w:r>
              <w:rPr>
                <w:rFonts w:ascii="Arial" w:hAnsi="Arial" w:cs="Arial"/>
                <w:sz w:val="18"/>
                <w:szCs w:val="18"/>
              </w:rPr>
              <w:t xml:space="preserve"> </w:t>
            </w:r>
            <w:r w:rsidRPr="002D51C5">
              <w:rPr>
                <w:rFonts w:ascii="Arial" w:hAnsi="Arial" w:cs="Arial"/>
                <w:sz w:val="18"/>
                <w:szCs w:val="18"/>
              </w:rPr>
              <w:t>concentrations, the laboratory must include the area of all peaks eluting within the retention time</w:t>
            </w:r>
            <w:r>
              <w:rPr>
                <w:rFonts w:ascii="Arial" w:hAnsi="Arial" w:cs="Arial"/>
                <w:sz w:val="18"/>
                <w:szCs w:val="18"/>
              </w:rPr>
              <w:t xml:space="preserve"> </w:t>
            </w:r>
            <w:r w:rsidRPr="002D51C5">
              <w:rPr>
                <w:rFonts w:ascii="Arial" w:hAnsi="Arial" w:cs="Arial"/>
                <w:sz w:val="18"/>
                <w:szCs w:val="18"/>
              </w:rPr>
              <w:t>windows specified for these</w:t>
            </w:r>
            <w:r>
              <w:rPr>
                <w:rFonts w:ascii="Arial" w:hAnsi="Arial" w:cs="Arial"/>
                <w:sz w:val="18"/>
                <w:szCs w:val="18"/>
              </w:rPr>
              <w:t xml:space="preserve"> </w:t>
            </w:r>
            <w:r w:rsidRPr="002D51C5">
              <w:rPr>
                <w:rFonts w:ascii="Arial" w:hAnsi="Arial" w:cs="Arial"/>
                <w:sz w:val="18"/>
                <w:szCs w:val="18"/>
              </w:rPr>
              <w:t>ranges, excluding surrogates</w:t>
            </w:r>
            <w:r>
              <w:rPr>
                <w:rFonts w:ascii="Arial" w:hAnsi="Arial" w:cs="Arial"/>
                <w:sz w:val="18"/>
                <w:szCs w:val="18"/>
              </w:rPr>
              <w:t>.</w:t>
            </w:r>
          </w:p>
        </w:tc>
      </w:tr>
      <w:tr w:rsidR="00C3721C" w:rsidRPr="00A0149B" w14:paraId="7E3F79AC" w14:textId="77777777" w:rsidTr="000D36DE">
        <w:trPr>
          <w:trHeight w:val="264"/>
        </w:trPr>
        <w:tc>
          <w:tcPr>
            <w:tcW w:w="529" w:type="dxa"/>
            <w:shd w:val="clear" w:color="auto" w:fill="D9D9D9" w:themeFill="background1" w:themeFillShade="D9"/>
            <w:noWrap/>
            <w:vAlign w:val="center"/>
          </w:tcPr>
          <w:p w14:paraId="33708250" w14:textId="77777777" w:rsidR="00C3721C" w:rsidRPr="008D4248" w:rsidRDefault="00C3721C" w:rsidP="00C3721C">
            <w:pPr>
              <w:pStyle w:val="ListParagraph"/>
              <w:ind w:left="72"/>
              <w:rPr>
                <w:rFonts w:ascii="Arial" w:hAnsi="Arial" w:cs="Arial"/>
                <w:sz w:val="18"/>
                <w:szCs w:val="18"/>
              </w:rPr>
            </w:pPr>
          </w:p>
        </w:tc>
        <w:tc>
          <w:tcPr>
            <w:tcW w:w="4867" w:type="dxa"/>
            <w:shd w:val="clear" w:color="auto" w:fill="D9D9D9" w:themeFill="background1" w:themeFillShade="D9"/>
            <w:noWrap/>
            <w:vAlign w:val="center"/>
          </w:tcPr>
          <w:p w14:paraId="7E440609" w14:textId="77777777" w:rsidR="00C3721C" w:rsidRPr="00560E41" w:rsidRDefault="00C3721C" w:rsidP="00C3721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themeFill="background1" w:themeFillShade="D9"/>
            <w:noWrap/>
            <w:vAlign w:val="center"/>
          </w:tcPr>
          <w:p w14:paraId="12A87258" w14:textId="77777777" w:rsidR="00C3721C" w:rsidRDefault="00C3721C" w:rsidP="00C3721C">
            <w:pPr>
              <w:jc w:val="both"/>
              <w:rPr>
                <w:rFonts w:ascii="Arial" w:hAnsi="Arial" w:cs="Arial"/>
                <w:b/>
                <w:sz w:val="18"/>
                <w:szCs w:val="18"/>
              </w:rPr>
            </w:pPr>
            <w:r>
              <w:rPr>
                <w:rFonts w:ascii="Arial" w:hAnsi="Arial" w:cs="Arial"/>
                <w:b/>
                <w:sz w:val="18"/>
                <w:szCs w:val="18"/>
              </w:rPr>
              <w:t>LAB</w:t>
            </w:r>
          </w:p>
        </w:tc>
        <w:tc>
          <w:tcPr>
            <w:tcW w:w="448" w:type="dxa"/>
            <w:shd w:val="clear" w:color="auto" w:fill="D9D9D9" w:themeFill="background1" w:themeFillShade="D9"/>
            <w:noWrap/>
            <w:vAlign w:val="center"/>
          </w:tcPr>
          <w:p w14:paraId="6337632C" w14:textId="77777777" w:rsidR="00C3721C" w:rsidRDefault="00C3721C" w:rsidP="00C3721C">
            <w:pPr>
              <w:jc w:val="both"/>
              <w:rPr>
                <w:rFonts w:ascii="Arial" w:hAnsi="Arial" w:cs="Arial"/>
                <w:b/>
                <w:sz w:val="18"/>
                <w:szCs w:val="18"/>
              </w:rPr>
            </w:pPr>
            <w:r>
              <w:rPr>
                <w:rFonts w:ascii="Arial" w:hAnsi="Arial" w:cs="Arial"/>
                <w:b/>
                <w:sz w:val="18"/>
                <w:szCs w:val="18"/>
              </w:rPr>
              <w:t>SOP</w:t>
            </w:r>
          </w:p>
        </w:tc>
        <w:tc>
          <w:tcPr>
            <w:tcW w:w="4867" w:type="dxa"/>
            <w:gridSpan w:val="2"/>
            <w:shd w:val="clear" w:color="auto" w:fill="D9D9D9" w:themeFill="background1" w:themeFillShade="D9"/>
            <w:vAlign w:val="center"/>
          </w:tcPr>
          <w:p w14:paraId="5EE47A94" w14:textId="77777777" w:rsidR="00C3721C" w:rsidRPr="00560E41" w:rsidRDefault="00C3721C" w:rsidP="00C3721C">
            <w:pPr>
              <w:jc w:val="center"/>
              <w:rPr>
                <w:rFonts w:ascii="Arial" w:hAnsi="Arial" w:cs="Arial"/>
                <w:b/>
                <w:sz w:val="18"/>
                <w:szCs w:val="18"/>
              </w:rPr>
            </w:pPr>
            <w:r w:rsidRPr="00560E41">
              <w:rPr>
                <w:rFonts w:ascii="Arial" w:hAnsi="Arial" w:cs="Arial"/>
                <w:b/>
                <w:sz w:val="18"/>
                <w:szCs w:val="18"/>
              </w:rPr>
              <w:t>EXPLANATION</w:t>
            </w:r>
          </w:p>
        </w:tc>
      </w:tr>
      <w:tr w:rsidR="00C3721C" w:rsidRPr="00A0149B" w14:paraId="3ADA5CE1" w14:textId="77777777" w:rsidTr="000D36DE">
        <w:trPr>
          <w:trHeight w:val="264"/>
        </w:trPr>
        <w:tc>
          <w:tcPr>
            <w:tcW w:w="529" w:type="dxa"/>
            <w:noWrap/>
            <w:vAlign w:val="center"/>
          </w:tcPr>
          <w:p w14:paraId="642BA9A1" w14:textId="1072E268"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7A175FEC" w14:textId="77777777" w:rsidR="00C3721C" w:rsidRDefault="00C3721C" w:rsidP="00C3721C">
            <w:pPr>
              <w:suppressAutoHyphens/>
              <w:ind w:right="36"/>
              <w:jc w:val="both"/>
              <w:rPr>
                <w:rFonts w:ascii="Arial" w:hAnsi="Arial" w:cs="Arial"/>
                <w:sz w:val="18"/>
                <w:szCs w:val="18"/>
              </w:rPr>
            </w:pPr>
            <w:r>
              <w:rPr>
                <w:rFonts w:ascii="Arial" w:hAnsi="Arial"/>
                <w:spacing w:val="-2"/>
                <w:sz w:val="18"/>
                <w:szCs w:val="18"/>
              </w:rPr>
              <w:t>Is the</w:t>
            </w:r>
            <w:r w:rsidRPr="00184909">
              <w:rPr>
                <w:rFonts w:ascii="Arial" w:hAnsi="Arial"/>
                <w:spacing w:val="-2"/>
                <w:sz w:val="18"/>
                <w:szCs w:val="18"/>
              </w:rPr>
              <w:t xml:space="preserve"> </w:t>
            </w:r>
            <w:r w:rsidRPr="00A23D1C">
              <w:rPr>
                <w:rFonts w:ascii="Arial" w:hAnsi="Arial"/>
                <w:spacing w:val="-2"/>
                <w:sz w:val="18"/>
                <w:szCs w:val="18"/>
              </w:rPr>
              <w:t>Initial Demonstration of Laboratory Capability</w:t>
            </w:r>
            <w:r>
              <w:rPr>
                <w:rFonts w:ascii="Arial" w:hAnsi="Arial"/>
                <w:spacing w:val="-2"/>
                <w:sz w:val="18"/>
                <w:szCs w:val="18"/>
              </w:rPr>
              <w:t xml:space="preserve"> (</w:t>
            </w:r>
            <w:r w:rsidRPr="00184909">
              <w:rPr>
                <w:rFonts w:ascii="Arial" w:hAnsi="Arial"/>
                <w:spacing w:val="-2"/>
                <w:sz w:val="18"/>
                <w:szCs w:val="18"/>
              </w:rPr>
              <w:t>IDLC</w:t>
            </w:r>
            <w:r>
              <w:rPr>
                <w:rFonts w:ascii="Arial" w:hAnsi="Arial"/>
                <w:spacing w:val="-2"/>
                <w:sz w:val="18"/>
                <w:szCs w:val="18"/>
              </w:rPr>
              <w:t>) kept</w:t>
            </w:r>
            <w:r w:rsidRPr="00184909">
              <w:rPr>
                <w:rFonts w:ascii="Arial" w:hAnsi="Arial"/>
                <w:spacing w:val="-2"/>
                <w:sz w:val="18"/>
                <w:szCs w:val="18"/>
              </w:rPr>
              <w:t xml:space="preserve"> on file and updated when personnel are trained or when significant changes are made to the instrument or sample preparation? [MADEP VPH Rev. 2.1 (Feb 2018) Section 10.1.1]</w:t>
            </w:r>
          </w:p>
        </w:tc>
        <w:tc>
          <w:tcPr>
            <w:tcW w:w="448" w:type="dxa"/>
            <w:shd w:val="clear" w:color="auto" w:fill="FFFFFF" w:themeFill="background1"/>
            <w:noWrap/>
            <w:vAlign w:val="center"/>
          </w:tcPr>
          <w:p w14:paraId="6DC7EA27"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296EB91B" w14:textId="77777777" w:rsidR="00C3721C" w:rsidRPr="00A0149B" w:rsidRDefault="00C3721C" w:rsidP="00C3721C">
            <w:pPr>
              <w:rPr>
                <w:rFonts w:ascii="Arial" w:hAnsi="Arial" w:cs="Arial"/>
                <w:sz w:val="18"/>
                <w:szCs w:val="18"/>
              </w:rPr>
            </w:pPr>
          </w:p>
        </w:tc>
        <w:tc>
          <w:tcPr>
            <w:tcW w:w="4867" w:type="dxa"/>
            <w:gridSpan w:val="2"/>
            <w:vAlign w:val="center"/>
          </w:tcPr>
          <w:p w14:paraId="17BFF9AF" w14:textId="77777777" w:rsidR="00C3721C" w:rsidRPr="00A0149B" w:rsidRDefault="00C3721C" w:rsidP="00C3721C">
            <w:pPr>
              <w:jc w:val="both"/>
              <w:rPr>
                <w:rFonts w:ascii="Arial" w:hAnsi="Arial" w:cs="Arial"/>
                <w:sz w:val="18"/>
                <w:szCs w:val="18"/>
              </w:rPr>
            </w:pPr>
            <w:r w:rsidRPr="008517B7">
              <w:rPr>
                <w:rFonts w:ascii="Arial" w:hAnsi="Arial" w:cs="Arial"/>
                <w:sz w:val="18"/>
                <w:szCs w:val="18"/>
              </w:rPr>
              <w:t>Each laboratory that uses this method is required to operate a formal quality control program. The</w:t>
            </w:r>
            <w:r>
              <w:rPr>
                <w:rFonts w:ascii="Arial" w:hAnsi="Arial" w:cs="Arial"/>
                <w:sz w:val="18"/>
                <w:szCs w:val="18"/>
              </w:rPr>
              <w:t xml:space="preserve"> </w:t>
            </w:r>
            <w:r w:rsidRPr="008517B7">
              <w:rPr>
                <w:rFonts w:ascii="Arial" w:hAnsi="Arial" w:cs="Arial"/>
                <w:sz w:val="18"/>
                <w:szCs w:val="18"/>
              </w:rPr>
              <w:t>minimum requirements of this program consist of an Initial Demonstration of Laboratory Capability</w:t>
            </w:r>
            <w:r>
              <w:rPr>
                <w:rFonts w:ascii="Arial" w:hAnsi="Arial" w:cs="Arial"/>
                <w:sz w:val="18"/>
                <w:szCs w:val="18"/>
              </w:rPr>
              <w:t xml:space="preserve"> </w:t>
            </w:r>
            <w:r w:rsidRPr="008517B7">
              <w:rPr>
                <w:rFonts w:ascii="Arial" w:hAnsi="Arial" w:cs="Arial"/>
                <w:sz w:val="18"/>
                <w:szCs w:val="18"/>
              </w:rPr>
              <w:t>(IDLC) and an ongoing analysis of prepared QC samples to evaluate and document the quality of</w:t>
            </w:r>
            <w:r>
              <w:rPr>
                <w:rFonts w:ascii="Arial" w:hAnsi="Arial" w:cs="Arial"/>
                <w:sz w:val="18"/>
                <w:szCs w:val="18"/>
              </w:rPr>
              <w:t xml:space="preserve"> </w:t>
            </w:r>
            <w:r w:rsidRPr="008517B7">
              <w:rPr>
                <w:rFonts w:ascii="Arial" w:hAnsi="Arial" w:cs="Arial"/>
                <w:sz w:val="18"/>
                <w:szCs w:val="18"/>
              </w:rPr>
              <w:t>data. The</w:t>
            </w:r>
            <w:r>
              <w:rPr>
                <w:rFonts w:ascii="Arial" w:hAnsi="Arial" w:cs="Arial"/>
                <w:sz w:val="18"/>
                <w:szCs w:val="18"/>
              </w:rPr>
              <w:t xml:space="preserve"> </w:t>
            </w:r>
            <w:r w:rsidRPr="008517B7">
              <w:rPr>
                <w:rFonts w:ascii="Arial" w:hAnsi="Arial" w:cs="Arial"/>
                <w:sz w:val="18"/>
                <w:szCs w:val="18"/>
              </w:rPr>
              <w:t>laboratory must maintain records to document the quality of the data produced.</w:t>
            </w:r>
          </w:p>
        </w:tc>
      </w:tr>
      <w:tr w:rsidR="00C3721C" w:rsidRPr="00A0149B" w14:paraId="6940CABF" w14:textId="77777777" w:rsidTr="000D36DE">
        <w:trPr>
          <w:trHeight w:val="264"/>
        </w:trPr>
        <w:tc>
          <w:tcPr>
            <w:tcW w:w="529" w:type="dxa"/>
            <w:noWrap/>
            <w:vAlign w:val="center"/>
          </w:tcPr>
          <w:p w14:paraId="662A0751" w14:textId="226468F4"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7567979F" w14:textId="77777777" w:rsidR="00C3721C" w:rsidRDefault="00C3721C" w:rsidP="00C3721C">
            <w:pPr>
              <w:jc w:val="both"/>
              <w:rPr>
                <w:rFonts w:ascii="Arial" w:hAnsi="Arial" w:cs="Arial"/>
                <w:sz w:val="18"/>
                <w:szCs w:val="18"/>
              </w:rPr>
            </w:pPr>
            <w:r>
              <w:rPr>
                <w:rFonts w:ascii="Arial" w:hAnsi="Arial"/>
                <w:spacing w:val="-2"/>
                <w:sz w:val="18"/>
                <w:szCs w:val="18"/>
              </w:rPr>
              <w:t xml:space="preserve">For the </w:t>
            </w:r>
            <w:r w:rsidRPr="006311F7">
              <w:rPr>
                <w:rFonts w:ascii="Arial" w:hAnsi="Arial"/>
                <w:spacing w:val="-2"/>
                <w:sz w:val="18"/>
                <w:szCs w:val="18"/>
              </w:rPr>
              <w:t>Initial Demonstration of Accuracy (IDA)</w:t>
            </w:r>
            <w:r>
              <w:rPr>
                <w:rFonts w:ascii="Arial" w:hAnsi="Arial"/>
                <w:spacing w:val="-2"/>
                <w:sz w:val="18"/>
                <w:szCs w:val="18"/>
              </w:rPr>
              <w:t xml:space="preserve"> and </w:t>
            </w:r>
            <w:r w:rsidRPr="006311F7">
              <w:rPr>
                <w:rFonts w:ascii="Arial" w:hAnsi="Arial"/>
                <w:spacing w:val="-2"/>
                <w:sz w:val="18"/>
                <w:szCs w:val="18"/>
              </w:rPr>
              <w:t>Initial Demonstration of Precision (IDP)</w:t>
            </w:r>
            <w:r>
              <w:rPr>
                <w:rFonts w:ascii="Arial" w:hAnsi="Arial"/>
                <w:spacing w:val="-2"/>
                <w:sz w:val="18"/>
                <w:szCs w:val="18"/>
              </w:rPr>
              <w:t>, does the laboratory p</w:t>
            </w:r>
            <w:r w:rsidRPr="00A23D1C">
              <w:rPr>
                <w:rFonts w:ascii="Arial" w:hAnsi="Arial"/>
                <w:spacing w:val="-2"/>
                <w:sz w:val="18"/>
                <w:szCs w:val="18"/>
              </w:rPr>
              <w:t>repare and analyze seven replicate Laboratory Control Samples (LCSs)</w:t>
            </w:r>
            <w:r>
              <w:rPr>
                <w:rFonts w:ascii="Arial" w:hAnsi="Arial"/>
                <w:spacing w:val="-2"/>
                <w:sz w:val="18"/>
                <w:szCs w:val="18"/>
              </w:rPr>
              <w:t xml:space="preserve"> according to the method?</w:t>
            </w:r>
            <w:r>
              <w:t xml:space="preserve"> </w:t>
            </w:r>
            <w:r w:rsidRPr="006311F7">
              <w:rPr>
                <w:rFonts w:ascii="Arial" w:hAnsi="Arial"/>
                <w:spacing w:val="-2"/>
                <w:sz w:val="18"/>
                <w:szCs w:val="18"/>
              </w:rPr>
              <w:t xml:space="preserve">[MADEP VPH Rev. 2.1 (Feb 2018) </w:t>
            </w:r>
            <w:r>
              <w:rPr>
                <w:rFonts w:ascii="Arial" w:hAnsi="Arial"/>
                <w:spacing w:val="-2"/>
                <w:sz w:val="18"/>
                <w:szCs w:val="18"/>
              </w:rPr>
              <w:t>Appendix 7 Section 3.0</w:t>
            </w:r>
            <w:r w:rsidRPr="006311F7">
              <w:rPr>
                <w:rFonts w:ascii="Arial" w:hAnsi="Arial"/>
                <w:spacing w:val="-2"/>
                <w:sz w:val="18"/>
                <w:szCs w:val="18"/>
              </w:rPr>
              <w:t>]</w:t>
            </w:r>
            <w:r>
              <w:rPr>
                <w:rFonts w:ascii="Arial" w:hAnsi="Arial"/>
                <w:spacing w:val="-2"/>
                <w:sz w:val="18"/>
                <w:szCs w:val="18"/>
              </w:rPr>
              <w:t xml:space="preserve"> </w:t>
            </w:r>
          </w:p>
        </w:tc>
        <w:tc>
          <w:tcPr>
            <w:tcW w:w="448" w:type="dxa"/>
            <w:shd w:val="clear" w:color="auto" w:fill="FFFFFF" w:themeFill="background1"/>
            <w:noWrap/>
            <w:vAlign w:val="center"/>
          </w:tcPr>
          <w:p w14:paraId="2230AFDE"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40D789ED" w14:textId="77777777" w:rsidR="00C3721C" w:rsidRPr="00A0149B" w:rsidRDefault="00C3721C" w:rsidP="00C3721C">
            <w:pPr>
              <w:rPr>
                <w:rFonts w:ascii="Arial" w:hAnsi="Arial" w:cs="Arial"/>
                <w:sz w:val="18"/>
                <w:szCs w:val="18"/>
              </w:rPr>
            </w:pPr>
          </w:p>
        </w:tc>
        <w:tc>
          <w:tcPr>
            <w:tcW w:w="4867" w:type="dxa"/>
            <w:gridSpan w:val="2"/>
            <w:vAlign w:val="center"/>
          </w:tcPr>
          <w:p w14:paraId="27D31E5E" w14:textId="77777777" w:rsidR="00C3721C" w:rsidRPr="00A0149B" w:rsidRDefault="00C3721C" w:rsidP="00C3721C">
            <w:pPr>
              <w:jc w:val="both"/>
              <w:rPr>
                <w:rFonts w:ascii="Arial" w:hAnsi="Arial" w:cs="Arial"/>
                <w:sz w:val="18"/>
                <w:szCs w:val="18"/>
              </w:rPr>
            </w:pPr>
            <w:r w:rsidRPr="006311F7">
              <w:rPr>
                <w:rFonts w:ascii="Arial" w:hAnsi="Arial" w:cs="Arial"/>
                <w:sz w:val="18"/>
                <w:szCs w:val="18"/>
              </w:rPr>
              <w:t>Prepare and analyze seven (7) replicate Laboratory Control Samples (LCSs) fortified at a concentration of 50% of the</w:t>
            </w:r>
            <w:r>
              <w:rPr>
                <w:rFonts w:ascii="Arial" w:hAnsi="Arial" w:cs="Arial"/>
                <w:sz w:val="18"/>
                <w:szCs w:val="18"/>
              </w:rPr>
              <w:t xml:space="preserve"> </w:t>
            </w:r>
            <w:r w:rsidRPr="006311F7">
              <w:rPr>
                <w:rFonts w:ascii="Arial" w:hAnsi="Arial" w:cs="Arial"/>
                <w:sz w:val="18"/>
                <w:szCs w:val="18"/>
              </w:rPr>
              <w:t>highest</w:t>
            </w:r>
            <w:r>
              <w:rPr>
                <w:rFonts w:ascii="Arial" w:hAnsi="Arial" w:cs="Arial"/>
                <w:sz w:val="18"/>
                <w:szCs w:val="18"/>
              </w:rPr>
              <w:t xml:space="preserve"> </w:t>
            </w:r>
            <w:r w:rsidRPr="006311F7">
              <w:rPr>
                <w:rFonts w:ascii="Arial" w:hAnsi="Arial" w:cs="Arial"/>
                <w:sz w:val="18"/>
                <w:szCs w:val="18"/>
              </w:rPr>
              <w:t>calibration curve standard (100 ug/L for</w:t>
            </w:r>
            <w:r>
              <w:rPr>
                <w:rFonts w:ascii="Arial" w:hAnsi="Arial" w:cs="Arial"/>
                <w:sz w:val="18"/>
                <w:szCs w:val="18"/>
              </w:rPr>
              <w:t xml:space="preserve"> </w:t>
            </w:r>
            <w:r w:rsidRPr="006311F7">
              <w:rPr>
                <w:rFonts w:ascii="Arial" w:hAnsi="Arial" w:cs="Arial"/>
                <w:sz w:val="18"/>
                <w:szCs w:val="18"/>
              </w:rPr>
              <w:t>aqueous samples and 5 mg/kg for</w:t>
            </w:r>
            <w:r>
              <w:rPr>
                <w:rFonts w:ascii="Arial" w:hAnsi="Arial" w:cs="Arial"/>
                <w:sz w:val="18"/>
                <w:szCs w:val="18"/>
              </w:rPr>
              <w:t xml:space="preserve"> </w:t>
            </w:r>
            <w:r w:rsidRPr="006311F7">
              <w:rPr>
                <w:rFonts w:ascii="Arial" w:hAnsi="Arial" w:cs="Arial"/>
                <w:sz w:val="18"/>
                <w:szCs w:val="18"/>
              </w:rPr>
              <w:t>soil/sediment samples). An LCS must be</w:t>
            </w:r>
            <w:r>
              <w:rPr>
                <w:rFonts w:ascii="Arial" w:hAnsi="Arial" w:cs="Arial"/>
                <w:sz w:val="18"/>
                <w:szCs w:val="18"/>
              </w:rPr>
              <w:t xml:space="preserve"> </w:t>
            </w:r>
            <w:r w:rsidRPr="006311F7">
              <w:rPr>
                <w:rFonts w:ascii="Arial" w:hAnsi="Arial" w:cs="Arial"/>
                <w:sz w:val="18"/>
                <w:szCs w:val="18"/>
              </w:rPr>
              <w:t>prepared and treated exactly as a typical field sample submitted for analysis, including</w:t>
            </w:r>
            <w:r>
              <w:rPr>
                <w:rFonts w:ascii="Arial" w:hAnsi="Arial" w:cs="Arial"/>
                <w:sz w:val="18"/>
                <w:szCs w:val="18"/>
              </w:rPr>
              <w:t xml:space="preserve"> </w:t>
            </w:r>
            <w:r w:rsidRPr="006311F7">
              <w:rPr>
                <w:rFonts w:ascii="Arial" w:hAnsi="Arial" w:cs="Arial"/>
                <w:sz w:val="18"/>
                <w:szCs w:val="18"/>
              </w:rPr>
              <w:t>exposure to all glassware, equipment,</w:t>
            </w:r>
            <w:r>
              <w:rPr>
                <w:rFonts w:ascii="Arial" w:hAnsi="Arial" w:cs="Arial"/>
                <w:sz w:val="18"/>
                <w:szCs w:val="18"/>
              </w:rPr>
              <w:t xml:space="preserve"> </w:t>
            </w:r>
            <w:r w:rsidRPr="006311F7">
              <w:rPr>
                <w:rFonts w:ascii="Arial" w:hAnsi="Arial" w:cs="Arial"/>
                <w:sz w:val="18"/>
                <w:szCs w:val="18"/>
              </w:rPr>
              <w:t>solvents and reagents. See Section 10.2.6 of the VPH by GC/PID/FID Method for how to prepare the LCS.</w:t>
            </w:r>
          </w:p>
        </w:tc>
      </w:tr>
      <w:tr w:rsidR="00C3721C" w:rsidRPr="00A0149B" w14:paraId="3ECF7820" w14:textId="77777777" w:rsidTr="000D36DE">
        <w:trPr>
          <w:trHeight w:val="264"/>
        </w:trPr>
        <w:tc>
          <w:tcPr>
            <w:tcW w:w="529" w:type="dxa"/>
            <w:noWrap/>
            <w:vAlign w:val="center"/>
          </w:tcPr>
          <w:p w14:paraId="75AEEFFA" w14:textId="011B22D3"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53394DEB" w14:textId="2F1E0A0A" w:rsidR="00C3721C" w:rsidRDefault="00C3721C" w:rsidP="00C3721C">
            <w:pPr>
              <w:jc w:val="both"/>
              <w:rPr>
                <w:rFonts w:ascii="Arial" w:hAnsi="Arial" w:cs="Arial"/>
                <w:sz w:val="18"/>
                <w:szCs w:val="18"/>
              </w:rPr>
            </w:pPr>
            <w:r>
              <w:rPr>
                <w:rFonts w:ascii="Arial" w:hAnsi="Arial" w:cs="Arial"/>
                <w:sz w:val="18"/>
                <w:szCs w:val="18"/>
              </w:rPr>
              <w:t>What are the acceptance criteria for the IDA and IDP?</w:t>
            </w:r>
            <w:r>
              <w:t xml:space="preserve"> </w:t>
            </w:r>
            <w:r w:rsidRPr="006311F7">
              <w:rPr>
                <w:rFonts w:ascii="Arial" w:hAnsi="Arial" w:cs="Arial"/>
                <w:sz w:val="18"/>
                <w:szCs w:val="18"/>
              </w:rPr>
              <w:t>[MADEP VPH Rev. 2.1 (Feb 2018) Appendix 7 Section</w:t>
            </w:r>
            <w:r>
              <w:rPr>
                <w:rFonts w:ascii="Arial" w:hAnsi="Arial" w:cs="Arial"/>
                <w:sz w:val="18"/>
                <w:szCs w:val="18"/>
              </w:rPr>
              <w:t>s</w:t>
            </w:r>
            <w:r w:rsidRPr="006311F7">
              <w:rPr>
                <w:rFonts w:ascii="Arial" w:hAnsi="Arial" w:cs="Arial"/>
                <w:sz w:val="18"/>
                <w:szCs w:val="18"/>
              </w:rPr>
              <w:t xml:space="preserve"> 3.0</w:t>
            </w:r>
            <w:r>
              <w:rPr>
                <w:rFonts w:ascii="Arial" w:hAnsi="Arial" w:cs="Arial"/>
                <w:sz w:val="18"/>
                <w:szCs w:val="18"/>
              </w:rPr>
              <w:t xml:space="preserve"> and 4.0</w:t>
            </w:r>
            <w:r w:rsidR="00F70762">
              <w:rPr>
                <w:rFonts w:ascii="Arial" w:hAnsi="Arial" w:cs="Arial"/>
                <w:sz w:val="18"/>
                <w:szCs w:val="18"/>
              </w:rPr>
              <w:t>]</w:t>
            </w:r>
          </w:p>
          <w:p w14:paraId="586F1333" w14:textId="77777777" w:rsidR="00C3721C" w:rsidRDefault="00C3721C" w:rsidP="00C3721C">
            <w:pPr>
              <w:jc w:val="both"/>
              <w:rPr>
                <w:rFonts w:ascii="Arial" w:hAnsi="Arial" w:cs="Arial"/>
                <w:sz w:val="18"/>
                <w:szCs w:val="18"/>
              </w:rPr>
            </w:pPr>
          </w:p>
        </w:tc>
        <w:tc>
          <w:tcPr>
            <w:tcW w:w="448" w:type="dxa"/>
            <w:shd w:val="clear" w:color="auto" w:fill="FFFFFF" w:themeFill="background1"/>
            <w:noWrap/>
            <w:vAlign w:val="center"/>
          </w:tcPr>
          <w:p w14:paraId="38407BC5"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1CD91228" w14:textId="77777777" w:rsidR="00C3721C" w:rsidRPr="00A0149B" w:rsidRDefault="00C3721C" w:rsidP="00C3721C">
            <w:pPr>
              <w:rPr>
                <w:rFonts w:ascii="Arial" w:hAnsi="Arial" w:cs="Arial"/>
                <w:sz w:val="18"/>
                <w:szCs w:val="18"/>
              </w:rPr>
            </w:pPr>
          </w:p>
        </w:tc>
        <w:tc>
          <w:tcPr>
            <w:tcW w:w="4867" w:type="dxa"/>
            <w:gridSpan w:val="2"/>
            <w:vAlign w:val="center"/>
          </w:tcPr>
          <w:p w14:paraId="4E9A36FC" w14:textId="77777777" w:rsidR="00C3721C" w:rsidRPr="009046F4" w:rsidRDefault="00C3721C" w:rsidP="00C3721C">
            <w:pPr>
              <w:jc w:val="both"/>
              <w:rPr>
                <w:rFonts w:ascii="Arial" w:hAnsi="Arial" w:cs="Arial"/>
                <w:b/>
                <w:bCs/>
                <w:sz w:val="18"/>
                <w:szCs w:val="18"/>
              </w:rPr>
            </w:pPr>
            <w:r w:rsidRPr="009046F4">
              <w:rPr>
                <w:rFonts w:ascii="Arial" w:hAnsi="Arial" w:cs="Arial"/>
                <w:b/>
                <w:bCs/>
                <w:sz w:val="18"/>
                <w:szCs w:val="18"/>
              </w:rPr>
              <w:t>IDA:</w:t>
            </w:r>
          </w:p>
          <w:p w14:paraId="0D3C5311" w14:textId="77777777" w:rsidR="00C3721C" w:rsidRDefault="00C3721C" w:rsidP="00C3721C">
            <w:pPr>
              <w:jc w:val="both"/>
              <w:rPr>
                <w:rFonts w:ascii="Arial" w:hAnsi="Arial" w:cs="Arial"/>
                <w:sz w:val="18"/>
                <w:szCs w:val="18"/>
              </w:rPr>
            </w:pPr>
            <w:r w:rsidRPr="009046F4">
              <w:rPr>
                <w:rFonts w:ascii="Arial" w:hAnsi="Arial" w:cs="Arial"/>
                <w:sz w:val="18"/>
                <w:szCs w:val="18"/>
              </w:rPr>
              <w:t>The value derived for C</w:t>
            </w:r>
            <w:r>
              <w:rPr>
                <w:rFonts w:ascii="Arial" w:hAnsi="Arial" w:cs="Arial"/>
                <w:sz w:val="18"/>
                <w:szCs w:val="18"/>
              </w:rPr>
              <w:t xml:space="preserve"> (</w:t>
            </w:r>
            <w:r w:rsidRPr="009046F4">
              <w:rPr>
                <w:rFonts w:ascii="Arial" w:hAnsi="Arial" w:cs="Arial"/>
                <w:sz w:val="18"/>
                <w:szCs w:val="18"/>
              </w:rPr>
              <w:t>mean</w:t>
            </w:r>
            <w:r>
              <w:rPr>
                <w:rFonts w:ascii="Arial" w:hAnsi="Arial" w:cs="Arial"/>
                <w:sz w:val="18"/>
                <w:szCs w:val="18"/>
              </w:rPr>
              <w:t>)</w:t>
            </w:r>
            <w:r w:rsidRPr="009046F4">
              <w:rPr>
                <w:rFonts w:ascii="Arial" w:hAnsi="Arial" w:cs="Arial"/>
                <w:sz w:val="18"/>
                <w:szCs w:val="18"/>
              </w:rPr>
              <w:t xml:space="preserve"> must be within ± 30% of the true value or between 70 ug/L and 130 ug/L for aqueous samples</w:t>
            </w:r>
            <w:r>
              <w:rPr>
                <w:rFonts w:ascii="Arial" w:hAnsi="Arial" w:cs="Arial"/>
                <w:sz w:val="18"/>
                <w:szCs w:val="18"/>
              </w:rPr>
              <w:t xml:space="preserve"> </w:t>
            </w:r>
            <w:r w:rsidRPr="009046F4">
              <w:rPr>
                <w:rFonts w:ascii="Arial" w:hAnsi="Arial" w:cs="Arial"/>
                <w:sz w:val="18"/>
                <w:szCs w:val="18"/>
              </w:rPr>
              <w:t>and 3.5 mg/kg and 6.5 mg/kg for soil/sediment</w:t>
            </w:r>
            <w:r>
              <w:rPr>
                <w:rFonts w:ascii="Arial" w:hAnsi="Arial" w:cs="Arial"/>
                <w:sz w:val="18"/>
                <w:szCs w:val="18"/>
              </w:rPr>
              <w:t xml:space="preserve"> </w:t>
            </w:r>
            <w:r w:rsidRPr="009046F4">
              <w:rPr>
                <w:rFonts w:ascii="Arial" w:hAnsi="Arial" w:cs="Arial"/>
                <w:sz w:val="18"/>
                <w:szCs w:val="18"/>
              </w:rPr>
              <w:t>samples.</w:t>
            </w:r>
          </w:p>
          <w:p w14:paraId="5E4B6DC5" w14:textId="77777777" w:rsidR="00C3721C" w:rsidRPr="009046F4" w:rsidRDefault="00C3721C" w:rsidP="00C3721C">
            <w:pPr>
              <w:jc w:val="both"/>
              <w:rPr>
                <w:rFonts w:ascii="Arial" w:hAnsi="Arial" w:cs="Arial"/>
                <w:b/>
                <w:bCs/>
                <w:sz w:val="18"/>
                <w:szCs w:val="18"/>
              </w:rPr>
            </w:pPr>
            <w:r w:rsidRPr="009046F4">
              <w:rPr>
                <w:rFonts w:ascii="Arial" w:hAnsi="Arial" w:cs="Arial"/>
                <w:b/>
                <w:bCs/>
                <w:sz w:val="18"/>
                <w:szCs w:val="18"/>
              </w:rPr>
              <w:t>IDP:</w:t>
            </w:r>
          </w:p>
          <w:p w14:paraId="0EBEFA0F" w14:textId="77777777" w:rsidR="00C3721C" w:rsidRDefault="00C3721C" w:rsidP="00C3721C">
            <w:pPr>
              <w:jc w:val="both"/>
              <w:rPr>
                <w:rFonts w:ascii="Arial" w:hAnsi="Arial" w:cs="Arial"/>
                <w:sz w:val="18"/>
                <w:szCs w:val="18"/>
              </w:rPr>
            </w:pPr>
            <w:r w:rsidRPr="009046F4">
              <w:rPr>
                <w:rFonts w:ascii="Arial" w:hAnsi="Arial" w:cs="Arial"/>
                <w:sz w:val="18"/>
                <w:szCs w:val="18"/>
              </w:rPr>
              <w:t>Using the results calculated from Section 3.0 above, calculate the percent relative standard deviation (%RSD) of the seven</w:t>
            </w:r>
            <w:r>
              <w:rPr>
                <w:rFonts w:ascii="Arial" w:hAnsi="Arial" w:cs="Arial"/>
                <w:sz w:val="18"/>
                <w:szCs w:val="18"/>
              </w:rPr>
              <w:t xml:space="preserve"> </w:t>
            </w:r>
            <w:r w:rsidRPr="009046F4">
              <w:rPr>
                <w:rFonts w:ascii="Arial" w:hAnsi="Arial" w:cs="Arial"/>
                <w:sz w:val="18"/>
                <w:szCs w:val="18"/>
              </w:rPr>
              <w:t>(7) replicate</w:t>
            </w:r>
            <w:r>
              <w:rPr>
                <w:rFonts w:ascii="Arial" w:hAnsi="Arial" w:cs="Arial"/>
                <w:sz w:val="18"/>
                <w:szCs w:val="18"/>
              </w:rPr>
              <w:t xml:space="preserve"> </w:t>
            </w:r>
            <w:r w:rsidRPr="009046F4">
              <w:rPr>
                <w:rFonts w:ascii="Arial" w:hAnsi="Arial" w:cs="Arial"/>
                <w:sz w:val="18"/>
                <w:szCs w:val="18"/>
              </w:rPr>
              <w:t>analysis, as indicated below. The %RSD must be &lt; 25 for both aqueous and soil/sediment</w:t>
            </w:r>
            <w:r>
              <w:rPr>
                <w:rFonts w:ascii="Arial" w:hAnsi="Arial" w:cs="Arial"/>
                <w:sz w:val="18"/>
                <w:szCs w:val="18"/>
              </w:rPr>
              <w:t xml:space="preserve"> </w:t>
            </w:r>
            <w:r w:rsidRPr="009046F4">
              <w:rPr>
                <w:rFonts w:ascii="Arial" w:hAnsi="Arial" w:cs="Arial"/>
                <w:sz w:val="18"/>
                <w:szCs w:val="18"/>
              </w:rPr>
              <w:t>samples</w:t>
            </w:r>
            <w:r>
              <w:rPr>
                <w:rFonts w:ascii="Arial" w:hAnsi="Arial" w:cs="Arial"/>
                <w:sz w:val="18"/>
                <w:szCs w:val="18"/>
              </w:rPr>
              <w:t>.</w:t>
            </w:r>
          </w:p>
          <w:p w14:paraId="4F8BBC9B" w14:textId="77777777" w:rsidR="00C3721C" w:rsidRPr="00A0149B" w:rsidRDefault="00C3721C" w:rsidP="00C3721C">
            <w:pPr>
              <w:jc w:val="both"/>
              <w:rPr>
                <w:rFonts w:ascii="Arial" w:hAnsi="Arial" w:cs="Arial"/>
                <w:sz w:val="18"/>
                <w:szCs w:val="18"/>
              </w:rPr>
            </w:pPr>
          </w:p>
        </w:tc>
      </w:tr>
      <w:tr w:rsidR="00C3721C" w:rsidRPr="00A0149B" w14:paraId="7C36F1EA" w14:textId="77777777" w:rsidTr="000D36DE">
        <w:trPr>
          <w:trHeight w:val="264"/>
        </w:trPr>
        <w:tc>
          <w:tcPr>
            <w:tcW w:w="529" w:type="dxa"/>
            <w:noWrap/>
            <w:vAlign w:val="center"/>
          </w:tcPr>
          <w:p w14:paraId="38403A18" w14:textId="0913A563"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5D5AE59B" w14:textId="1A43B9B4" w:rsidR="00C3721C" w:rsidRDefault="00C3721C" w:rsidP="00C3721C">
            <w:pPr>
              <w:jc w:val="both"/>
              <w:rPr>
                <w:rFonts w:ascii="Arial" w:hAnsi="Arial" w:cs="Arial"/>
                <w:sz w:val="18"/>
                <w:szCs w:val="18"/>
              </w:rPr>
            </w:pPr>
            <w:r w:rsidRPr="4C8F8D0B">
              <w:rPr>
                <w:rFonts w:ascii="Arial" w:hAnsi="Arial" w:cs="Arial"/>
                <w:sz w:val="18"/>
                <w:szCs w:val="18"/>
              </w:rPr>
              <w:t>Are mid-range Calibration Standards analyzed with each batch of up to 20 samples</w:t>
            </w:r>
            <w:r>
              <w:t xml:space="preserve"> </w:t>
            </w:r>
            <w:r w:rsidRPr="4C8F8D0B">
              <w:rPr>
                <w:rFonts w:ascii="Arial" w:hAnsi="Arial" w:cs="Arial"/>
                <w:sz w:val="18"/>
                <w:szCs w:val="18"/>
              </w:rPr>
              <w:t>at the beginning and end of each analytical sequence? [MADEP VPH Rev. 2.1 (Feb 2018) Section</w:t>
            </w:r>
            <w:r>
              <w:rPr>
                <w:rFonts w:ascii="Arial" w:hAnsi="Arial" w:cs="Arial"/>
                <w:sz w:val="18"/>
                <w:szCs w:val="18"/>
              </w:rPr>
              <w:t>s</w:t>
            </w:r>
            <w:r w:rsidRPr="4C8F8D0B">
              <w:rPr>
                <w:rFonts w:ascii="Arial" w:hAnsi="Arial" w:cs="Arial"/>
                <w:sz w:val="18"/>
                <w:szCs w:val="18"/>
              </w:rPr>
              <w:t xml:space="preserve"> 10.1.2</w:t>
            </w:r>
            <w:r w:rsidR="008C11FF">
              <w:rPr>
                <w:rFonts w:ascii="Arial" w:hAnsi="Arial" w:cs="Arial"/>
                <w:sz w:val="18"/>
                <w:szCs w:val="18"/>
              </w:rPr>
              <w:t>,</w:t>
            </w:r>
            <w:r>
              <w:rPr>
                <w:rFonts w:ascii="Arial" w:hAnsi="Arial" w:cs="Arial"/>
                <w:sz w:val="18"/>
                <w:szCs w:val="18"/>
              </w:rPr>
              <w:t xml:space="preserve"> 3.5</w:t>
            </w:r>
            <w:r w:rsidR="008C11FF">
              <w:rPr>
                <w:rFonts w:ascii="Arial" w:hAnsi="Arial" w:cs="Arial"/>
                <w:sz w:val="18"/>
                <w:szCs w:val="18"/>
              </w:rPr>
              <w:t xml:space="preserve"> and 9.4.3.2</w:t>
            </w:r>
            <w:r w:rsidRPr="4C8F8D0B">
              <w:rPr>
                <w:rFonts w:ascii="Arial" w:hAnsi="Arial" w:cs="Arial"/>
                <w:sz w:val="18"/>
                <w:szCs w:val="18"/>
              </w:rPr>
              <w:t>]</w:t>
            </w:r>
          </w:p>
          <w:p w14:paraId="55F5CA7B" w14:textId="77777777" w:rsidR="00A7583A" w:rsidRDefault="00A7583A" w:rsidP="00C3721C">
            <w:pPr>
              <w:jc w:val="both"/>
              <w:rPr>
                <w:rFonts w:ascii="Arial" w:hAnsi="Arial" w:cs="Arial"/>
                <w:sz w:val="18"/>
                <w:szCs w:val="18"/>
              </w:rPr>
            </w:pPr>
          </w:p>
          <w:p w14:paraId="130175BA" w14:textId="722D2991" w:rsidR="00C3721C" w:rsidRPr="008E1383" w:rsidRDefault="00D447BB" w:rsidP="00C3721C">
            <w:pPr>
              <w:jc w:val="both"/>
              <w:rPr>
                <w:rFonts w:ascii="Arial" w:hAnsi="Arial" w:cs="Arial"/>
                <w:b/>
                <w:sz w:val="18"/>
                <w:szCs w:val="18"/>
              </w:rPr>
            </w:pPr>
            <w:r w:rsidRPr="008E1383">
              <w:rPr>
                <w:rFonts w:ascii="Arial" w:hAnsi="Arial" w:cs="Arial"/>
                <w:b/>
                <w:bCs/>
                <w:sz w:val="18"/>
                <w:szCs w:val="18"/>
              </w:rPr>
              <w:t>List concentration:</w:t>
            </w:r>
          </w:p>
        </w:tc>
        <w:tc>
          <w:tcPr>
            <w:tcW w:w="448" w:type="dxa"/>
            <w:shd w:val="clear" w:color="auto" w:fill="FFFFFF" w:themeFill="background1"/>
            <w:noWrap/>
            <w:vAlign w:val="center"/>
          </w:tcPr>
          <w:p w14:paraId="3A0E0D3A"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481E4DCD" w14:textId="77777777" w:rsidR="00C3721C" w:rsidRPr="00A0149B" w:rsidRDefault="00C3721C" w:rsidP="00C3721C">
            <w:pPr>
              <w:rPr>
                <w:rFonts w:ascii="Arial" w:hAnsi="Arial" w:cs="Arial"/>
                <w:sz w:val="18"/>
                <w:szCs w:val="18"/>
              </w:rPr>
            </w:pPr>
          </w:p>
        </w:tc>
        <w:tc>
          <w:tcPr>
            <w:tcW w:w="4867" w:type="dxa"/>
            <w:gridSpan w:val="2"/>
            <w:vAlign w:val="center"/>
          </w:tcPr>
          <w:p w14:paraId="4D9B823F" w14:textId="4362B3AC" w:rsidR="00C3721C" w:rsidRDefault="003F2A9D" w:rsidP="00C3721C">
            <w:pPr>
              <w:jc w:val="both"/>
              <w:rPr>
                <w:rFonts w:ascii="Arial" w:hAnsi="Arial" w:cs="Arial"/>
                <w:sz w:val="18"/>
                <w:szCs w:val="18"/>
              </w:rPr>
            </w:pPr>
            <w:r w:rsidRPr="003F2A9D">
              <w:rPr>
                <w:rFonts w:ascii="Arial" w:hAnsi="Arial" w:cs="Arial"/>
                <w:b/>
                <w:bCs/>
                <w:sz w:val="18"/>
                <w:szCs w:val="18"/>
              </w:rPr>
              <w:t>Section 10.1.2:</w:t>
            </w:r>
            <w:r>
              <w:rPr>
                <w:rFonts w:ascii="Arial" w:hAnsi="Arial" w:cs="Arial"/>
                <w:sz w:val="18"/>
                <w:szCs w:val="18"/>
              </w:rPr>
              <w:t xml:space="preserve"> </w:t>
            </w:r>
            <w:r w:rsidR="00C3721C" w:rsidRPr="00EE3AA4">
              <w:rPr>
                <w:rFonts w:ascii="Arial" w:hAnsi="Arial" w:cs="Arial"/>
                <w:sz w:val="18"/>
                <w:szCs w:val="18"/>
              </w:rPr>
              <w:t>At a minimum, for each analytical batch (up to 20 samples of similar matrix), a beginning</w:t>
            </w:r>
            <w:r w:rsidR="00C3721C">
              <w:rPr>
                <w:rFonts w:ascii="Arial" w:hAnsi="Arial" w:cs="Arial"/>
                <w:sz w:val="18"/>
                <w:szCs w:val="18"/>
              </w:rPr>
              <w:t xml:space="preserve"> </w:t>
            </w:r>
            <w:r w:rsidR="00C3721C" w:rsidRPr="00EE3AA4">
              <w:rPr>
                <w:rFonts w:ascii="Arial" w:hAnsi="Arial" w:cs="Arial"/>
                <w:sz w:val="18"/>
                <w:szCs w:val="18"/>
              </w:rPr>
              <w:t>Initial</w:t>
            </w:r>
            <w:r w:rsidR="00C3721C">
              <w:rPr>
                <w:rFonts w:ascii="Arial" w:hAnsi="Arial" w:cs="Arial"/>
                <w:sz w:val="18"/>
                <w:szCs w:val="18"/>
              </w:rPr>
              <w:t xml:space="preserve"> </w:t>
            </w:r>
            <w:r w:rsidR="00C3721C" w:rsidRPr="00EE3AA4">
              <w:rPr>
                <w:rFonts w:ascii="Arial" w:hAnsi="Arial" w:cs="Arial"/>
                <w:sz w:val="18"/>
                <w:szCs w:val="18"/>
              </w:rPr>
              <w:t xml:space="preserve">Calibration or </w:t>
            </w:r>
            <w:r w:rsidR="00C3721C" w:rsidRPr="00DA0154">
              <w:rPr>
                <w:rFonts w:ascii="Arial" w:hAnsi="Arial" w:cs="Arial"/>
                <w:sz w:val="18"/>
                <w:szCs w:val="18"/>
              </w:rPr>
              <w:t>Opening mid-range Continuing Calibration Standard</w:t>
            </w:r>
            <w:r w:rsidR="00C3721C" w:rsidRPr="00EE3AA4">
              <w:rPr>
                <w:rFonts w:ascii="Arial" w:hAnsi="Arial" w:cs="Arial"/>
                <w:sz w:val="18"/>
                <w:szCs w:val="18"/>
              </w:rPr>
              <w:t>,</w:t>
            </w:r>
            <w:r w:rsidR="00C3721C">
              <w:rPr>
                <w:rFonts w:ascii="Arial" w:hAnsi="Arial" w:cs="Arial"/>
                <w:sz w:val="18"/>
                <w:szCs w:val="18"/>
              </w:rPr>
              <w:t xml:space="preserve"> </w:t>
            </w:r>
            <w:r w:rsidR="00C3721C" w:rsidRPr="00EE3AA4">
              <w:rPr>
                <w:rFonts w:ascii="Arial" w:hAnsi="Arial" w:cs="Arial"/>
                <w:sz w:val="18"/>
                <w:szCs w:val="18"/>
              </w:rPr>
              <w:t>closing mid-range Continuing</w:t>
            </w:r>
            <w:r w:rsidR="00C3721C">
              <w:rPr>
                <w:rFonts w:ascii="Arial" w:hAnsi="Arial" w:cs="Arial"/>
                <w:sz w:val="18"/>
                <w:szCs w:val="18"/>
              </w:rPr>
              <w:t xml:space="preserve"> </w:t>
            </w:r>
            <w:r w:rsidR="00C3721C" w:rsidRPr="00EE3AA4">
              <w:rPr>
                <w:rFonts w:ascii="Arial" w:hAnsi="Arial" w:cs="Arial"/>
                <w:sz w:val="18"/>
                <w:szCs w:val="18"/>
              </w:rPr>
              <w:t>Calibration Standard, LMB, LCS and LCSD must be analyzed.</w:t>
            </w:r>
          </w:p>
          <w:p w14:paraId="60DCDF13" w14:textId="77777777" w:rsidR="00C3721C" w:rsidRDefault="00C3721C" w:rsidP="00C3721C">
            <w:pPr>
              <w:jc w:val="both"/>
              <w:rPr>
                <w:rFonts w:ascii="Arial" w:hAnsi="Arial" w:cs="Arial"/>
                <w:sz w:val="18"/>
                <w:szCs w:val="18"/>
              </w:rPr>
            </w:pPr>
            <w:r w:rsidRPr="00DA0154">
              <w:rPr>
                <w:rFonts w:ascii="Arial" w:hAnsi="Arial" w:cs="Arial"/>
                <w:sz w:val="18"/>
                <w:szCs w:val="18"/>
              </w:rPr>
              <w:t>For analytical batches with more than 10 samples, the</w:t>
            </w:r>
            <w:r>
              <w:rPr>
                <w:rFonts w:ascii="Arial" w:hAnsi="Arial" w:cs="Arial"/>
                <w:sz w:val="18"/>
                <w:szCs w:val="18"/>
              </w:rPr>
              <w:t xml:space="preserve"> </w:t>
            </w:r>
            <w:r w:rsidRPr="00DA0154">
              <w:rPr>
                <w:rFonts w:ascii="Arial" w:hAnsi="Arial" w:cs="Arial"/>
                <w:sz w:val="18"/>
                <w:szCs w:val="18"/>
              </w:rPr>
              <w:t>analysis of an additional mid-range Continuing Calibration Standard should also be considered.</w:t>
            </w:r>
            <w:r>
              <w:rPr>
                <w:rFonts w:ascii="Arial" w:hAnsi="Arial" w:cs="Arial"/>
                <w:sz w:val="18"/>
                <w:szCs w:val="18"/>
              </w:rPr>
              <w:t xml:space="preserve"> </w:t>
            </w:r>
            <w:r w:rsidRPr="00DA0154">
              <w:rPr>
                <w:rFonts w:ascii="Arial" w:hAnsi="Arial" w:cs="Arial"/>
                <w:sz w:val="18"/>
                <w:szCs w:val="18"/>
              </w:rPr>
              <w:t>However, it should be noted that the analysis of the Continuing Calibration Standard is required</w:t>
            </w:r>
            <w:r>
              <w:rPr>
                <w:rFonts w:ascii="Arial" w:hAnsi="Arial" w:cs="Arial"/>
                <w:sz w:val="18"/>
                <w:szCs w:val="18"/>
              </w:rPr>
              <w:t xml:space="preserve"> </w:t>
            </w:r>
            <w:r w:rsidRPr="00DA0154">
              <w:rPr>
                <w:rFonts w:ascii="Arial" w:hAnsi="Arial" w:cs="Arial"/>
                <w:sz w:val="18"/>
                <w:szCs w:val="18"/>
              </w:rPr>
              <w:t>prior to</w:t>
            </w:r>
            <w:r>
              <w:rPr>
                <w:rFonts w:ascii="Arial" w:hAnsi="Arial" w:cs="Arial"/>
                <w:sz w:val="18"/>
                <w:szCs w:val="18"/>
              </w:rPr>
              <w:t xml:space="preserve"> </w:t>
            </w:r>
            <w:r w:rsidRPr="00DA0154">
              <w:rPr>
                <w:rFonts w:ascii="Arial" w:hAnsi="Arial" w:cs="Arial"/>
                <w:sz w:val="18"/>
                <w:szCs w:val="18"/>
              </w:rPr>
              <w:t>sample analysis, after every 20 samples, and at the end of an analytical sequence, at a</w:t>
            </w:r>
            <w:r>
              <w:rPr>
                <w:rFonts w:ascii="Arial" w:hAnsi="Arial" w:cs="Arial"/>
                <w:sz w:val="18"/>
                <w:szCs w:val="18"/>
              </w:rPr>
              <w:t xml:space="preserve"> </w:t>
            </w:r>
            <w:r w:rsidRPr="00DA0154">
              <w:rPr>
                <w:rFonts w:ascii="Arial" w:hAnsi="Arial" w:cs="Arial"/>
                <w:sz w:val="18"/>
                <w:szCs w:val="18"/>
              </w:rPr>
              <w:t>minimum.</w:t>
            </w:r>
          </w:p>
          <w:p w14:paraId="6FBF57C2" w14:textId="77777777" w:rsidR="00C3721C" w:rsidRDefault="00C3721C" w:rsidP="00C3721C">
            <w:pPr>
              <w:jc w:val="both"/>
              <w:rPr>
                <w:rFonts w:ascii="Arial" w:hAnsi="Arial" w:cs="Arial"/>
                <w:sz w:val="18"/>
                <w:szCs w:val="18"/>
              </w:rPr>
            </w:pPr>
          </w:p>
          <w:p w14:paraId="3C88B27C" w14:textId="77777777" w:rsidR="00C3721C" w:rsidRDefault="007170B7" w:rsidP="00C3721C">
            <w:pPr>
              <w:jc w:val="both"/>
              <w:rPr>
                <w:rFonts w:ascii="Arial" w:hAnsi="Arial" w:cs="Arial"/>
                <w:sz w:val="18"/>
                <w:szCs w:val="18"/>
              </w:rPr>
            </w:pPr>
            <w:r w:rsidRPr="007170B7">
              <w:rPr>
                <w:rFonts w:ascii="Arial" w:hAnsi="Arial" w:cs="Arial"/>
                <w:b/>
                <w:bCs/>
                <w:sz w:val="18"/>
                <w:szCs w:val="18"/>
              </w:rPr>
              <w:t>Section 3.5:</w:t>
            </w:r>
            <w:r>
              <w:rPr>
                <w:rFonts w:ascii="Arial" w:hAnsi="Arial" w:cs="Arial"/>
                <w:sz w:val="18"/>
                <w:szCs w:val="18"/>
              </w:rPr>
              <w:t xml:space="preserve"> </w:t>
            </w:r>
            <w:r w:rsidR="00C3721C" w:rsidRPr="00835313">
              <w:rPr>
                <w:rFonts w:ascii="Arial" w:hAnsi="Arial" w:cs="Arial"/>
                <w:sz w:val="18"/>
                <w:szCs w:val="18"/>
              </w:rPr>
              <w:t xml:space="preserve">The continuing calibration standard is prepared from the same stock solution as calibration </w:t>
            </w:r>
            <w:proofErr w:type="gramStart"/>
            <w:r w:rsidR="00C3721C" w:rsidRPr="00835313">
              <w:rPr>
                <w:rFonts w:ascii="Arial" w:hAnsi="Arial" w:cs="Arial"/>
                <w:sz w:val="18"/>
                <w:szCs w:val="18"/>
              </w:rPr>
              <w:t>standards, and</w:t>
            </w:r>
            <w:proofErr w:type="gramEnd"/>
            <w:r w:rsidR="00C3721C" w:rsidRPr="00835313">
              <w:rPr>
                <w:rFonts w:ascii="Arial" w:hAnsi="Arial" w:cs="Arial"/>
                <w:sz w:val="18"/>
                <w:szCs w:val="18"/>
              </w:rPr>
              <w:t xml:space="preserve"> is generally one of the mid-level range calibration standard dilutions.</w:t>
            </w:r>
          </w:p>
          <w:p w14:paraId="1CD63E0A" w14:textId="77777777" w:rsidR="008C11FF" w:rsidRDefault="008C11FF" w:rsidP="00C3721C">
            <w:pPr>
              <w:jc w:val="both"/>
              <w:rPr>
                <w:rFonts w:ascii="Arial" w:hAnsi="Arial" w:cs="Arial"/>
                <w:sz w:val="18"/>
                <w:szCs w:val="18"/>
              </w:rPr>
            </w:pPr>
          </w:p>
          <w:p w14:paraId="47C5C2CF" w14:textId="77777777" w:rsidR="008C11FF" w:rsidRPr="0005696D" w:rsidRDefault="008C11FF" w:rsidP="008C11FF">
            <w:pPr>
              <w:jc w:val="both"/>
              <w:rPr>
                <w:rFonts w:ascii="Arial" w:hAnsi="Arial" w:cs="Arial"/>
                <w:sz w:val="18"/>
                <w:szCs w:val="18"/>
              </w:rPr>
            </w:pPr>
            <w:r>
              <w:rPr>
                <w:rFonts w:ascii="Arial" w:hAnsi="Arial" w:cs="Arial"/>
                <w:b/>
                <w:bCs/>
                <w:sz w:val="18"/>
                <w:szCs w:val="18"/>
              </w:rPr>
              <w:t>Section 9.4.3.2:</w:t>
            </w:r>
            <w:r>
              <w:rPr>
                <w:rFonts w:ascii="Arial" w:hAnsi="Arial" w:cs="Arial"/>
                <w:sz w:val="18"/>
                <w:szCs w:val="18"/>
              </w:rPr>
              <w:t xml:space="preserve"> The concentration of the VPH Continuing Calibration Standard must be near the midpoint of the calibration curve.</w:t>
            </w:r>
          </w:p>
          <w:p w14:paraId="61E07D62" w14:textId="5A1A37AB" w:rsidR="00C3721C" w:rsidRPr="00A0149B" w:rsidRDefault="00C3721C" w:rsidP="00C3721C">
            <w:pPr>
              <w:jc w:val="both"/>
              <w:rPr>
                <w:rFonts w:ascii="Arial" w:hAnsi="Arial" w:cs="Arial"/>
                <w:sz w:val="18"/>
                <w:szCs w:val="18"/>
              </w:rPr>
            </w:pPr>
          </w:p>
        </w:tc>
      </w:tr>
      <w:tr w:rsidR="003F2A9D" w:rsidRPr="00A0149B" w14:paraId="1A435CFF" w14:textId="77777777" w:rsidTr="000D36DE">
        <w:trPr>
          <w:trHeight w:val="264"/>
        </w:trPr>
        <w:tc>
          <w:tcPr>
            <w:tcW w:w="529" w:type="dxa"/>
            <w:noWrap/>
            <w:vAlign w:val="center"/>
          </w:tcPr>
          <w:p w14:paraId="3C9A7114" w14:textId="77777777" w:rsidR="003F2A9D" w:rsidRPr="008D4248" w:rsidRDefault="003F2A9D" w:rsidP="003F2A9D">
            <w:pPr>
              <w:pStyle w:val="ListParagraph"/>
              <w:numPr>
                <w:ilvl w:val="0"/>
                <w:numId w:val="3"/>
              </w:numPr>
              <w:rPr>
                <w:rFonts w:ascii="Arial" w:hAnsi="Arial" w:cs="Arial"/>
                <w:sz w:val="18"/>
                <w:szCs w:val="18"/>
              </w:rPr>
            </w:pPr>
          </w:p>
        </w:tc>
        <w:tc>
          <w:tcPr>
            <w:tcW w:w="4867" w:type="dxa"/>
            <w:noWrap/>
            <w:vAlign w:val="center"/>
          </w:tcPr>
          <w:p w14:paraId="7934DCD0" w14:textId="75311452" w:rsidR="003F2A9D" w:rsidRDefault="003F2A9D" w:rsidP="003F2A9D">
            <w:pPr>
              <w:jc w:val="both"/>
              <w:rPr>
                <w:rFonts w:ascii="Arial" w:hAnsi="Arial" w:cs="Arial"/>
                <w:sz w:val="18"/>
                <w:szCs w:val="18"/>
              </w:rPr>
            </w:pPr>
            <w:r w:rsidRPr="00A74401">
              <w:rPr>
                <w:rFonts w:ascii="Arial" w:hAnsi="Arial" w:cs="Arial"/>
                <w:sz w:val="18"/>
                <w:szCs w:val="18"/>
              </w:rPr>
              <w:t>What is the acceptance criteri</w:t>
            </w:r>
            <w:r>
              <w:rPr>
                <w:rFonts w:ascii="Arial" w:hAnsi="Arial" w:cs="Arial"/>
                <w:sz w:val="18"/>
                <w:szCs w:val="18"/>
              </w:rPr>
              <w:t>on</w:t>
            </w:r>
            <w:r w:rsidRPr="00A74401">
              <w:rPr>
                <w:rFonts w:ascii="Arial" w:hAnsi="Arial" w:cs="Arial"/>
                <w:sz w:val="18"/>
                <w:szCs w:val="18"/>
              </w:rPr>
              <w:t xml:space="preserve"> for </w:t>
            </w:r>
            <w:r w:rsidR="00291C76">
              <w:rPr>
                <w:rFonts w:ascii="Arial" w:hAnsi="Arial" w:cs="Arial"/>
                <w:sz w:val="18"/>
                <w:szCs w:val="18"/>
              </w:rPr>
              <w:t xml:space="preserve">accuracy </w:t>
            </w:r>
            <w:r w:rsidR="0038316F">
              <w:rPr>
                <w:rFonts w:ascii="Arial" w:hAnsi="Arial" w:cs="Arial"/>
                <w:sz w:val="18"/>
                <w:szCs w:val="18"/>
              </w:rPr>
              <w:t xml:space="preserve">for </w:t>
            </w:r>
            <w:r w:rsidRPr="00A74401">
              <w:rPr>
                <w:rFonts w:ascii="Arial" w:hAnsi="Arial" w:cs="Arial"/>
                <w:sz w:val="18"/>
                <w:szCs w:val="18"/>
              </w:rPr>
              <w:t xml:space="preserve">the </w:t>
            </w:r>
            <w:r w:rsidRPr="003F625E">
              <w:rPr>
                <w:rFonts w:ascii="Arial" w:hAnsi="Arial" w:cs="Arial"/>
                <w:sz w:val="18"/>
                <w:szCs w:val="18"/>
              </w:rPr>
              <w:t>Continuing Calibration Standard</w:t>
            </w:r>
            <w:r w:rsidRPr="00A74401">
              <w:rPr>
                <w:rFonts w:ascii="Arial" w:hAnsi="Arial" w:cs="Arial"/>
                <w:sz w:val="18"/>
                <w:szCs w:val="18"/>
              </w:rPr>
              <w:t>?</w:t>
            </w:r>
            <w:r>
              <w:t xml:space="preserve"> </w:t>
            </w:r>
            <w:r w:rsidRPr="003F625E">
              <w:rPr>
                <w:rFonts w:ascii="Arial" w:hAnsi="Arial" w:cs="Arial"/>
                <w:sz w:val="18"/>
                <w:szCs w:val="18"/>
              </w:rPr>
              <w:t>[MADEP VPH Rev. 2.1 (Feb 2018) Section 10.</w:t>
            </w:r>
            <w:r>
              <w:rPr>
                <w:rFonts w:ascii="Arial" w:hAnsi="Arial" w:cs="Arial"/>
                <w:sz w:val="18"/>
                <w:szCs w:val="18"/>
              </w:rPr>
              <w:t>2.5.2</w:t>
            </w:r>
            <w:r w:rsidRPr="003F625E">
              <w:rPr>
                <w:rFonts w:ascii="Arial" w:hAnsi="Arial" w:cs="Arial"/>
                <w:sz w:val="18"/>
                <w:szCs w:val="18"/>
              </w:rPr>
              <w:t>]</w:t>
            </w:r>
            <w:r>
              <w:rPr>
                <w:rFonts w:ascii="Arial" w:hAnsi="Arial" w:cs="Arial"/>
                <w:sz w:val="18"/>
                <w:szCs w:val="18"/>
              </w:rPr>
              <w:t xml:space="preserve"> </w:t>
            </w:r>
          </w:p>
          <w:p w14:paraId="6D8A3EDA" w14:textId="77777777" w:rsidR="003F2A9D" w:rsidRDefault="003F2A9D" w:rsidP="003F2A9D">
            <w:pPr>
              <w:jc w:val="both"/>
              <w:rPr>
                <w:rFonts w:ascii="Arial" w:hAnsi="Arial" w:cs="Arial"/>
                <w:sz w:val="18"/>
                <w:szCs w:val="18"/>
              </w:rPr>
            </w:pPr>
          </w:p>
          <w:p w14:paraId="394C9E59" w14:textId="77777777" w:rsidR="003F2A9D" w:rsidRPr="00F651AF" w:rsidRDefault="003F2A9D" w:rsidP="003F2A9D">
            <w:pPr>
              <w:jc w:val="both"/>
              <w:rPr>
                <w:rFonts w:ascii="Arial" w:hAnsi="Arial" w:cs="Arial"/>
                <w:b/>
                <w:bCs/>
                <w:sz w:val="18"/>
                <w:szCs w:val="18"/>
              </w:rPr>
            </w:pPr>
            <w:r w:rsidRPr="00F651AF">
              <w:rPr>
                <w:rFonts w:ascii="Arial" w:hAnsi="Arial" w:cs="Arial"/>
                <w:b/>
                <w:bCs/>
                <w:sz w:val="18"/>
                <w:szCs w:val="18"/>
              </w:rPr>
              <w:t>Answer:</w:t>
            </w:r>
          </w:p>
          <w:p w14:paraId="29DF7CB9" w14:textId="77777777" w:rsidR="003F2A9D" w:rsidRDefault="003F2A9D" w:rsidP="003F2A9D">
            <w:pPr>
              <w:jc w:val="both"/>
              <w:rPr>
                <w:rFonts w:ascii="Arial" w:hAnsi="Arial" w:cs="Arial"/>
                <w:sz w:val="18"/>
                <w:szCs w:val="18"/>
              </w:rPr>
            </w:pPr>
          </w:p>
          <w:p w14:paraId="5F69B841" w14:textId="77777777" w:rsidR="003F2A9D" w:rsidRDefault="003F2A9D" w:rsidP="003F2A9D">
            <w:pPr>
              <w:jc w:val="both"/>
              <w:rPr>
                <w:rFonts w:ascii="Arial" w:hAnsi="Arial" w:cs="Arial"/>
                <w:sz w:val="18"/>
                <w:szCs w:val="18"/>
              </w:rPr>
            </w:pPr>
          </w:p>
          <w:p w14:paraId="0EB2521C" w14:textId="77777777" w:rsidR="003F2A9D" w:rsidRDefault="003F2A9D" w:rsidP="003F2A9D">
            <w:pPr>
              <w:jc w:val="both"/>
              <w:rPr>
                <w:rFonts w:ascii="Arial" w:hAnsi="Arial" w:cs="Arial"/>
                <w:sz w:val="18"/>
                <w:szCs w:val="18"/>
              </w:rPr>
            </w:pPr>
          </w:p>
          <w:p w14:paraId="0BF0E489" w14:textId="0103EAC3" w:rsidR="003F2A9D" w:rsidRPr="4C8F8D0B" w:rsidRDefault="003F2A9D" w:rsidP="003F2A9D">
            <w:pPr>
              <w:jc w:val="both"/>
              <w:rPr>
                <w:rFonts w:ascii="Arial" w:hAnsi="Arial" w:cs="Arial"/>
                <w:sz w:val="18"/>
                <w:szCs w:val="18"/>
              </w:rPr>
            </w:pPr>
          </w:p>
        </w:tc>
        <w:tc>
          <w:tcPr>
            <w:tcW w:w="448" w:type="dxa"/>
            <w:shd w:val="clear" w:color="auto" w:fill="D9D9D9" w:themeFill="background1" w:themeFillShade="D9"/>
            <w:noWrap/>
            <w:vAlign w:val="center"/>
          </w:tcPr>
          <w:p w14:paraId="337C0E33" w14:textId="77777777" w:rsidR="003F2A9D" w:rsidRPr="00A0149B" w:rsidRDefault="003F2A9D" w:rsidP="003F2A9D">
            <w:pPr>
              <w:rPr>
                <w:rFonts w:ascii="Arial" w:hAnsi="Arial" w:cs="Arial"/>
                <w:sz w:val="18"/>
                <w:szCs w:val="18"/>
              </w:rPr>
            </w:pPr>
          </w:p>
        </w:tc>
        <w:tc>
          <w:tcPr>
            <w:tcW w:w="448" w:type="dxa"/>
            <w:shd w:val="clear" w:color="auto" w:fill="FFFFFF" w:themeFill="background1"/>
            <w:noWrap/>
            <w:vAlign w:val="center"/>
          </w:tcPr>
          <w:p w14:paraId="3939775F" w14:textId="77777777" w:rsidR="003F2A9D" w:rsidRPr="00A0149B" w:rsidRDefault="003F2A9D" w:rsidP="003F2A9D">
            <w:pPr>
              <w:rPr>
                <w:rFonts w:ascii="Arial" w:hAnsi="Arial" w:cs="Arial"/>
                <w:sz w:val="18"/>
                <w:szCs w:val="18"/>
              </w:rPr>
            </w:pPr>
          </w:p>
        </w:tc>
        <w:tc>
          <w:tcPr>
            <w:tcW w:w="4867" w:type="dxa"/>
            <w:gridSpan w:val="2"/>
            <w:vAlign w:val="center"/>
          </w:tcPr>
          <w:p w14:paraId="6CA53DDE" w14:textId="7EAA13DB" w:rsidR="003F2A9D" w:rsidRPr="00EE3AA4" w:rsidRDefault="003F2A9D" w:rsidP="003F2A9D">
            <w:pPr>
              <w:jc w:val="both"/>
              <w:rPr>
                <w:rFonts w:ascii="Arial" w:hAnsi="Arial" w:cs="Arial"/>
                <w:sz w:val="18"/>
                <w:szCs w:val="18"/>
              </w:rPr>
            </w:pPr>
            <w:r w:rsidRPr="003F625E">
              <w:rPr>
                <w:rFonts w:ascii="Arial" w:hAnsi="Arial" w:cs="Arial"/>
                <w:sz w:val="18"/>
                <w:szCs w:val="18"/>
              </w:rPr>
              <w:t>For</w:t>
            </w:r>
            <w:r>
              <w:rPr>
                <w:rFonts w:ascii="Arial" w:hAnsi="Arial" w:cs="Arial"/>
                <w:sz w:val="18"/>
                <w:szCs w:val="18"/>
              </w:rPr>
              <w:t xml:space="preserve"> </w:t>
            </w:r>
            <w:r w:rsidRPr="003F625E">
              <w:rPr>
                <w:rFonts w:ascii="Arial" w:hAnsi="Arial" w:cs="Arial" w:hint="eastAsia"/>
                <w:sz w:val="18"/>
                <w:szCs w:val="18"/>
              </w:rPr>
              <w:t xml:space="preserve">Target VPH Analytes and the surrogate, the %D or Percent Drift must be </w:t>
            </w:r>
            <w:r>
              <w:rPr>
                <w:rFonts w:ascii="Arial" w:hAnsi="Arial" w:cs="Arial"/>
                <w:sz w:val="18"/>
                <w:szCs w:val="18"/>
              </w:rPr>
              <w:t xml:space="preserve">≤ </w:t>
            </w:r>
            <w:r w:rsidRPr="003F625E">
              <w:rPr>
                <w:rFonts w:ascii="Arial" w:hAnsi="Arial" w:cs="Arial" w:hint="eastAsia"/>
                <w:sz w:val="18"/>
                <w:szCs w:val="18"/>
              </w:rPr>
              <w:t>20. For</w:t>
            </w:r>
            <w:r>
              <w:rPr>
                <w:rFonts w:ascii="Arial" w:hAnsi="Arial" w:cs="Arial"/>
                <w:sz w:val="18"/>
                <w:szCs w:val="18"/>
              </w:rPr>
              <w:t xml:space="preserve"> </w:t>
            </w:r>
            <w:r w:rsidRPr="003F625E">
              <w:rPr>
                <w:rFonts w:ascii="Arial" w:hAnsi="Arial" w:cs="Arial" w:hint="eastAsia"/>
                <w:sz w:val="18"/>
                <w:szCs w:val="18"/>
              </w:rPr>
              <w:t xml:space="preserve">hydrocarbon ranges, the %D or Percent Drift must be </w:t>
            </w:r>
            <w:r>
              <w:rPr>
                <w:rFonts w:ascii="Arial" w:hAnsi="Arial" w:cs="Arial"/>
                <w:sz w:val="18"/>
                <w:szCs w:val="18"/>
              </w:rPr>
              <w:t>≤</w:t>
            </w:r>
            <w:r w:rsidRPr="003F625E">
              <w:rPr>
                <w:rFonts w:ascii="Arial" w:hAnsi="Arial" w:cs="Arial" w:hint="eastAsia"/>
                <w:sz w:val="18"/>
                <w:szCs w:val="18"/>
              </w:rPr>
              <w:t xml:space="preserve"> 25. Greater %Ds or Percent</w:t>
            </w:r>
            <w:r>
              <w:rPr>
                <w:rFonts w:ascii="Arial" w:hAnsi="Arial" w:cs="Arial"/>
                <w:sz w:val="18"/>
                <w:szCs w:val="18"/>
              </w:rPr>
              <w:t xml:space="preserve"> </w:t>
            </w:r>
            <w:r w:rsidRPr="003F625E">
              <w:rPr>
                <w:rFonts w:ascii="Arial" w:hAnsi="Arial" w:cs="Arial"/>
                <w:sz w:val="18"/>
                <w:szCs w:val="18"/>
              </w:rPr>
              <w:t>Drifts are permissible for n-nonane (if included in the calibration of the C9 – C12</w:t>
            </w:r>
            <w:r>
              <w:rPr>
                <w:rFonts w:ascii="Arial" w:hAnsi="Arial" w:cs="Arial"/>
                <w:sz w:val="18"/>
                <w:szCs w:val="18"/>
              </w:rPr>
              <w:t xml:space="preserve"> </w:t>
            </w:r>
            <w:r w:rsidRPr="003F625E">
              <w:rPr>
                <w:rFonts w:ascii="Arial" w:hAnsi="Arial" w:cs="Arial"/>
                <w:sz w:val="18"/>
                <w:szCs w:val="18"/>
              </w:rPr>
              <w:t>aliphatic range). If the %D or Percent Drift is &gt; 30 for n-nonane,</w:t>
            </w:r>
            <w:r>
              <w:rPr>
                <w:rFonts w:ascii="Arial" w:hAnsi="Arial" w:cs="Arial"/>
                <w:sz w:val="18"/>
                <w:szCs w:val="18"/>
              </w:rPr>
              <w:t xml:space="preserve"> </w:t>
            </w:r>
            <w:r w:rsidRPr="003F625E">
              <w:rPr>
                <w:rFonts w:ascii="Arial" w:hAnsi="Arial" w:cs="Arial"/>
                <w:sz w:val="18"/>
                <w:szCs w:val="18"/>
              </w:rPr>
              <w:t>note the</w:t>
            </w:r>
            <w:r>
              <w:t xml:space="preserve"> </w:t>
            </w:r>
            <w:r w:rsidRPr="003F625E">
              <w:rPr>
                <w:rFonts w:ascii="Arial" w:hAnsi="Arial" w:cs="Arial"/>
                <w:sz w:val="18"/>
                <w:szCs w:val="18"/>
              </w:rPr>
              <w:t>nonconformance in the laboratory narrative.</w:t>
            </w:r>
          </w:p>
        </w:tc>
      </w:tr>
      <w:tr w:rsidR="003F2A9D" w:rsidRPr="00A0149B" w14:paraId="57F63C5A" w14:textId="77777777" w:rsidTr="000D36DE">
        <w:trPr>
          <w:trHeight w:val="264"/>
        </w:trPr>
        <w:tc>
          <w:tcPr>
            <w:tcW w:w="529" w:type="dxa"/>
            <w:noWrap/>
            <w:vAlign w:val="center"/>
          </w:tcPr>
          <w:p w14:paraId="75761950" w14:textId="77777777" w:rsidR="003F2A9D" w:rsidRPr="008D4248" w:rsidRDefault="003F2A9D" w:rsidP="003F2A9D">
            <w:pPr>
              <w:pStyle w:val="ListParagraph"/>
              <w:numPr>
                <w:ilvl w:val="0"/>
                <w:numId w:val="3"/>
              </w:numPr>
              <w:rPr>
                <w:rFonts w:ascii="Arial" w:hAnsi="Arial" w:cs="Arial"/>
                <w:sz w:val="18"/>
                <w:szCs w:val="18"/>
              </w:rPr>
            </w:pPr>
          </w:p>
        </w:tc>
        <w:tc>
          <w:tcPr>
            <w:tcW w:w="4867" w:type="dxa"/>
            <w:noWrap/>
            <w:vAlign w:val="center"/>
          </w:tcPr>
          <w:p w14:paraId="6187EC3F" w14:textId="36CABAEE" w:rsidR="003F2A9D" w:rsidRDefault="003F2A9D" w:rsidP="003F2A9D">
            <w:pPr>
              <w:jc w:val="both"/>
              <w:rPr>
                <w:rFonts w:ascii="Arial" w:hAnsi="Arial" w:cs="Arial"/>
                <w:sz w:val="18"/>
                <w:szCs w:val="18"/>
              </w:rPr>
            </w:pPr>
            <w:r>
              <w:rPr>
                <w:rFonts w:ascii="Arial" w:hAnsi="Arial" w:cs="Arial"/>
                <w:sz w:val="18"/>
                <w:szCs w:val="18"/>
              </w:rPr>
              <w:t>What corrective actions are taken if the Continuing Calibration Standard exceeds the acceptance criterion</w:t>
            </w:r>
            <w:r w:rsidR="00744EF9">
              <w:rPr>
                <w:rFonts w:ascii="Arial" w:hAnsi="Arial" w:cs="Arial"/>
                <w:sz w:val="18"/>
                <w:szCs w:val="18"/>
              </w:rPr>
              <w:t xml:space="preserve"> for accuracy</w:t>
            </w:r>
            <w:r>
              <w:rPr>
                <w:rFonts w:ascii="Arial" w:hAnsi="Arial" w:cs="Arial"/>
                <w:sz w:val="18"/>
                <w:szCs w:val="18"/>
              </w:rPr>
              <w:t xml:space="preserve">? </w:t>
            </w:r>
            <w:r w:rsidRPr="003F625E">
              <w:rPr>
                <w:rFonts w:ascii="Arial" w:hAnsi="Arial" w:cs="Arial"/>
                <w:sz w:val="18"/>
                <w:szCs w:val="18"/>
              </w:rPr>
              <w:t>[MADEP VPH Rev. 2.1 (Feb 2018) Section 10.</w:t>
            </w:r>
            <w:r>
              <w:rPr>
                <w:rFonts w:ascii="Arial" w:hAnsi="Arial" w:cs="Arial"/>
                <w:sz w:val="18"/>
                <w:szCs w:val="18"/>
              </w:rPr>
              <w:t>2.5.2</w:t>
            </w:r>
            <w:r w:rsidRPr="003F625E">
              <w:rPr>
                <w:rFonts w:ascii="Arial" w:hAnsi="Arial" w:cs="Arial"/>
                <w:sz w:val="18"/>
                <w:szCs w:val="18"/>
              </w:rPr>
              <w:t>]</w:t>
            </w:r>
          </w:p>
          <w:p w14:paraId="497C4E42" w14:textId="77777777" w:rsidR="003F2A9D" w:rsidRDefault="003F2A9D" w:rsidP="003F2A9D">
            <w:pPr>
              <w:jc w:val="both"/>
              <w:rPr>
                <w:rFonts w:ascii="Arial" w:hAnsi="Arial" w:cs="Arial"/>
                <w:sz w:val="18"/>
                <w:szCs w:val="18"/>
              </w:rPr>
            </w:pPr>
          </w:p>
          <w:p w14:paraId="2E64DF8D" w14:textId="77777777" w:rsidR="003F2A9D" w:rsidRPr="007170B7" w:rsidRDefault="003F2A9D" w:rsidP="003F2A9D">
            <w:pPr>
              <w:jc w:val="both"/>
              <w:rPr>
                <w:rFonts w:ascii="Arial" w:hAnsi="Arial" w:cs="Arial"/>
                <w:b/>
                <w:bCs/>
                <w:sz w:val="18"/>
                <w:szCs w:val="18"/>
              </w:rPr>
            </w:pPr>
            <w:r w:rsidRPr="007170B7">
              <w:rPr>
                <w:rFonts w:ascii="Arial" w:hAnsi="Arial" w:cs="Arial"/>
                <w:b/>
                <w:bCs/>
                <w:sz w:val="18"/>
                <w:szCs w:val="18"/>
              </w:rPr>
              <w:t>Answer:</w:t>
            </w:r>
          </w:p>
          <w:p w14:paraId="547E285D" w14:textId="77777777" w:rsidR="003F2A9D" w:rsidRDefault="003F2A9D" w:rsidP="003F2A9D">
            <w:pPr>
              <w:jc w:val="both"/>
              <w:rPr>
                <w:rFonts w:ascii="Arial" w:hAnsi="Arial" w:cs="Arial"/>
                <w:sz w:val="18"/>
                <w:szCs w:val="18"/>
              </w:rPr>
            </w:pPr>
          </w:p>
          <w:p w14:paraId="3CF7C34F" w14:textId="77777777" w:rsidR="003F2A9D" w:rsidRDefault="003F2A9D" w:rsidP="003F2A9D">
            <w:pPr>
              <w:jc w:val="both"/>
              <w:rPr>
                <w:rFonts w:ascii="Arial" w:hAnsi="Arial" w:cs="Arial"/>
                <w:sz w:val="18"/>
                <w:szCs w:val="18"/>
              </w:rPr>
            </w:pPr>
          </w:p>
          <w:p w14:paraId="4EB60AB2" w14:textId="5288A77C" w:rsidR="003F2A9D" w:rsidRPr="00A74401" w:rsidRDefault="003F2A9D" w:rsidP="003F2A9D">
            <w:pPr>
              <w:jc w:val="both"/>
              <w:rPr>
                <w:rFonts w:ascii="Arial" w:hAnsi="Arial" w:cs="Arial"/>
                <w:sz w:val="18"/>
                <w:szCs w:val="18"/>
              </w:rPr>
            </w:pPr>
          </w:p>
        </w:tc>
        <w:tc>
          <w:tcPr>
            <w:tcW w:w="448" w:type="dxa"/>
            <w:shd w:val="clear" w:color="auto" w:fill="D9D9D9" w:themeFill="background1" w:themeFillShade="D9"/>
            <w:noWrap/>
            <w:vAlign w:val="center"/>
          </w:tcPr>
          <w:p w14:paraId="38C53996" w14:textId="77777777" w:rsidR="003F2A9D" w:rsidRPr="00A0149B" w:rsidRDefault="003F2A9D" w:rsidP="003F2A9D">
            <w:pPr>
              <w:rPr>
                <w:rFonts w:ascii="Arial" w:hAnsi="Arial" w:cs="Arial"/>
                <w:sz w:val="18"/>
                <w:szCs w:val="18"/>
              </w:rPr>
            </w:pPr>
          </w:p>
        </w:tc>
        <w:tc>
          <w:tcPr>
            <w:tcW w:w="448" w:type="dxa"/>
            <w:shd w:val="clear" w:color="auto" w:fill="FFFFFF" w:themeFill="background1"/>
            <w:noWrap/>
            <w:vAlign w:val="center"/>
          </w:tcPr>
          <w:p w14:paraId="013F110E" w14:textId="77777777" w:rsidR="003F2A9D" w:rsidRPr="00A0149B" w:rsidRDefault="003F2A9D" w:rsidP="003F2A9D">
            <w:pPr>
              <w:rPr>
                <w:rFonts w:ascii="Arial" w:hAnsi="Arial" w:cs="Arial"/>
                <w:sz w:val="18"/>
                <w:szCs w:val="18"/>
              </w:rPr>
            </w:pPr>
          </w:p>
        </w:tc>
        <w:tc>
          <w:tcPr>
            <w:tcW w:w="4867" w:type="dxa"/>
            <w:gridSpan w:val="2"/>
            <w:vAlign w:val="center"/>
          </w:tcPr>
          <w:p w14:paraId="6B7DE63A" w14:textId="17C33872" w:rsidR="003F2A9D" w:rsidRPr="003F625E" w:rsidRDefault="003F2A9D" w:rsidP="003F2A9D">
            <w:pPr>
              <w:jc w:val="both"/>
              <w:rPr>
                <w:rFonts w:ascii="Arial" w:hAnsi="Arial" w:cs="Arial"/>
                <w:sz w:val="18"/>
                <w:szCs w:val="18"/>
              </w:rPr>
            </w:pPr>
            <w:r>
              <w:rPr>
                <w:rFonts w:ascii="Arial" w:hAnsi="Arial" w:cs="Arial"/>
                <w:sz w:val="18"/>
                <w:szCs w:val="18"/>
              </w:rPr>
              <w:t>If more than one Target VPH Analyte or hydrocarbon range fails to meet this criterion, the instrument must be recalibrated. Otherwise, sample analysis may proceed.</w:t>
            </w:r>
          </w:p>
        </w:tc>
      </w:tr>
      <w:tr w:rsidR="00136E5C" w:rsidRPr="00A0149B" w14:paraId="1C31FD63" w14:textId="77777777" w:rsidTr="000D36DE">
        <w:trPr>
          <w:trHeight w:val="264"/>
        </w:trPr>
        <w:tc>
          <w:tcPr>
            <w:tcW w:w="529" w:type="dxa"/>
            <w:noWrap/>
            <w:vAlign w:val="center"/>
          </w:tcPr>
          <w:p w14:paraId="1D9F358A" w14:textId="77777777" w:rsidR="00136E5C" w:rsidRPr="008D4248" w:rsidRDefault="00136E5C" w:rsidP="003F2A9D">
            <w:pPr>
              <w:pStyle w:val="ListParagraph"/>
              <w:numPr>
                <w:ilvl w:val="0"/>
                <w:numId w:val="3"/>
              </w:numPr>
              <w:rPr>
                <w:rFonts w:ascii="Arial" w:hAnsi="Arial" w:cs="Arial"/>
                <w:sz w:val="18"/>
                <w:szCs w:val="18"/>
              </w:rPr>
            </w:pPr>
          </w:p>
        </w:tc>
        <w:tc>
          <w:tcPr>
            <w:tcW w:w="4867" w:type="dxa"/>
            <w:noWrap/>
            <w:vAlign w:val="center"/>
          </w:tcPr>
          <w:p w14:paraId="7FD5AB39" w14:textId="020D1014" w:rsidR="00136E5C" w:rsidRDefault="006566DF" w:rsidP="003F2A9D">
            <w:pPr>
              <w:jc w:val="both"/>
              <w:rPr>
                <w:rFonts w:ascii="Arial" w:hAnsi="Arial" w:cs="Arial"/>
                <w:sz w:val="18"/>
                <w:szCs w:val="18"/>
              </w:rPr>
            </w:pPr>
            <w:r>
              <w:rPr>
                <w:rFonts w:ascii="Arial" w:hAnsi="Arial" w:cs="Arial"/>
                <w:sz w:val="18"/>
                <w:szCs w:val="18"/>
              </w:rPr>
              <w:t xml:space="preserve">Are the </w:t>
            </w:r>
            <w:r w:rsidR="00264044">
              <w:rPr>
                <w:rFonts w:ascii="Arial" w:hAnsi="Arial" w:cs="Arial"/>
                <w:sz w:val="18"/>
                <w:szCs w:val="18"/>
              </w:rPr>
              <w:t>Relative Retention Times verified and/or adjust</w:t>
            </w:r>
            <w:r w:rsidR="008F1F7B">
              <w:rPr>
                <w:rFonts w:ascii="Arial" w:hAnsi="Arial" w:cs="Arial"/>
                <w:sz w:val="18"/>
                <w:szCs w:val="18"/>
              </w:rPr>
              <w:t>ed</w:t>
            </w:r>
            <w:r w:rsidR="00264044">
              <w:rPr>
                <w:rFonts w:ascii="Arial" w:hAnsi="Arial" w:cs="Arial"/>
                <w:sz w:val="18"/>
                <w:szCs w:val="18"/>
              </w:rPr>
              <w:t xml:space="preserve"> </w:t>
            </w:r>
            <w:r w:rsidR="00CA0B71">
              <w:rPr>
                <w:rFonts w:ascii="Arial" w:hAnsi="Arial" w:cs="Arial"/>
                <w:sz w:val="18"/>
                <w:szCs w:val="18"/>
              </w:rPr>
              <w:t>daily</w:t>
            </w:r>
            <w:r w:rsidR="00D12CD1">
              <w:rPr>
                <w:rFonts w:ascii="Arial" w:hAnsi="Arial" w:cs="Arial"/>
                <w:sz w:val="18"/>
                <w:szCs w:val="18"/>
              </w:rPr>
              <w:t xml:space="preserve"> based on the Opening Continuing Calibration Standard</w:t>
            </w:r>
            <w:r w:rsidR="00CA0B71">
              <w:rPr>
                <w:rFonts w:ascii="Arial" w:hAnsi="Arial" w:cs="Arial"/>
                <w:sz w:val="18"/>
                <w:szCs w:val="18"/>
              </w:rPr>
              <w:t xml:space="preserve">? </w:t>
            </w:r>
            <w:r w:rsidR="00CA0B71" w:rsidRPr="00EE3AA4">
              <w:rPr>
                <w:rFonts w:ascii="Arial" w:hAnsi="Arial"/>
                <w:spacing w:val="-2"/>
                <w:sz w:val="18"/>
                <w:szCs w:val="18"/>
              </w:rPr>
              <w:t>[MADEP VPH Rev. 2.1 (Feb 2018) Section</w:t>
            </w:r>
            <w:r w:rsidR="00481C2E">
              <w:rPr>
                <w:rFonts w:ascii="Arial" w:hAnsi="Arial"/>
                <w:spacing w:val="-2"/>
                <w:sz w:val="18"/>
                <w:szCs w:val="18"/>
              </w:rPr>
              <w:t>s</w:t>
            </w:r>
            <w:r w:rsidR="00CA0B71" w:rsidRPr="00EE3AA4">
              <w:rPr>
                <w:rFonts w:ascii="Arial" w:hAnsi="Arial"/>
                <w:spacing w:val="-2"/>
                <w:sz w:val="18"/>
                <w:szCs w:val="18"/>
              </w:rPr>
              <w:t xml:space="preserve"> 10.</w:t>
            </w:r>
            <w:r w:rsidR="00CA0B71">
              <w:rPr>
                <w:rFonts w:ascii="Arial" w:hAnsi="Arial"/>
                <w:spacing w:val="-2"/>
                <w:sz w:val="18"/>
                <w:szCs w:val="18"/>
              </w:rPr>
              <w:t>2.4</w:t>
            </w:r>
            <w:r w:rsidR="00481C2E">
              <w:rPr>
                <w:rFonts w:ascii="Arial" w:hAnsi="Arial"/>
                <w:spacing w:val="-2"/>
                <w:sz w:val="18"/>
                <w:szCs w:val="18"/>
              </w:rPr>
              <w:t xml:space="preserve"> and 9.4.4</w:t>
            </w:r>
            <w:r w:rsidR="00CA0B71" w:rsidRPr="00EE3AA4">
              <w:rPr>
                <w:rFonts w:ascii="Arial" w:hAnsi="Arial"/>
                <w:spacing w:val="-2"/>
                <w:sz w:val="18"/>
                <w:szCs w:val="18"/>
              </w:rPr>
              <w:t>]</w:t>
            </w:r>
          </w:p>
        </w:tc>
        <w:tc>
          <w:tcPr>
            <w:tcW w:w="448" w:type="dxa"/>
            <w:noWrap/>
            <w:vAlign w:val="center"/>
          </w:tcPr>
          <w:p w14:paraId="43169D79" w14:textId="77777777" w:rsidR="00136E5C" w:rsidRPr="00A0149B" w:rsidRDefault="00136E5C" w:rsidP="003F2A9D">
            <w:pPr>
              <w:rPr>
                <w:rFonts w:ascii="Arial" w:hAnsi="Arial" w:cs="Arial"/>
                <w:sz w:val="18"/>
                <w:szCs w:val="18"/>
              </w:rPr>
            </w:pPr>
          </w:p>
        </w:tc>
        <w:tc>
          <w:tcPr>
            <w:tcW w:w="448" w:type="dxa"/>
            <w:shd w:val="clear" w:color="auto" w:fill="FFFFFF" w:themeFill="background1"/>
            <w:noWrap/>
            <w:vAlign w:val="center"/>
          </w:tcPr>
          <w:p w14:paraId="55A3F6DC" w14:textId="77777777" w:rsidR="00136E5C" w:rsidRPr="00A0149B" w:rsidRDefault="00136E5C" w:rsidP="003F2A9D">
            <w:pPr>
              <w:rPr>
                <w:rFonts w:ascii="Arial" w:hAnsi="Arial" w:cs="Arial"/>
                <w:sz w:val="18"/>
                <w:szCs w:val="18"/>
              </w:rPr>
            </w:pPr>
          </w:p>
        </w:tc>
        <w:tc>
          <w:tcPr>
            <w:tcW w:w="4867" w:type="dxa"/>
            <w:gridSpan w:val="2"/>
            <w:vAlign w:val="center"/>
          </w:tcPr>
          <w:p w14:paraId="758B8F3E" w14:textId="75F6494F" w:rsidR="00136E5C" w:rsidRDefault="00481C2E" w:rsidP="003F2A9D">
            <w:pPr>
              <w:jc w:val="both"/>
              <w:rPr>
                <w:rFonts w:ascii="Arial" w:hAnsi="Arial" w:cs="Arial"/>
                <w:sz w:val="18"/>
                <w:szCs w:val="18"/>
              </w:rPr>
            </w:pPr>
            <w:r>
              <w:rPr>
                <w:rFonts w:ascii="Arial" w:hAnsi="Arial" w:cs="Arial"/>
                <w:b/>
                <w:bCs/>
                <w:sz w:val="18"/>
                <w:szCs w:val="18"/>
              </w:rPr>
              <w:t xml:space="preserve">Section 10.2.4: </w:t>
            </w:r>
            <w:r w:rsidR="003C438E">
              <w:rPr>
                <w:rFonts w:ascii="Arial" w:hAnsi="Arial" w:cs="Arial"/>
                <w:sz w:val="18"/>
                <w:szCs w:val="18"/>
              </w:rPr>
              <w:t>Relative Retention Times must be established for each Target VPH Analyte and hydrocarbon range of interest each time a new GC column</w:t>
            </w:r>
            <w:r w:rsidR="002F4963">
              <w:rPr>
                <w:rFonts w:ascii="Arial" w:hAnsi="Arial" w:cs="Arial"/>
                <w:sz w:val="18"/>
                <w:szCs w:val="18"/>
              </w:rPr>
              <w:t xml:space="preserve"> is installed and must be verified and/or adjusted </w:t>
            </w:r>
            <w:proofErr w:type="gramStart"/>
            <w:r w:rsidR="002F4963">
              <w:rPr>
                <w:rFonts w:ascii="Arial" w:hAnsi="Arial" w:cs="Arial"/>
                <w:sz w:val="18"/>
                <w:szCs w:val="18"/>
              </w:rPr>
              <w:t>on a daily basis</w:t>
            </w:r>
            <w:proofErr w:type="gramEnd"/>
            <w:r w:rsidR="00E44DBF">
              <w:rPr>
                <w:rFonts w:ascii="Arial" w:hAnsi="Arial" w:cs="Arial"/>
                <w:sz w:val="18"/>
                <w:szCs w:val="18"/>
              </w:rPr>
              <w:t>.</w:t>
            </w:r>
            <w:r w:rsidR="002F4963">
              <w:rPr>
                <w:rFonts w:ascii="Arial" w:hAnsi="Arial" w:cs="Arial"/>
                <w:sz w:val="18"/>
                <w:szCs w:val="18"/>
              </w:rPr>
              <w:t xml:space="preserve"> (See Sections 9.3 and 9.4.4)</w:t>
            </w:r>
            <w:r w:rsidR="00E44DBF">
              <w:rPr>
                <w:rFonts w:ascii="Arial" w:hAnsi="Arial" w:cs="Arial"/>
                <w:sz w:val="18"/>
                <w:szCs w:val="18"/>
              </w:rPr>
              <w:t>.</w:t>
            </w:r>
          </w:p>
          <w:p w14:paraId="25BCFFCB" w14:textId="77777777" w:rsidR="007947C3" w:rsidRDefault="007947C3" w:rsidP="003F2A9D">
            <w:pPr>
              <w:jc w:val="both"/>
              <w:rPr>
                <w:rFonts w:ascii="Arial" w:hAnsi="Arial" w:cs="Arial"/>
                <w:sz w:val="18"/>
                <w:szCs w:val="18"/>
              </w:rPr>
            </w:pPr>
          </w:p>
          <w:p w14:paraId="0E422FD7" w14:textId="1273C831" w:rsidR="007947C3" w:rsidRDefault="005447CE" w:rsidP="003F2A9D">
            <w:pPr>
              <w:jc w:val="both"/>
              <w:rPr>
                <w:rFonts w:ascii="Arial" w:hAnsi="Arial" w:cs="Arial"/>
                <w:sz w:val="18"/>
                <w:szCs w:val="18"/>
              </w:rPr>
            </w:pPr>
            <w:r w:rsidRPr="008E1383">
              <w:rPr>
                <w:rFonts w:ascii="Arial" w:hAnsi="Arial" w:cs="Arial"/>
                <w:b/>
                <w:bCs/>
                <w:sz w:val="18"/>
                <w:szCs w:val="18"/>
              </w:rPr>
              <w:t>Section 9.4.4:</w:t>
            </w:r>
            <w:r>
              <w:rPr>
                <w:rFonts w:ascii="Arial" w:hAnsi="Arial" w:cs="Arial"/>
                <w:sz w:val="18"/>
                <w:szCs w:val="18"/>
              </w:rPr>
              <w:t xml:space="preserve"> The range retention time windows must be established daily based upon the retention time of the marker compounds in the VPH Continuing Calibration Standard. </w:t>
            </w:r>
          </w:p>
        </w:tc>
      </w:tr>
      <w:tr w:rsidR="00E44DBF" w:rsidRPr="00A0149B" w14:paraId="1381C2F2" w14:textId="77777777" w:rsidTr="000D36DE">
        <w:trPr>
          <w:trHeight w:val="264"/>
        </w:trPr>
        <w:tc>
          <w:tcPr>
            <w:tcW w:w="529" w:type="dxa"/>
            <w:noWrap/>
            <w:vAlign w:val="center"/>
          </w:tcPr>
          <w:p w14:paraId="34042455" w14:textId="77777777" w:rsidR="00E44DBF" w:rsidRPr="008D4248" w:rsidRDefault="00E44DBF" w:rsidP="003F2A9D">
            <w:pPr>
              <w:pStyle w:val="ListParagraph"/>
              <w:numPr>
                <w:ilvl w:val="0"/>
                <w:numId w:val="3"/>
              </w:numPr>
              <w:rPr>
                <w:rFonts w:ascii="Arial" w:hAnsi="Arial" w:cs="Arial"/>
                <w:sz w:val="18"/>
                <w:szCs w:val="18"/>
              </w:rPr>
            </w:pPr>
          </w:p>
        </w:tc>
        <w:tc>
          <w:tcPr>
            <w:tcW w:w="4867" w:type="dxa"/>
            <w:noWrap/>
            <w:vAlign w:val="center"/>
          </w:tcPr>
          <w:p w14:paraId="15DC7B81" w14:textId="77777777" w:rsidR="00E44DBF" w:rsidRDefault="00E70A30" w:rsidP="003F2A9D">
            <w:pPr>
              <w:jc w:val="both"/>
              <w:rPr>
                <w:rFonts w:ascii="Arial" w:hAnsi="Arial"/>
                <w:spacing w:val="-2"/>
                <w:sz w:val="18"/>
                <w:szCs w:val="18"/>
              </w:rPr>
            </w:pPr>
            <w:r>
              <w:rPr>
                <w:rFonts w:ascii="Arial" w:hAnsi="Arial" w:cs="Arial"/>
                <w:sz w:val="18"/>
                <w:szCs w:val="18"/>
              </w:rPr>
              <w:t xml:space="preserve">How are </w:t>
            </w:r>
            <w:r w:rsidR="00950154">
              <w:rPr>
                <w:rFonts w:ascii="Arial" w:hAnsi="Arial" w:cs="Arial"/>
                <w:sz w:val="18"/>
                <w:szCs w:val="18"/>
              </w:rPr>
              <w:t xml:space="preserve">retention time windows determined for the analysis day? </w:t>
            </w:r>
            <w:r w:rsidR="00950154" w:rsidRPr="00EE3AA4">
              <w:rPr>
                <w:rFonts w:ascii="Arial" w:hAnsi="Arial"/>
                <w:spacing w:val="-2"/>
                <w:sz w:val="18"/>
                <w:szCs w:val="18"/>
              </w:rPr>
              <w:t>[MADEP VPH Rev. 2.1 (Feb 2018) Section</w:t>
            </w:r>
            <w:r w:rsidR="00950154">
              <w:rPr>
                <w:rFonts w:ascii="Arial" w:hAnsi="Arial"/>
                <w:spacing w:val="-2"/>
                <w:sz w:val="18"/>
                <w:szCs w:val="18"/>
              </w:rPr>
              <w:t xml:space="preserve"> 9.4.4</w:t>
            </w:r>
            <w:r w:rsidR="00950154" w:rsidRPr="00EE3AA4">
              <w:rPr>
                <w:rFonts w:ascii="Arial" w:hAnsi="Arial"/>
                <w:spacing w:val="-2"/>
                <w:sz w:val="18"/>
                <w:szCs w:val="18"/>
              </w:rPr>
              <w:t>]</w:t>
            </w:r>
          </w:p>
          <w:p w14:paraId="6F95D672" w14:textId="77777777" w:rsidR="00950154" w:rsidRDefault="00950154" w:rsidP="003F2A9D">
            <w:pPr>
              <w:jc w:val="both"/>
              <w:rPr>
                <w:rFonts w:ascii="Arial" w:hAnsi="Arial"/>
                <w:spacing w:val="-2"/>
                <w:sz w:val="18"/>
                <w:szCs w:val="18"/>
              </w:rPr>
            </w:pPr>
          </w:p>
          <w:p w14:paraId="64366D9F" w14:textId="77777777" w:rsidR="00950154" w:rsidRDefault="00950154" w:rsidP="003F2A9D">
            <w:pPr>
              <w:jc w:val="both"/>
              <w:rPr>
                <w:rFonts w:ascii="Arial" w:hAnsi="Arial"/>
                <w:b/>
                <w:bCs/>
                <w:spacing w:val="-2"/>
                <w:sz w:val="18"/>
                <w:szCs w:val="18"/>
              </w:rPr>
            </w:pPr>
            <w:r>
              <w:rPr>
                <w:rFonts w:ascii="Arial" w:hAnsi="Arial"/>
                <w:b/>
                <w:bCs/>
                <w:spacing w:val="-2"/>
                <w:sz w:val="18"/>
                <w:szCs w:val="18"/>
              </w:rPr>
              <w:t xml:space="preserve">Answer: </w:t>
            </w:r>
          </w:p>
          <w:p w14:paraId="572454CD" w14:textId="77777777" w:rsidR="00950154" w:rsidRDefault="00950154" w:rsidP="003F2A9D">
            <w:pPr>
              <w:jc w:val="both"/>
              <w:rPr>
                <w:rFonts w:ascii="Arial" w:hAnsi="Arial"/>
                <w:b/>
                <w:bCs/>
                <w:spacing w:val="-2"/>
                <w:sz w:val="18"/>
                <w:szCs w:val="18"/>
              </w:rPr>
            </w:pPr>
          </w:p>
          <w:p w14:paraId="5F48A619" w14:textId="77777777" w:rsidR="00950154" w:rsidRDefault="00950154" w:rsidP="003F2A9D">
            <w:pPr>
              <w:jc w:val="both"/>
              <w:rPr>
                <w:rFonts w:ascii="Arial" w:hAnsi="Arial"/>
                <w:b/>
                <w:bCs/>
                <w:spacing w:val="-2"/>
                <w:sz w:val="18"/>
                <w:szCs w:val="18"/>
              </w:rPr>
            </w:pPr>
          </w:p>
          <w:p w14:paraId="1DF2991D" w14:textId="6B6D456A" w:rsidR="00950154" w:rsidRPr="008E1383" w:rsidRDefault="00950154" w:rsidP="003F2A9D">
            <w:pPr>
              <w:jc w:val="both"/>
              <w:rPr>
                <w:rFonts w:ascii="Arial" w:hAnsi="Arial" w:cs="Arial"/>
                <w:b/>
                <w:bCs/>
                <w:sz w:val="18"/>
                <w:szCs w:val="18"/>
              </w:rPr>
            </w:pPr>
          </w:p>
        </w:tc>
        <w:tc>
          <w:tcPr>
            <w:tcW w:w="448" w:type="dxa"/>
            <w:shd w:val="clear" w:color="auto" w:fill="D9D9D9" w:themeFill="background1" w:themeFillShade="D9"/>
            <w:noWrap/>
            <w:vAlign w:val="center"/>
          </w:tcPr>
          <w:p w14:paraId="7EE8A4E7" w14:textId="77777777" w:rsidR="00E44DBF" w:rsidRPr="00A0149B" w:rsidRDefault="00E44DBF" w:rsidP="003F2A9D">
            <w:pPr>
              <w:rPr>
                <w:rFonts w:ascii="Arial" w:hAnsi="Arial" w:cs="Arial"/>
                <w:sz w:val="18"/>
                <w:szCs w:val="18"/>
              </w:rPr>
            </w:pPr>
          </w:p>
        </w:tc>
        <w:tc>
          <w:tcPr>
            <w:tcW w:w="448" w:type="dxa"/>
            <w:shd w:val="clear" w:color="auto" w:fill="FFFFFF" w:themeFill="background1"/>
            <w:noWrap/>
            <w:vAlign w:val="center"/>
          </w:tcPr>
          <w:p w14:paraId="3E0B3B0A" w14:textId="77777777" w:rsidR="00E44DBF" w:rsidRPr="00A0149B" w:rsidRDefault="00E44DBF" w:rsidP="003F2A9D">
            <w:pPr>
              <w:rPr>
                <w:rFonts w:ascii="Arial" w:hAnsi="Arial" w:cs="Arial"/>
                <w:sz w:val="18"/>
                <w:szCs w:val="18"/>
              </w:rPr>
            </w:pPr>
          </w:p>
        </w:tc>
        <w:tc>
          <w:tcPr>
            <w:tcW w:w="4867" w:type="dxa"/>
            <w:gridSpan w:val="2"/>
            <w:vAlign w:val="center"/>
          </w:tcPr>
          <w:p w14:paraId="4FE4B1B1" w14:textId="72C05EE4" w:rsidR="00E44DBF" w:rsidRDefault="006D4BC8" w:rsidP="003F2A9D">
            <w:pPr>
              <w:jc w:val="both"/>
              <w:rPr>
                <w:rFonts w:ascii="Arial" w:hAnsi="Arial" w:cs="Arial"/>
                <w:sz w:val="18"/>
                <w:szCs w:val="18"/>
              </w:rPr>
            </w:pPr>
            <w:r>
              <w:rPr>
                <w:rFonts w:ascii="Arial" w:hAnsi="Arial" w:cs="Arial"/>
                <w:sz w:val="18"/>
                <w:szCs w:val="18"/>
              </w:rPr>
              <w:t xml:space="preserve">Use the absolute retention time for each analyte in the continuing calibration standard as the midpoint of the window for that day. The daily retention </w:t>
            </w:r>
            <w:r w:rsidR="002E383C">
              <w:rPr>
                <w:rFonts w:ascii="Arial" w:hAnsi="Arial" w:cs="Arial"/>
                <w:sz w:val="18"/>
                <w:szCs w:val="18"/>
              </w:rPr>
              <w:t>time window equals the midpoint ± 3 times the standard deviation determined in Section 9.3</w:t>
            </w:r>
            <w:r w:rsidR="00293B03">
              <w:rPr>
                <w:rFonts w:ascii="Arial" w:hAnsi="Arial" w:cs="Arial"/>
                <w:sz w:val="18"/>
                <w:szCs w:val="18"/>
              </w:rPr>
              <w:t xml:space="preserve">. The marker compounds used for each range are defined in Table 5. </w:t>
            </w:r>
          </w:p>
        </w:tc>
      </w:tr>
      <w:tr w:rsidR="00C3721C" w:rsidRPr="00A0149B" w14:paraId="1DA8E7C9" w14:textId="77777777" w:rsidTr="000D36DE">
        <w:trPr>
          <w:trHeight w:val="264"/>
        </w:trPr>
        <w:tc>
          <w:tcPr>
            <w:tcW w:w="529" w:type="dxa"/>
            <w:noWrap/>
            <w:vAlign w:val="center"/>
          </w:tcPr>
          <w:p w14:paraId="62EB8BA0" w14:textId="51BC8B4D"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01586F71" w14:textId="2BD89743" w:rsidR="00C3721C" w:rsidRDefault="00C3721C" w:rsidP="00C3721C">
            <w:pPr>
              <w:jc w:val="both"/>
              <w:rPr>
                <w:rFonts w:ascii="Arial" w:hAnsi="Arial"/>
                <w:spacing w:val="-2"/>
                <w:sz w:val="18"/>
                <w:szCs w:val="18"/>
              </w:rPr>
            </w:pPr>
            <w:r w:rsidRPr="00EE3AA4">
              <w:rPr>
                <w:rFonts w:ascii="Arial" w:hAnsi="Arial"/>
                <w:spacing w:val="-2"/>
                <w:sz w:val="18"/>
                <w:szCs w:val="18"/>
              </w:rPr>
              <w:t xml:space="preserve">Is a </w:t>
            </w:r>
            <w:r>
              <w:rPr>
                <w:rFonts w:ascii="Arial" w:hAnsi="Arial"/>
                <w:spacing w:val="-2"/>
                <w:sz w:val="18"/>
                <w:szCs w:val="18"/>
              </w:rPr>
              <w:t xml:space="preserve">Laboratory Control Standard (LCS) </w:t>
            </w:r>
            <w:r w:rsidRPr="00EE3AA4">
              <w:rPr>
                <w:rFonts w:ascii="Arial" w:hAnsi="Arial"/>
                <w:spacing w:val="-2"/>
                <w:sz w:val="18"/>
                <w:szCs w:val="18"/>
              </w:rPr>
              <w:t>prepared and analyzed with each batch of up to 20 samples? [MADEP VPH Rev. 2.1 (Feb 2018) Section 10.1.2]</w:t>
            </w:r>
          </w:p>
        </w:tc>
        <w:tc>
          <w:tcPr>
            <w:tcW w:w="448" w:type="dxa"/>
            <w:shd w:val="clear" w:color="auto" w:fill="FFFFFF" w:themeFill="background1"/>
            <w:noWrap/>
            <w:vAlign w:val="center"/>
          </w:tcPr>
          <w:p w14:paraId="38B7EE42"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033C3A44" w14:textId="77777777" w:rsidR="00C3721C" w:rsidRPr="00A0149B" w:rsidRDefault="00C3721C" w:rsidP="00C3721C">
            <w:pPr>
              <w:rPr>
                <w:rFonts w:ascii="Arial" w:hAnsi="Arial" w:cs="Arial"/>
                <w:sz w:val="18"/>
                <w:szCs w:val="18"/>
              </w:rPr>
            </w:pPr>
          </w:p>
        </w:tc>
        <w:tc>
          <w:tcPr>
            <w:tcW w:w="4867" w:type="dxa"/>
            <w:gridSpan w:val="2"/>
            <w:vAlign w:val="center"/>
          </w:tcPr>
          <w:p w14:paraId="3893EAF1" w14:textId="77777777" w:rsidR="00C3721C" w:rsidRPr="00A0149B" w:rsidRDefault="00C3721C" w:rsidP="00C3721C">
            <w:pPr>
              <w:jc w:val="both"/>
              <w:rPr>
                <w:rFonts w:ascii="Arial" w:hAnsi="Arial" w:cs="Arial"/>
                <w:sz w:val="18"/>
                <w:szCs w:val="18"/>
              </w:rPr>
            </w:pPr>
            <w:r w:rsidRPr="00EE3AA4">
              <w:rPr>
                <w:rFonts w:ascii="Arial" w:hAnsi="Arial" w:cs="Arial"/>
                <w:sz w:val="18"/>
                <w:szCs w:val="18"/>
              </w:rPr>
              <w:t xml:space="preserve">At a minimum, for each analytical batch (up to 20 samples of similar matrix), a beginning Initial Calibration or Opening mid-range Continuing Calibration Standard, closing mid-range Continuing Calibration Standard, LMB, </w:t>
            </w:r>
            <w:r w:rsidRPr="00EE3AA4">
              <w:rPr>
                <w:rFonts w:ascii="Arial" w:hAnsi="Arial" w:cs="Arial"/>
                <w:b/>
                <w:bCs/>
                <w:sz w:val="18"/>
                <w:szCs w:val="18"/>
              </w:rPr>
              <w:t>LCS and LCSD</w:t>
            </w:r>
            <w:r w:rsidRPr="00EE3AA4">
              <w:rPr>
                <w:rFonts w:ascii="Arial" w:hAnsi="Arial" w:cs="Arial"/>
                <w:sz w:val="18"/>
                <w:szCs w:val="18"/>
              </w:rPr>
              <w:t xml:space="preserve"> must be analyzed.</w:t>
            </w:r>
          </w:p>
        </w:tc>
      </w:tr>
      <w:tr w:rsidR="007170B7" w:rsidRPr="00A0149B" w14:paraId="793835E9" w14:textId="77777777" w:rsidTr="000D36DE">
        <w:trPr>
          <w:trHeight w:val="264"/>
        </w:trPr>
        <w:tc>
          <w:tcPr>
            <w:tcW w:w="529" w:type="dxa"/>
            <w:noWrap/>
            <w:vAlign w:val="center"/>
          </w:tcPr>
          <w:p w14:paraId="4898FB6A" w14:textId="77777777" w:rsidR="007170B7" w:rsidRPr="008D4248" w:rsidRDefault="007170B7" w:rsidP="003F2A9D">
            <w:pPr>
              <w:pStyle w:val="ListParagraph"/>
              <w:numPr>
                <w:ilvl w:val="0"/>
                <w:numId w:val="3"/>
              </w:numPr>
              <w:rPr>
                <w:rFonts w:ascii="Arial" w:hAnsi="Arial" w:cs="Arial"/>
                <w:sz w:val="18"/>
                <w:szCs w:val="18"/>
              </w:rPr>
            </w:pPr>
          </w:p>
        </w:tc>
        <w:tc>
          <w:tcPr>
            <w:tcW w:w="4867" w:type="dxa"/>
            <w:noWrap/>
            <w:vAlign w:val="center"/>
          </w:tcPr>
          <w:p w14:paraId="0E9ED5B9" w14:textId="77777777" w:rsidR="007170B7" w:rsidRDefault="007170B7" w:rsidP="003F2A9D">
            <w:pPr>
              <w:jc w:val="both"/>
              <w:rPr>
                <w:rFonts w:ascii="Arial" w:hAnsi="Arial"/>
                <w:spacing w:val="-2"/>
                <w:sz w:val="18"/>
                <w:szCs w:val="18"/>
              </w:rPr>
            </w:pPr>
            <w:r>
              <w:rPr>
                <w:rFonts w:ascii="Arial" w:hAnsi="Arial"/>
                <w:spacing w:val="-2"/>
                <w:sz w:val="18"/>
                <w:szCs w:val="18"/>
              </w:rPr>
              <w:t xml:space="preserve">What is the acceptance criterion for the accuracy of the LCS? </w:t>
            </w:r>
            <w:r w:rsidRPr="00EE3AA4">
              <w:rPr>
                <w:rFonts w:ascii="Arial" w:hAnsi="Arial"/>
                <w:spacing w:val="-2"/>
                <w:sz w:val="18"/>
                <w:szCs w:val="18"/>
              </w:rPr>
              <w:t>[MADEP VPH Rev. 2.1 (Feb 2018) Section 10.2</w:t>
            </w:r>
            <w:r>
              <w:rPr>
                <w:rFonts w:ascii="Arial" w:hAnsi="Arial"/>
                <w:spacing w:val="-2"/>
                <w:sz w:val="18"/>
                <w:szCs w:val="18"/>
              </w:rPr>
              <w:t>.6</w:t>
            </w:r>
            <w:r w:rsidRPr="00EE3AA4">
              <w:rPr>
                <w:rFonts w:ascii="Arial" w:hAnsi="Arial"/>
                <w:spacing w:val="-2"/>
                <w:sz w:val="18"/>
                <w:szCs w:val="18"/>
              </w:rPr>
              <w:t>]</w:t>
            </w:r>
            <w:r>
              <w:rPr>
                <w:rFonts w:ascii="Arial" w:hAnsi="Arial"/>
                <w:spacing w:val="-2"/>
                <w:sz w:val="18"/>
                <w:szCs w:val="18"/>
              </w:rPr>
              <w:t xml:space="preserve"> </w:t>
            </w:r>
          </w:p>
          <w:p w14:paraId="3B42A036" w14:textId="77777777" w:rsidR="007170B7" w:rsidRDefault="007170B7" w:rsidP="003F2A9D">
            <w:pPr>
              <w:jc w:val="both"/>
              <w:rPr>
                <w:rFonts w:ascii="Arial" w:hAnsi="Arial"/>
                <w:spacing w:val="-2"/>
                <w:sz w:val="18"/>
                <w:szCs w:val="18"/>
              </w:rPr>
            </w:pPr>
          </w:p>
          <w:p w14:paraId="245CF77F" w14:textId="577F4B81" w:rsidR="007170B7" w:rsidRPr="007170B7" w:rsidRDefault="007170B7" w:rsidP="003F2A9D">
            <w:pPr>
              <w:jc w:val="both"/>
              <w:rPr>
                <w:rFonts w:ascii="Arial" w:hAnsi="Arial"/>
                <w:b/>
                <w:bCs/>
                <w:spacing w:val="-2"/>
                <w:sz w:val="18"/>
                <w:szCs w:val="18"/>
              </w:rPr>
            </w:pPr>
            <w:r w:rsidRPr="007170B7">
              <w:rPr>
                <w:rFonts w:ascii="Arial" w:hAnsi="Arial"/>
                <w:b/>
                <w:bCs/>
                <w:spacing w:val="-2"/>
                <w:sz w:val="18"/>
                <w:szCs w:val="18"/>
              </w:rPr>
              <w:t>Answer:</w:t>
            </w:r>
          </w:p>
          <w:p w14:paraId="2572045C" w14:textId="77777777" w:rsidR="007170B7" w:rsidRDefault="007170B7" w:rsidP="003F2A9D">
            <w:pPr>
              <w:jc w:val="both"/>
              <w:rPr>
                <w:rFonts w:ascii="Arial" w:hAnsi="Arial"/>
                <w:spacing w:val="-2"/>
                <w:sz w:val="18"/>
                <w:szCs w:val="18"/>
              </w:rPr>
            </w:pPr>
          </w:p>
          <w:p w14:paraId="19CBF2D4" w14:textId="77777777" w:rsidR="007170B7" w:rsidRDefault="007170B7" w:rsidP="003F2A9D">
            <w:pPr>
              <w:jc w:val="both"/>
              <w:rPr>
                <w:rFonts w:ascii="Arial" w:hAnsi="Arial"/>
                <w:spacing w:val="-2"/>
                <w:sz w:val="18"/>
                <w:szCs w:val="18"/>
              </w:rPr>
            </w:pPr>
          </w:p>
          <w:p w14:paraId="2FF1F264" w14:textId="00A2DA67" w:rsidR="007170B7" w:rsidRPr="00EE3AA4" w:rsidRDefault="007170B7" w:rsidP="003F2A9D">
            <w:pPr>
              <w:jc w:val="both"/>
              <w:rPr>
                <w:rFonts w:ascii="Arial" w:hAnsi="Arial"/>
                <w:spacing w:val="-2"/>
                <w:sz w:val="18"/>
                <w:szCs w:val="18"/>
              </w:rPr>
            </w:pPr>
          </w:p>
        </w:tc>
        <w:tc>
          <w:tcPr>
            <w:tcW w:w="448" w:type="dxa"/>
            <w:shd w:val="clear" w:color="auto" w:fill="D9D9D9" w:themeFill="background1" w:themeFillShade="D9"/>
            <w:noWrap/>
            <w:vAlign w:val="center"/>
          </w:tcPr>
          <w:p w14:paraId="6FECBAD8" w14:textId="77777777" w:rsidR="007170B7" w:rsidRPr="00A0149B" w:rsidRDefault="007170B7" w:rsidP="003F2A9D">
            <w:pPr>
              <w:rPr>
                <w:rFonts w:ascii="Arial" w:hAnsi="Arial" w:cs="Arial"/>
                <w:sz w:val="18"/>
                <w:szCs w:val="18"/>
              </w:rPr>
            </w:pPr>
          </w:p>
        </w:tc>
        <w:tc>
          <w:tcPr>
            <w:tcW w:w="448" w:type="dxa"/>
            <w:shd w:val="clear" w:color="auto" w:fill="FFFFFF" w:themeFill="background1"/>
            <w:noWrap/>
            <w:vAlign w:val="center"/>
          </w:tcPr>
          <w:p w14:paraId="67C8EC79" w14:textId="77777777" w:rsidR="007170B7" w:rsidRPr="00A0149B" w:rsidRDefault="007170B7" w:rsidP="003F2A9D">
            <w:pPr>
              <w:rPr>
                <w:rFonts w:ascii="Arial" w:hAnsi="Arial" w:cs="Arial"/>
                <w:sz w:val="18"/>
                <w:szCs w:val="18"/>
              </w:rPr>
            </w:pPr>
          </w:p>
        </w:tc>
        <w:tc>
          <w:tcPr>
            <w:tcW w:w="4867" w:type="dxa"/>
            <w:gridSpan w:val="2"/>
            <w:vAlign w:val="center"/>
          </w:tcPr>
          <w:p w14:paraId="2224CF7A" w14:textId="2523A416" w:rsidR="007170B7" w:rsidRPr="00EE3AA4" w:rsidRDefault="007170B7" w:rsidP="003F2A9D">
            <w:pPr>
              <w:jc w:val="both"/>
              <w:rPr>
                <w:rFonts w:ascii="Arial" w:hAnsi="Arial" w:cs="Arial"/>
                <w:sz w:val="18"/>
                <w:szCs w:val="18"/>
              </w:rPr>
            </w:pPr>
            <w:r>
              <w:rPr>
                <w:rFonts w:ascii="Arial" w:hAnsi="Arial" w:cs="Arial"/>
                <w:sz w:val="18"/>
                <w:szCs w:val="18"/>
              </w:rPr>
              <w:t xml:space="preserve">The spike recoveries for the Target VPH Analytes and the hydrocarbon ranges must be between 70% and 130%. </w:t>
            </w:r>
          </w:p>
        </w:tc>
      </w:tr>
      <w:tr w:rsidR="007170B7" w:rsidRPr="00A0149B" w14:paraId="2879F773" w14:textId="77777777" w:rsidTr="000D36DE">
        <w:trPr>
          <w:trHeight w:val="264"/>
        </w:trPr>
        <w:tc>
          <w:tcPr>
            <w:tcW w:w="529" w:type="dxa"/>
            <w:noWrap/>
            <w:vAlign w:val="center"/>
          </w:tcPr>
          <w:p w14:paraId="710A0F77" w14:textId="77777777" w:rsidR="007170B7" w:rsidRPr="008D4248" w:rsidRDefault="007170B7" w:rsidP="003F2A9D">
            <w:pPr>
              <w:pStyle w:val="ListParagraph"/>
              <w:numPr>
                <w:ilvl w:val="0"/>
                <w:numId w:val="3"/>
              </w:numPr>
              <w:rPr>
                <w:rFonts w:ascii="Arial" w:hAnsi="Arial" w:cs="Arial"/>
                <w:sz w:val="18"/>
                <w:szCs w:val="18"/>
              </w:rPr>
            </w:pPr>
          </w:p>
        </w:tc>
        <w:tc>
          <w:tcPr>
            <w:tcW w:w="4867" w:type="dxa"/>
            <w:noWrap/>
            <w:vAlign w:val="center"/>
          </w:tcPr>
          <w:p w14:paraId="0A639EFF" w14:textId="77777777" w:rsidR="007170B7" w:rsidRDefault="007170B7" w:rsidP="003F2A9D">
            <w:pPr>
              <w:jc w:val="both"/>
              <w:rPr>
                <w:rFonts w:ascii="Arial" w:hAnsi="Arial"/>
                <w:spacing w:val="-2"/>
                <w:sz w:val="18"/>
                <w:szCs w:val="18"/>
              </w:rPr>
            </w:pPr>
            <w:r>
              <w:rPr>
                <w:rFonts w:ascii="Arial" w:hAnsi="Arial"/>
                <w:spacing w:val="-2"/>
                <w:sz w:val="18"/>
                <w:szCs w:val="18"/>
              </w:rPr>
              <w:t xml:space="preserve">What corrective actions are taken if the LCS exceeds the acceptance criterion for accuracy? </w:t>
            </w:r>
            <w:r w:rsidRPr="00EE3AA4">
              <w:rPr>
                <w:rFonts w:ascii="Arial" w:hAnsi="Arial"/>
                <w:spacing w:val="-2"/>
                <w:sz w:val="18"/>
                <w:szCs w:val="18"/>
              </w:rPr>
              <w:t>[MADEP VPH Rev. 2.1 (Feb 2018) Section 10.</w:t>
            </w:r>
            <w:r>
              <w:rPr>
                <w:rFonts w:ascii="Arial" w:hAnsi="Arial"/>
                <w:spacing w:val="-2"/>
                <w:sz w:val="18"/>
                <w:szCs w:val="18"/>
              </w:rPr>
              <w:t>2.6</w:t>
            </w:r>
            <w:r w:rsidRPr="00EE3AA4">
              <w:rPr>
                <w:rFonts w:ascii="Arial" w:hAnsi="Arial"/>
                <w:spacing w:val="-2"/>
                <w:sz w:val="18"/>
                <w:szCs w:val="18"/>
              </w:rPr>
              <w:t>]</w:t>
            </w:r>
          </w:p>
          <w:p w14:paraId="32A5D7A3" w14:textId="77777777" w:rsidR="007170B7" w:rsidRDefault="007170B7" w:rsidP="003F2A9D">
            <w:pPr>
              <w:jc w:val="both"/>
              <w:rPr>
                <w:rFonts w:ascii="Arial" w:hAnsi="Arial"/>
                <w:spacing w:val="-2"/>
                <w:sz w:val="18"/>
                <w:szCs w:val="18"/>
              </w:rPr>
            </w:pPr>
          </w:p>
          <w:p w14:paraId="7ADC6570" w14:textId="77777777" w:rsidR="007170B7" w:rsidRPr="007170B7" w:rsidRDefault="007170B7" w:rsidP="003F2A9D">
            <w:pPr>
              <w:jc w:val="both"/>
              <w:rPr>
                <w:rFonts w:ascii="Arial" w:hAnsi="Arial"/>
                <w:b/>
                <w:bCs/>
                <w:spacing w:val="-2"/>
                <w:sz w:val="18"/>
                <w:szCs w:val="18"/>
              </w:rPr>
            </w:pPr>
            <w:r w:rsidRPr="007170B7">
              <w:rPr>
                <w:rFonts w:ascii="Arial" w:hAnsi="Arial"/>
                <w:b/>
                <w:bCs/>
                <w:spacing w:val="-2"/>
                <w:sz w:val="18"/>
                <w:szCs w:val="18"/>
              </w:rPr>
              <w:t>Answer:</w:t>
            </w:r>
          </w:p>
          <w:p w14:paraId="4E039794" w14:textId="77777777" w:rsidR="007170B7" w:rsidRDefault="007170B7" w:rsidP="003F2A9D">
            <w:pPr>
              <w:jc w:val="both"/>
              <w:rPr>
                <w:rFonts w:ascii="Arial" w:hAnsi="Arial"/>
                <w:spacing w:val="-2"/>
                <w:sz w:val="18"/>
                <w:szCs w:val="18"/>
              </w:rPr>
            </w:pPr>
          </w:p>
          <w:p w14:paraId="2906B81F" w14:textId="77777777" w:rsidR="007170B7" w:rsidRDefault="007170B7" w:rsidP="003F2A9D">
            <w:pPr>
              <w:jc w:val="both"/>
              <w:rPr>
                <w:rFonts w:ascii="Arial" w:hAnsi="Arial"/>
                <w:spacing w:val="-2"/>
                <w:sz w:val="18"/>
                <w:szCs w:val="18"/>
              </w:rPr>
            </w:pPr>
          </w:p>
          <w:p w14:paraId="2A002E36" w14:textId="200F0821" w:rsidR="007170B7" w:rsidRPr="00EE3AA4" w:rsidRDefault="007170B7" w:rsidP="003F2A9D">
            <w:pPr>
              <w:jc w:val="both"/>
              <w:rPr>
                <w:rFonts w:ascii="Arial" w:hAnsi="Arial"/>
                <w:spacing w:val="-2"/>
                <w:sz w:val="18"/>
                <w:szCs w:val="18"/>
              </w:rPr>
            </w:pPr>
          </w:p>
        </w:tc>
        <w:tc>
          <w:tcPr>
            <w:tcW w:w="448" w:type="dxa"/>
            <w:shd w:val="clear" w:color="auto" w:fill="D9D9D9" w:themeFill="background1" w:themeFillShade="D9"/>
            <w:noWrap/>
            <w:vAlign w:val="center"/>
          </w:tcPr>
          <w:p w14:paraId="63F98955" w14:textId="77777777" w:rsidR="007170B7" w:rsidRPr="00A0149B" w:rsidRDefault="007170B7" w:rsidP="003F2A9D">
            <w:pPr>
              <w:rPr>
                <w:rFonts w:ascii="Arial" w:hAnsi="Arial" w:cs="Arial"/>
                <w:sz w:val="18"/>
                <w:szCs w:val="18"/>
              </w:rPr>
            </w:pPr>
          </w:p>
        </w:tc>
        <w:tc>
          <w:tcPr>
            <w:tcW w:w="448" w:type="dxa"/>
            <w:shd w:val="clear" w:color="auto" w:fill="FFFFFF" w:themeFill="background1"/>
            <w:noWrap/>
            <w:vAlign w:val="center"/>
          </w:tcPr>
          <w:p w14:paraId="77167929" w14:textId="77777777" w:rsidR="007170B7" w:rsidRPr="00A0149B" w:rsidRDefault="007170B7" w:rsidP="003F2A9D">
            <w:pPr>
              <w:rPr>
                <w:rFonts w:ascii="Arial" w:hAnsi="Arial" w:cs="Arial"/>
                <w:sz w:val="18"/>
                <w:szCs w:val="18"/>
              </w:rPr>
            </w:pPr>
          </w:p>
        </w:tc>
        <w:tc>
          <w:tcPr>
            <w:tcW w:w="4867" w:type="dxa"/>
            <w:gridSpan w:val="2"/>
            <w:vAlign w:val="center"/>
          </w:tcPr>
          <w:p w14:paraId="2791BE1B" w14:textId="77777777" w:rsidR="007170B7" w:rsidRDefault="007170B7" w:rsidP="003F2A9D">
            <w:pPr>
              <w:jc w:val="both"/>
              <w:rPr>
                <w:rFonts w:ascii="Arial" w:hAnsi="Arial" w:cs="Arial"/>
                <w:sz w:val="18"/>
                <w:szCs w:val="18"/>
              </w:rPr>
            </w:pPr>
            <w:r>
              <w:rPr>
                <w:rFonts w:ascii="Arial" w:hAnsi="Arial" w:cs="Arial"/>
                <w:sz w:val="18"/>
                <w:szCs w:val="18"/>
              </w:rPr>
              <w:t>If the recoveries are low and outside of the acceptance limits, reanalyze the LCS and associated samples. If still outside of the acceptance limits, recalibrate.</w:t>
            </w:r>
          </w:p>
          <w:p w14:paraId="4A0C0E11" w14:textId="77777777" w:rsidR="007170B7" w:rsidRDefault="007170B7" w:rsidP="003F2A9D">
            <w:pPr>
              <w:jc w:val="both"/>
              <w:rPr>
                <w:rFonts w:ascii="Arial" w:hAnsi="Arial" w:cs="Arial"/>
                <w:sz w:val="18"/>
                <w:szCs w:val="18"/>
              </w:rPr>
            </w:pPr>
          </w:p>
          <w:p w14:paraId="6C8EB01D" w14:textId="77777777" w:rsidR="007170B7" w:rsidRDefault="007170B7" w:rsidP="003F2A9D">
            <w:pPr>
              <w:jc w:val="both"/>
              <w:rPr>
                <w:rFonts w:ascii="Arial" w:hAnsi="Arial" w:cs="Arial"/>
                <w:sz w:val="18"/>
                <w:szCs w:val="18"/>
              </w:rPr>
            </w:pPr>
            <w:r>
              <w:rPr>
                <w:rFonts w:ascii="Arial" w:hAnsi="Arial" w:cs="Arial"/>
                <w:sz w:val="18"/>
                <w:szCs w:val="18"/>
              </w:rPr>
              <w:t xml:space="preserve">If the recoveries are high and outside of the acceptance limits and the affected compound was detected in the associated samples, reanalyze the LCS and the associated samples. If recoveries are still outside of the acceptance limits, recalibrate. </w:t>
            </w:r>
          </w:p>
          <w:p w14:paraId="4C3C1CDF" w14:textId="77777777" w:rsidR="007170B7" w:rsidRDefault="007170B7" w:rsidP="003F2A9D">
            <w:pPr>
              <w:jc w:val="both"/>
              <w:rPr>
                <w:rFonts w:ascii="Arial" w:hAnsi="Arial" w:cs="Arial"/>
                <w:sz w:val="18"/>
                <w:szCs w:val="18"/>
              </w:rPr>
            </w:pPr>
          </w:p>
          <w:p w14:paraId="343320B1" w14:textId="3AC7B0A4" w:rsidR="007170B7" w:rsidRPr="00EE3AA4" w:rsidRDefault="00A6617B" w:rsidP="003F2A9D">
            <w:pPr>
              <w:jc w:val="both"/>
              <w:rPr>
                <w:rFonts w:ascii="Arial" w:hAnsi="Arial" w:cs="Arial"/>
                <w:sz w:val="18"/>
                <w:szCs w:val="18"/>
              </w:rPr>
            </w:pPr>
            <w:r>
              <w:rPr>
                <w:rFonts w:ascii="Arial" w:hAnsi="Arial" w:cs="Arial"/>
                <w:sz w:val="18"/>
                <w:szCs w:val="18"/>
              </w:rPr>
              <w:t xml:space="preserve">If recoveries are high and sample results were nondetect, data can be reported without qualification; however, the high recoveries should be noted in the laboratory narrative. </w:t>
            </w:r>
          </w:p>
        </w:tc>
      </w:tr>
      <w:tr w:rsidR="00A6617B" w:rsidRPr="00A0149B" w14:paraId="1C98F52A" w14:textId="77777777" w:rsidTr="000D36DE">
        <w:trPr>
          <w:trHeight w:val="264"/>
        </w:trPr>
        <w:tc>
          <w:tcPr>
            <w:tcW w:w="529" w:type="dxa"/>
            <w:noWrap/>
            <w:vAlign w:val="center"/>
          </w:tcPr>
          <w:p w14:paraId="64398F37" w14:textId="77777777" w:rsidR="00A6617B" w:rsidRPr="008D4248" w:rsidRDefault="00A6617B" w:rsidP="003F2A9D">
            <w:pPr>
              <w:pStyle w:val="ListParagraph"/>
              <w:numPr>
                <w:ilvl w:val="0"/>
                <w:numId w:val="3"/>
              </w:numPr>
              <w:rPr>
                <w:rFonts w:ascii="Arial" w:hAnsi="Arial" w:cs="Arial"/>
                <w:sz w:val="18"/>
                <w:szCs w:val="18"/>
              </w:rPr>
            </w:pPr>
          </w:p>
        </w:tc>
        <w:tc>
          <w:tcPr>
            <w:tcW w:w="4867" w:type="dxa"/>
            <w:noWrap/>
            <w:vAlign w:val="center"/>
          </w:tcPr>
          <w:p w14:paraId="0F38250C" w14:textId="7D0F0F3F" w:rsidR="00A6617B" w:rsidRDefault="00A6617B" w:rsidP="003F2A9D">
            <w:pPr>
              <w:jc w:val="both"/>
              <w:rPr>
                <w:rFonts w:ascii="Arial" w:hAnsi="Arial"/>
                <w:spacing w:val="-2"/>
                <w:sz w:val="18"/>
                <w:szCs w:val="18"/>
              </w:rPr>
            </w:pPr>
            <w:r>
              <w:rPr>
                <w:rFonts w:ascii="Arial" w:hAnsi="Arial"/>
                <w:spacing w:val="-2"/>
                <w:sz w:val="18"/>
                <w:szCs w:val="18"/>
              </w:rPr>
              <w:t xml:space="preserve">Is a Laboratory Control Standard Duplicate (LCSD) prepared and analyzed with each batch of up to 20 samples? </w:t>
            </w:r>
            <w:r w:rsidRPr="00EE3AA4">
              <w:rPr>
                <w:rFonts w:ascii="Arial" w:hAnsi="Arial"/>
                <w:spacing w:val="-2"/>
                <w:sz w:val="18"/>
                <w:szCs w:val="18"/>
              </w:rPr>
              <w:t>[MADEP VPH Rev. 2.1 (Feb 2018) Section 10.1.2]</w:t>
            </w:r>
          </w:p>
        </w:tc>
        <w:tc>
          <w:tcPr>
            <w:tcW w:w="448" w:type="dxa"/>
            <w:noWrap/>
            <w:vAlign w:val="center"/>
          </w:tcPr>
          <w:p w14:paraId="77F1FEB2" w14:textId="77777777" w:rsidR="00A6617B" w:rsidRPr="00A0149B" w:rsidRDefault="00A6617B" w:rsidP="003F2A9D">
            <w:pPr>
              <w:rPr>
                <w:rFonts w:ascii="Arial" w:hAnsi="Arial" w:cs="Arial"/>
                <w:sz w:val="18"/>
                <w:szCs w:val="18"/>
              </w:rPr>
            </w:pPr>
          </w:p>
        </w:tc>
        <w:tc>
          <w:tcPr>
            <w:tcW w:w="448" w:type="dxa"/>
            <w:shd w:val="clear" w:color="auto" w:fill="FFFFFF" w:themeFill="background1"/>
            <w:noWrap/>
            <w:vAlign w:val="center"/>
          </w:tcPr>
          <w:p w14:paraId="19C4DB7E" w14:textId="77777777" w:rsidR="00A6617B" w:rsidRPr="00A0149B" w:rsidRDefault="00A6617B" w:rsidP="003F2A9D">
            <w:pPr>
              <w:rPr>
                <w:rFonts w:ascii="Arial" w:hAnsi="Arial" w:cs="Arial"/>
                <w:sz w:val="18"/>
                <w:szCs w:val="18"/>
              </w:rPr>
            </w:pPr>
          </w:p>
        </w:tc>
        <w:tc>
          <w:tcPr>
            <w:tcW w:w="4867" w:type="dxa"/>
            <w:gridSpan w:val="2"/>
            <w:vAlign w:val="center"/>
          </w:tcPr>
          <w:p w14:paraId="302528BF" w14:textId="19231514" w:rsidR="00A6617B" w:rsidRDefault="00A6617B" w:rsidP="003F2A9D">
            <w:pPr>
              <w:jc w:val="both"/>
              <w:rPr>
                <w:rFonts w:ascii="Arial" w:hAnsi="Arial" w:cs="Arial"/>
                <w:sz w:val="18"/>
                <w:szCs w:val="18"/>
              </w:rPr>
            </w:pPr>
            <w:r>
              <w:rPr>
                <w:rFonts w:ascii="Arial" w:hAnsi="Arial" w:cs="Arial"/>
                <w:sz w:val="18"/>
                <w:szCs w:val="18"/>
              </w:rPr>
              <w:t>See above</w:t>
            </w:r>
          </w:p>
        </w:tc>
      </w:tr>
      <w:tr w:rsidR="00A6617B" w:rsidRPr="00A0149B" w14:paraId="5CD2521E" w14:textId="77777777" w:rsidTr="000D36DE">
        <w:trPr>
          <w:trHeight w:val="264"/>
        </w:trPr>
        <w:tc>
          <w:tcPr>
            <w:tcW w:w="529" w:type="dxa"/>
            <w:noWrap/>
            <w:vAlign w:val="center"/>
          </w:tcPr>
          <w:p w14:paraId="52E1795A" w14:textId="77777777" w:rsidR="00A6617B" w:rsidRPr="008D4248" w:rsidRDefault="00A6617B" w:rsidP="003F2A9D">
            <w:pPr>
              <w:pStyle w:val="ListParagraph"/>
              <w:numPr>
                <w:ilvl w:val="0"/>
                <w:numId w:val="3"/>
              </w:numPr>
              <w:rPr>
                <w:rFonts w:ascii="Arial" w:hAnsi="Arial" w:cs="Arial"/>
                <w:sz w:val="18"/>
                <w:szCs w:val="18"/>
              </w:rPr>
            </w:pPr>
          </w:p>
        </w:tc>
        <w:tc>
          <w:tcPr>
            <w:tcW w:w="4867" w:type="dxa"/>
            <w:noWrap/>
            <w:vAlign w:val="center"/>
          </w:tcPr>
          <w:p w14:paraId="6618841B" w14:textId="6BEC791A" w:rsidR="00A6617B" w:rsidRDefault="00A6617B" w:rsidP="00A6617B">
            <w:pPr>
              <w:jc w:val="both"/>
              <w:rPr>
                <w:rFonts w:ascii="Arial" w:hAnsi="Arial"/>
                <w:spacing w:val="-2"/>
                <w:sz w:val="18"/>
                <w:szCs w:val="18"/>
              </w:rPr>
            </w:pPr>
            <w:r>
              <w:rPr>
                <w:rFonts w:ascii="Arial" w:hAnsi="Arial"/>
                <w:spacing w:val="-2"/>
                <w:sz w:val="18"/>
                <w:szCs w:val="18"/>
              </w:rPr>
              <w:t xml:space="preserve">What is the acceptance criterion for the precision of the LCSD? </w:t>
            </w:r>
            <w:r w:rsidRPr="00EE3AA4">
              <w:rPr>
                <w:rFonts w:ascii="Arial" w:hAnsi="Arial"/>
                <w:spacing w:val="-2"/>
                <w:sz w:val="18"/>
                <w:szCs w:val="18"/>
              </w:rPr>
              <w:t>[MADEP VPH Rev. 2.1 (Feb 2018) Section 10.2</w:t>
            </w:r>
            <w:r>
              <w:rPr>
                <w:rFonts w:ascii="Arial" w:hAnsi="Arial"/>
                <w:spacing w:val="-2"/>
                <w:sz w:val="18"/>
                <w:szCs w:val="18"/>
              </w:rPr>
              <w:t>.7</w:t>
            </w:r>
            <w:r w:rsidRPr="00EE3AA4">
              <w:rPr>
                <w:rFonts w:ascii="Arial" w:hAnsi="Arial"/>
                <w:spacing w:val="-2"/>
                <w:sz w:val="18"/>
                <w:szCs w:val="18"/>
              </w:rPr>
              <w:t>]</w:t>
            </w:r>
            <w:r>
              <w:rPr>
                <w:rFonts w:ascii="Arial" w:hAnsi="Arial"/>
                <w:spacing w:val="-2"/>
                <w:sz w:val="18"/>
                <w:szCs w:val="18"/>
              </w:rPr>
              <w:t xml:space="preserve"> </w:t>
            </w:r>
          </w:p>
          <w:p w14:paraId="5590EC4E" w14:textId="77777777" w:rsidR="00A6617B" w:rsidRDefault="00A6617B" w:rsidP="00A6617B">
            <w:pPr>
              <w:jc w:val="both"/>
              <w:rPr>
                <w:rFonts w:ascii="Arial" w:hAnsi="Arial"/>
                <w:spacing w:val="-2"/>
                <w:sz w:val="18"/>
                <w:szCs w:val="18"/>
              </w:rPr>
            </w:pPr>
          </w:p>
          <w:p w14:paraId="33C646C7" w14:textId="77777777" w:rsidR="00A6617B" w:rsidRDefault="00A6617B" w:rsidP="00A6617B">
            <w:pPr>
              <w:jc w:val="both"/>
              <w:rPr>
                <w:rFonts w:ascii="Arial" w:hAnsi="Arial"/>
                <w:b/>
                <w:bCs/>
                <w:spacing w:val="-2"/>
                <w:sz w:val="18"/>
                <w:szCs w:val="18"/>
              </w:rPr>
            </w:pPr>
            <w:r w:rsidRPr="007170B7">
              <w:rPr>
                <w:rFonts w:ascii="Arial" w:hAnsi="Arial"/>
                <w:b/>
                <w:bCs/>
                <w:spacing w:val="-2"/>
                <w:sz w:val="18"/>
                <w:szCs w:val="18"/>
              </w:rPr>
              <w:t>Answer:</w:t>
            </w:r>
          </w:p>
          <w:p w14:paraId="34E7A3FB" w14:textId="77777777" w:rsidR="00A6617B" w:rsidRPr="007170B7" w:rsidRDefault="00A6617B" w:rsidP="00A6617B">
            <w:pPr>
              <w:jc w:val="both"/>
              <w:rPr>
                <w:rFonts w:ascii="Arial" w:hAnsi="Arial"/>
                <w:b/>
                <w:bCs/>
                <w:spacing w:val="-2"/>
                <w:sz w:val="18"/>
                <w:szCs w:val="18"/>
              </w:rPr>
            </w:pPr>
          </w:p>
          <w:p w14:paraId="2EF958A6" w14:textId="77777777" w:rsidR="00A6617B" w:rsidRDefault="00A6617B" w:rsidP="003F2A9D">
            <w:pPr>
              <w:jc w:val="both"/>
              <w:rPr>
                <w:rFonts w:ascii="Arial" w:hAnsi="Arial"/>
                <w:spacing w:val="-2"/>
                <w:sz w:val="18"/>
                <w:szCs w:val="18"/>
              </w:rPr>
            </w:pPr>
          </w:p>
        </w:tc>
        <w:tc>
          <w:tcPr>
            <w:tcW w:w="448" w:type="dxa"/>
            <w:shd w:val="clear" w:color="auto" w:fill="D9D9D9" w:themeFill="background1" w:themeFillShade="D9"/>
            <w:noWrap/>
            <w:vAlign w:val="center"/>
          </w:tcPr>
          <w:p w14:paraId="2ECAA1D0" w14:textId="77777777" w:rsidR="00A6617B" w:rsidRPr="00A0149B" w:rsidRDefault="00A6617B" w:rsidP="003F2A9D">
            <w:pPr>
              <w:rPr>
                <w:rFonts w:ascii="Arial" w:hAnsi="Arial" w:cs="Arial"/>
                <w:sz w:val="18"/>
                <w:szCs w:val="18"/>
              </w:rPr>
            </w:pPr>
          </w:p>
        </w:tc>
        <w:tc>
          <w:tcPr>
            <w:tcW w:w="448" w:type="dxa"/>
            <w:shd w:val="clear" w:color="auto" w:fill="FFFFFF" w:themeFill="background1"/>
            <w:noWrap/>
            <w:vAlign w:val="center"/>
          </w:tcPr>
          <w:p w14:paraId="2EAE634F" w14:textId="77777777" w:rsidR="00A6617B" w:rsidRPr="00A0149B" w:rsidRDefault="00A6617B" w:rsidP="003F2A9D">
            <w:pPr>
              <w:rPr>
                <w:rFonts w:ascii="Arial" w:hAnsi="Arial" w:cs="Arial"/>
                <w:sz w:val="18"/>
                <w:szCs w:val="18"/>
              </w:rPr>
            </w:pPr>
          </w:p>
        </w:tc>
        <w:tc>
          <w:tcPr>
            <w:tcW w:w="4867" w:type="dxa"/>
            <w:gridSpan w:val="2"/>
            <w:vAlign w:val="center"/>
          </w:tcPr>
          <w:p w14:paraId="732490C2" w14:textId="380BC889" w:rsidR="00A6617B" w:rsidRDefault="00A6617B" w:rsidP="003F2A9D">
            <w:pPr>
              <w:jc w:val="both"/>
              <w:rPr>
                <w:rFonts w:ascii="Arial" w:hAnsi="Arial" w:cs="Arial"/>
                <w:sz w:val="18"/>
                <w:szCs w:val="18"/>
              </w:rPr>
            </w:pPr>
            <w:r>
              <w:rPr>
                <w:rFonts w:ascii="Arial" w:hAnsi="Arial" w:cs="Arial"/>
                <w:sz w:val="18"/>
                <w:szCs w:val="18"/>
              </w:rPr>
              <w:t>The RPD for Target VPH Analytes and aliphatic and aromatic hydrocarbon range concentrations must be ≤ 25.</w:t>
            </w:r>
          </w:p>
        </w:tc>
      </w:tr>
      <w:tr w:rsidR="00A6617B" w:rsidRPr="00A0149B" w14:paraId="01429413" w14:textId="77777777" w:rsidTr="000D36DE">
        <w:trPr>
          <w:trHeight w:val="264"/>
        </w:trPr>
        <w:tc>
          <w:tcPr>
            <w:tcW w:w="529" w:type="dxa"/>
            <w:noWrap/>
            <w:vAlign w:val="center"/>
          </w:tcPr>
          <w:p w14:paraId="24B3D596" w14:textId="77777777" w:rsidR="00A6617B" w:rsidRPr="008D4248" w:rsidRDefault="00A6617B" w:rsidP="003F2A9D">
            <w:pPr>
              <w:pStyle w:val="ListParagraph"/>
              <w:numPr>
                <w:ilvl w:val="0"/>
                <w:numId w:val="3"/>
              </w:numPr>
              <w:rPr>
                <w:rFonts w:ascii="Arial" w:hAnsi="Arial" w:cs="Arial"/>
                <w:sz w:val="18"/>
                <w:szCs w:val="18"/>
              </w:rPr>
            </w:pPr>
          </w:p>
        </w:tc>
        <w:tc>
          <w:tcPr>
            <w:tcW w:w="4867" w:type="dxa"/>
            <w:noWrap/>
            <w:vAlign w:val="center"/>
          </w:tcPr>
          <w:p w14:paraId="1322A0A8" w14:textId="5C3F1219" w:rsidR="00A6617B" w:rsidRDefault="00A6617B" w:rsidP="00A6617B">
            <w:pPr>
              <w:jc w:val="both"/>
              <w:rPr>
                <w:rFonts w:ascii="Arial" w:hAnsi="Arial"/>
                <w:spacing w:val="-2"/>
                <w:sz w:val="18"/>
                <w:szCs w:val="18"/>
              </w:rPr>
            </w:pPr>
            <w:r>
              <w:rPr>
                <w:rFonts w:ascii="Arial" w:hAnsi="Arial"/>
                <w:spacing w:val="-2"/>
                <w:sz w:val="18"/>
                <w:szCs w:val="18"/>
              </w:rPr>
              <w:t xml:space="preserve">What corrective actions are taken if the LCSD exceeds the acceptance criterion for precision? </w:t>
            </w:r>
            <w:r w:rsidRPr="00EE3AA4">
              <w:rPr>
                <w:rFonts w:ascii="Arial" w:hAnsi="Arial"/>
                <w:spacing w:val="-2"/>
                <w:sz w:val="18"/>
                <w:szCs w:val="18"/>
              </w:rPr>
              <w:t>[MADEP VPH Rev. 2.1 (Feb 2018) Section</w:t>
            </w:r>
            <w:r>
              <w:rPr>
                <w:rFonts w:ascii="Arial" w:hAnsi="Arial"/>
                <w:spacing w:val="-2"/>
                <w:sz w:val="18"/>
                <w:szCs w:val="18"/>
              </w:rPr>
              <w:t>s</w:t>
            </w:r>
            <w:r w:rsidRPr="00EE3AA4">
              <w:rPr>
                <w:rFonts w:ascii="Arial" w:hAnsi="Arial"/>
                <w:spacing w:val="-2"/>
                <w:sz w:val="18"/>
                <w:szCs w:val="18"/>
              </w:rPr>
              <w:t xml:space="preserve"> 10.2</w:t>
            </w:r>
            <w:r>
              <w:rPr>
                <w:rFonts w:ascii="Arial" w:hAnsi="Arial"/>
                <w:spacing w:val="-2"/>
                <w:sz w:val="18"/>
                <w:szCs w:val="18"/>
              </w:rPr>
              <w:t>.7 and 10.2.6</w:t>
            </w:r>
            <w:r w:rsidRPr="00EE3AA4">
              <w:rPr>
                <w:rFonts w:ascii="Arial" w:hAnsi="Arial"/>
                <w:spacing w:val="-2"/>
                <w:sz w:val="18"/>
                <w:szCs w:val="18"/>
              </w:rPr>
              <w:t>]</w:t>
            </w:r>
          </w:p>
          <w:p w14:paraId="3ED74462" w14:textId="77777777" w:rsidR="00A6617B" w:rsidRDefault="00A6617B" w:rsidP="00A6617B">
            <w:pPr>
              <w:jc w:val="both"/>
              <w:rPr>
                <w:rFonts w:ascii="Arial" w:hAnsi="Arial"/>
                <w:spacing w:val="-2"/>
                <w:sz w:val="18"/>
                <w:szCs w:val="18"/>
              </w:rPr>
            </w:pPr>
          </w:p>
          <w:p w14:paraId="4D72443D" w14:textId="77777777" w:rsidR="00A6617B" w:rsidRPr="00F651AF" w:rsidRDefault="00A6617B" w:rsidP="00A6617B">
            <w:pPr>
              <w:jc w:val="both"/>
              <w:rPr>
                <w:rFonts w:ascii="Arial" w:hAnsi="Arial"/>
                <w:b/>
                <w:bCs/>
                <w:spacing w:val="-2"/>
                <w:sz w:val="18"/>
                <w:szCs w:val="18"/>
              </w:rPr>
            </w:pPr>
            <w:r w:rsidRPr="00F651AF">
              <w:rPr>
                <w:rFonts w:ascii="Arial" w:hAnsi="Arial"/>
                <w:b/>
                <w:bCs/>
                <w:spacing w:val="-2"/>
                <w:sz w:val="18"/>
                <w:szCs w:val="18"/>
              </w:rPr>
              <w:t>Answer:</w:t>
            </w:r>
          </w:p>
          <w:p w14:paraId="48B27086" w14:textId="77777777" w:rsidR="00A6617B" w:rsidRDefault="00A6617B" w:rsidP="00A6617B">
            <w:pPr>
              <w:jc w:val="both"/>
              <w:rPr>
                <w:rFonts w:ascii="Arial" w:hAnsi="Arial"/>
                <w:spacing w:val="-2"/>
                <w:sz w:val="18"/>
                <w:szCs w:val="18"/>
              </w:rPr>
            </w:pPr>
          </w:p>
          <w:p w14:paraId="519B999B" w14:textId="77777777" w:rsidR="00A6617B" w:rsidRDefault="00A6617B" w:rsidP="00A6617B">
            <w:pPr>
              <w:jc w:val="both"/>
              <w:rPr>
                <w:rFonts w:ascii="Arial" w:hAnsi="Arial"/>
                <w:spacing w:val="-2"/>
                <w:sz w:val="18"/>
                <w:szCs w:val="18"/>
              </w:rPr>
            </w:pPr>
          </w:p>
          <w:p w14:paraId="2215B27C" w14:textId="42B42B5B" w:rsidR="00A6617B" w:rsidRDefault="00A6617B" w:rsidP="00A6617B">
            <w:pPr>
              <w:jc w:val="both"/>
              <w:rPr>
                <w:rFonts w:ascii="Arial" w:hAnsi="Arial"/>
                <w:spacing w:val="-2"/>
                <w:sz w:val="18"/>
                <w:szCs w:val="18"/>
              </w:rPr>
            </w:pPr>
          </w:p>
        </w:tc>
        <w:tc>
          <w:tcPr>
            <w:tcW w:w="448" w:type="dxa"/>
            <w:shd w:val="clear" w:color="auto" w:fill="D9D9D9" w:themeFill="background1" w:themeFillShade="D9"/>
            <w:noWrap/>
            <w:vAlign w:val="center"/>
          </w:tcPr>
          <w:p w14:paraId="356D1477" w14:textId="77777777" w:rsidR="00A6617B" w:rsidRPr="00A0149B" w:rsidRDefault="00A6617B" w:rsidP="003F2A9D">
            <w:pPr>
              <w:rPr>
                <w:rFonts w:ascii="Arial" w:hAnsi="Arial" w:cs="Arial"/>
                <w:sz w:val="18"/>
                <w:szCs w:val="18"/>
              </w:rPr>
            </w:pPr>
          </w:p>
        </w:tc>
        <w:tc>
          <w:tcPr>
            <w:tcW w:w="448" w:type="dxa"/>
            <w:shd w:val="clear" w:color="auto" w:fill="FFFFFF" w:themeFill="background1"/>
            <w:noWrap/>
            <w:vAlign w:val="center"/>
          </w:tcPr>
          <w:p w14:paraId="34B6F5C5" w14:textId="77777777" w:rsidR="00A6617B" w:rsidRPr="00A0149B" w:rsidRDefault="00A6617B" w:rsidP="003F2A9D">
            <w:pPr>
              <w:rPr>
                <w:rFonts w:ascii="Arial" w:hAnsi="Arial" w:cs="Arial"/>
                <w:sz w:val="18"/>
                <w:szCs w:val="18"/>
              </w:rPr>
            </w:pPr>
          </w:p>
        </w:tc>
        <w:tc>
          <w:tcPr>
            <w:tcW w:w="4867" w:type="dxa"/>
            <w:gridSpan w:val="2"/>
            <w:vAlign w:val="center"/>
          </w:tcPr>
          <w:p w14:paraId="6C133628" w14:textId="77777777" w:rsidR="00A6617B" w:rsidRDefault="00A6617B" w:rsidP="003F2A9D">
            <w:pPr>
              <w:jc w:val="both"/>
              <w:rPr>
                <w:rFonts w:ascii="Arial" w:hAnsi="Arial" w:cs="Arial"/>
                <w:sz w:val="18"/>
                <w:szCs w:val="18"/>
              </w:rPr>
            </w:pPr>
            <w:r w:rsidRPr="00F651AF">
              <w:rPr>
                <w:rFonts w:ascii="Arial" w:hAnsi="Arial" w:cs="Arial"/>
                <w:b/>
                <w:bCs/>
                <w:sz w:val="18"/>
                <w:szCs w:val="18"/>
              </w:rPr>
              <w:t>Section 10.2.7:</w:t>
            </w:r>
            <w:r>
              <w:rPr>
                <w:rFonts w:ascii="Arial" w:hAnsi="Arial" w:cs="Arial"/>
                <w:sz w:val="18"/>
                <w:szCs w:val="18"/>
              </w:rPr>
              <w:t xml:space="preserve"> See Section 10.2.6 for corrective actions associated with recoveries outside of acceptance limits.</w:t>
            </w:r>
          </w:p>
          <w:p w14:paraId="222F3DDC" w14:textId="77777777" w:rsidR="00A6617B" w:rsidRDefault="00A6617B" w:rsidP="003F2A9D">
            <w:pPr>
              <w:jc w:val="both"/>
              <w:rPr>
                <w:rFonts w:ascii="Arial" w:hAnsi="Arial" w:cs="Arial"/>
                <w:sz w:val="18"/>
                <w:szCs w:val="18"/>
              </w:rPr>
            </w:pPr>
          </w:p>
          <w:p w14:paraId="2294311D" w14:textId="77777777" w:rsidR="00A6617B" w:rsidRDefault="00A6617B" w:rsidP="00A6617B">
            <w:pPr>
              <w:jc w:val="both"/>
              <w:rPr>
                <w:rFonts w:ascii="Arial" w:hAnsi="Arial" w:cs="Arial"/>
                <w:sz w:val="18"/>
                <w:szCs w:val="18"/>
              </w:rPr>
            </w:pPr>
            <w:r w:rsidRPr="00F651AF">
              <w:rPr>
                <w:rFonts w:ascii="Arial" w:hAnsi="Arial" w:cs="Arial"/>
                <w:b/>
                <w:bCs/>
                <w:sz w:val="18"/>
                <w:szCs w:val="18"/>
              </w:rPr>
              <w:t xml:space="preserve">Section 10.2.6: </w:t>
            </w:r>
            <w:r>
              <w:rPr>
                <w:rFonts w:ascii="Arial" w:hAnsi="Arial" w:cs="Arial"/>
                <w:sz w:val="18"/>
                <w:szCs w:val="18"/>
              </w:rPr>
              <w:t>If the recoveries are low and outside of the acceptance limits, reanalyze the LCS and associated samples. If still outside of the acceptance limits, recalibrate.</w:t>
            </w:r>
          </w:p>
          <w:p w14:paraId="2A2CE021" w14:textId="77777777" w:rsidR="00A6617B" w:rsidRDefault="00A6617B" w:rsidP="00A6617B">
            <w:pPr>
              <w:jc w:val="both"/>
              <w:rPr>
                <w:rFonts w:ascii="Arial" w:hAnsi="Arial" w:cs="Arial"/>
                <w:sz w:val="18"/>
                <w:szCs w:val="18"/>
              </w:rPr>
            </w:pPr>
          </w:p>
          <w:p w14:paraId="169F2D7B" w14:textId="77777777" w:rsidR="00A6617B" w:rsidRDefault="00A6617B" w:rsidP="00A6617B">
            <w:pPr>
              <w:jc w:val="both"/>
              <w:rPr>
                <w:rFonts w:ascii="Arial" w:hAnsi="Arial" w:cs="Arial"/>
                <w:sz w:val="18"/>
                <w:szCs w:val="18"/>
              </w:rPr>
            </w:pPr>
            <w:r>
              <w:rPr>
                <w:rFonts w:ascii="Arial" w:hAnsi="Arial" w:cs="Arial"/>
                <w:sz w:val="18"/>
                <w:szCs w:val="18"/>
              </w:rPr>
              <w:t xml:space="preserve">If the recoveries are high and outside of the acceptance limits and the affected compound was detected in the </w:t>
            </w:r>
            <w:r>
              <w:rPr>
                <w:rFonts w:ascii="Arial" w:hAnsi="Arial" w:cs="Arial"/>
                <w:sz w:val="18"/>
                <w:szCs w:val="18"/>
              </w:rPr>
              <w:lastRenderedPageBreak/>
              <w:t xml:space="preserve">associated samples, reanalyze the LCS and the associated samples. If recoveries are still outside of the acceptance limits, recalibrate. </w:t>
            </w:r>
          </w:p>
          <w:p w14:paraId="73A072D7" w14:textId="77777777" w:rsidR="00A6617B" w:rsidRDefault="00A6617B" w:rsidP="00A6617B">
            <w:pPr>
              <w:jc w:val="both"/>
              <w:rPr>
                <w:rFonts w:ascii="Arial" w:hAnsi="Arial" w:cs="Arial"/>
                <w:sz w:val="18"/>
                <w:szCs w:val="18"/>
              </w:rPr>
            </w:pPr>
          </w:p>
          <w:p w14:paraId="69FF468E" w14:textId="6D6293EB" w:rsidR="00A6617B" w:rsidRDefault="00A6617B" w:rsidP="00A6617B">
            <w:pPr>
              <w:jc w:val="both"/>
              <w:rPr>
                <w:rFonts w:ascii="Arial" w:hAnsi="Arial" w:cs="Arial"/>
                <w:sz w:val="18"/>
                <w:szCs w:val="18"/>
              </w:rPr>
            </w:pPr>
            <w:r>
              <w:rPr>
                <w:rFonts w:ascii="Arial" w:hAnsi="Arial" w:cs="Arial"/>
                <w:sz w:val="18"/>
                <w:szCs w:val="18"/>
              </w:rPr>
              <w:t>If recoveries are high and sample results were nondetect, data can be reported without qualification; however, the high recoveries should be noted in the laboratory narrative.</w:t>
            </w:r>
          </w:p>
        </w:tc>
      </w:tr>
      <w:tr w:rsidR="00C3721C" w:rsidRPr="00A0149B" w14:paraId="76CACB44" w14:textId="77777777" w:rsidTr="000D36DE">
        <w:trPr>
          <w:trHeight w:val="264"/>
        </w:trPr>
        <w:tc>
          <w:tcPr>
            <w:tcW w:w="529" w:type="dxa"/>
            <w:noWrap/>
            <w:vAlign w:val="center"/>
          </w:tcPr>
          <w:p w14:paraId="73D0D864" w14:textId="4938E120"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2E0A7462" w14:textId="6F59E921" w:rsidR="00C3721C" w:rsidRDefault="00C3721C" w:rsidP="00C3721C">
            <w:pPr>
              <w:jc w:val="both"/>
              <w:rPr>
                <w:rFonts w:ascii="Arial" w:hAnsi="Arial"/>
                <w:spacing w:val="-2"/>
                <w:sz w:val="18"/>
                <w:szCs w:val="18"/>
              </w:rPr>
            </w:pPr>
            <w:r w:rsidRPr="00EE3AA4">
              <w:rPr>
                <w:rFonts w:ascii="Arial" w:hAnsi="Arial"/>
                <w:spacing w:val="-2"/>
                <w:sz w:val="18"/>
                <w:szCs w:val="18"/>
              </w:rPr>
              <w:t xml:space="preserve">Is </w:t>
            </w:r>
            <w:proofErr w:type="gramStart"/>
            <w:r w:rsidRPr="00EE3AA4">
              <w:rPr>
                <w:rFonts w:ascii="Arial" w:hAnsi="Arial"/>
                <w:spacing w:val="-2"/>
                <w:sz w:val="18"/>
                <w:szCs w:val="18"/>
              </w:rPr>
              <w:t xml:space="preserve">a </w:t>
            </w:r>
            <w:r w:rsidR="005A7A12">
              <w:rPr>
                <w:rFonts w:ascii="Arial" w:hAnsi="Arial"/>
                <w:spacing w:val="-2"/>
                <w:sz w:val="18"/>
                <w:szCs w:val="18"/>
              </w:rPr>
              <w:t>Laboratory</w:t>
            </w:r>
            <w:proofErr w:type="gramEnd"/>
            <w:r w:rsidR="005A7A12">
              <w:rPr>
                <w:rFonts w:ascii="Arial" w:hAnsi="Arial"/>
                <w:spacing w:val="-2"/>
                <w:sz w:val="18"/>
                <w:szCs w:val="18"/>
              </w:rPr>
              <w:t xml:space="preserve"> M</w:t>
            </w:r>
            <w:r w:rsidR="003F2A9D" w:rsidRPr="00EE3AA4">
              <w:rPr>
                <w:rFonts w:ascii="Arial" w:hAnsi="Arial"/>
                <w:spacing w:val="-2"/>
                <w:sz w:val="18"/>
                <w:szCs w:val="18"/>
              </w:rPr>
              <w:t xml:space="preserve">ethod </w:t>
            </w:r>
            <w:r w:rsidR="00F74645">
              <w:rPr>
                <w:rFonts w:ascii="Arial" w:hAnsi="Arial"/>
                <w:spacing w:val="-2"/>
                <w:sz w:val="18"/>
                <w:szCs w:val="18"/>
              </w:rPr>
              <w:t>B</w:t>
            </w:r>
            <w:r w:rsidR="003F2A9D" w:rsidRPr="00EE3AA4">
              <w:rPr>
                <w:rFonts w:ascii="Arial" w:hAnsi="Arial"/>
                <w:spacing w:val="-2"/>
                <w:sz w:val="18"/>
                <w:szCs w:val="18"/>
              </w:rPr>
              <w:t>lank (</w:t>
            </w:r>
            <w:r w:rsidR="005A7A12">
              <w:rPr>
                <w:rFonts w:ascii="Arial" w:hAnsi="Arial"/>
                <w:spacing w:val="-2"/>
                <w:sz w:val="18"/>
                <w:szCs w:val="18"/>
              </w:rPr>
              <w:t>L</w:t>
            </w:r>
            <w:r w:rsidR="003F2A9D" w:rsidRPr="00EE3AA4">
              <w:rPr>
                <w:rFonts w:ascii="Arial" w:hAnsi="Arial"/>
                <w:spacing w:val="-2"/>
                <w:sz w:val="18"/>
                <w:szCs w:val="18"/>
              </w:rPr>
              <w:t>MB</w:t>
            </w:r>
            <w:r w:rsidRPr="00EE3AA4">
              <w:rPr>
                <w:rFonts w:ascii="Arial" w:hAnsi="Arial"/>
                <w:spacing w:val="-2"/>
                <w:sz w:val="18"/>
                <w:szCs w:val="18"/>
              </w:rPr>
              <w:t>) prepared and analyzed with each batch of up to 20 samples? [MADEP VPH Rev. 2.1 (Feb 2018) Section</w:t>
            </w:r>
            <w:r>
              <w:rPr>
                <w:rFonts w:ascii="Arial" w:hAnsi="Arial"/>
                <w:spacing w:val="-2"/>
                <w:sz w:val="18"/>
                <w:szCs w:val="18"/>
              </w:rPr>
              <w:t>s</w:t>
            </w:r>
            <w:r w:rsidRPr="00EE3AA4">
              <w:rPr>
                <w:rFonts w:ascii="Arial" w:hAnsi="Arial"/>
                <w:spacing w:val="-2"/>
                <w:sz w:val="18"/>
                <w:szCs w:val="18"/>
              </w:rPr>
              <w:t xml:space="preserve"> 10.1.2</w:t>
            </w:r>
            <w:r>
              <w:rPr>
                <w:rFonts w:ascii="Arial" w:hAnsi="Arial"/>
                <w:spacing w:val="-2"/>
                <w:sz w:val="18"/>
                <w:szCs w:val="18"/>
              </w:rPr>
              <w:t xml:space="preserve"> and 10.2.3</w:t>
            </w:r>
            <w:r w:rsidRPr="00EE3AA4">
              <w:rPr>
                <w:rFonts w:ascii="Arial" w:hAnsi="Arial"/>
                <w:spacing w:val="-2"/>
                <w:sz w:val="18"/>
                <w:szCs w:val="18"/>
              </w:rPr>
              <w:t>]</w:t>
            </w:r>
          </w:p>
        </w:tc>
        <w:tc>
          <w:tcPr>
            <w:tcW w:w="448" w:type="dxa"/>
            <w:shd w:val="clear" w:color="auto" w:fill="FFFFFF" w:themeFill="background1"/>
            <w:noWrap/>
            <w:vAlign w:val="center"/>
          </w:tcPr>
          <w:p w14:paraId="621F9769"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71007FBE" w14:textId="77777777" w:rsidR="00C3721C" w:rsidRPr="00A0149B" w:rsidRDefault="00C3721C" w:rsidP="00C3721C">
            <w:pPr>
              <w:rPr>
                <w:rFonts w:ascii="Arial" w:hAnsi="Arial" w:cs="Arial"/>
                <w:sz w:val="18"/>
                <w:szCs w:val="18"/>
              </w:rPr>
            </w:pPr>
          </w:p>
        </w:tc>
        <w:tc>
          <w:tcPr>
            <w:tcW w:w="4867" w:type="dxa"/>
            <w:gridSpan w:val="2"/>
            <w:vAlign w:val="center"/>
          </w:tcPr>
          <w:p w14:paraId="1FF642DC" w14:textId="15DD319C" w:rsidR="00C3721C" w:rsidRDefault="00324078" w:rsidP="00C3721C">
            <w:pPr>
              <w:jc w:val="both"/>
              <w:rPr>
                <w:rFonts w:ascii="Arial" w:hAnsi="Arial" w:cs="Arial"/>
                <w:sz w:val="18"/>
                <w:szCs w:val="18"/>
              </w:rPr>
            </w:pPr>
            <w:r>
              <w:rPr>
                <w:rFonts w:ascii="Arial" w:hAnsi="Arial" w:cs="Arial"/>
                <w:b/>
                <w:bCs/>
                <w:sz w:val="18"/>
                <w:szCs w:val="18"/>
              </w:rPr>
              <w:t xml:space="preserve">Section </w:t>
            </w:r>
            <w:r w:rsidR="008E2170">
              <w:rPr>
                <w:rFonts w:ascii="Arial" w:hAnsi="Arial" w:cs="Arial"/>
                <w:b/>
                <w:bCs/>
                <w:sz w:val="18"/>
                <w:szCs w:val="18"/>
              </w:rPr>
              <w:t xml:space="preserve">10.1.2: </w:t>
            </w:r>
            <w:r w:rsidR="00C3721C" w:rsidRPr="00EE3AA4">
              <w:rPr>
                <w:rFonts w:ascii="Arial" w:hAnsi="Arial" w:cs="Arial"/>
                <w:sz w:val="18"/>
                <w:szCs w:val="18"/>
              </w:rPr>
              <w:t>At a minimum, for each analytical batch (up to 20 samples of similar matrix), a beginning Initial Calibration or Opening mid-range Continuing Calibration Standard, Closing mid-range Continuing Calibration Standard</w:t>
            </w:r>
            <w:r w:rsidR="00C3721C" w:rsidRPr="00EE3AA4">
              <w:rPr>
                <w:rFonts w:ascii="Arial" w:hAnsi="Arial" w:cs="Arial"/>
                <w:b/>
                <w:bCs/>
                <w:sz w:val="18"/>
                <w:szCs w:val="18"/>
              </w:rPr>
              <w:t>, LMB</w:t>
            </w:r>
            <w:r w:rsidR="00C3721C" w:rsidRPr="00EE3AA4">
              <w:rPr>
                <w:rFonts w:ascii="Arial" w:hAnsi="Arial" w:cs="Arial"/>
                <w:sz w:val="18"/>
                <w:szCs w:val="18"/>
              </w:rPr>
              <w:t>, LCS and LCSD must be analyzed.</w:t>
            </w:r>
          </w:p>
          <w:p w14:paraId="2CD4DCEB" w14:textId="77777777" w:rsidR="00324078" w:rsidRDefault="00324078" w:rsidP="00C3721C">
            <w:pPr>
              <w:jc w:val="both"/>
              <w:rPr>
                <w:rFonts w:ascii="Arial" w:hAnsi="Arial" w:cs="Arial"/>
                <w:sz w:val="18"/>
                <w:szCs w:val="18"/>
              </w:rPr>
            </w:pPr>
          </w:p>
          <w:p w14:paraId="73F4D862" w14:textId="6D79478F" w:rsidR="00C3721C" w:rsidRDefault="00324078" w:rsidP="00C3721C">
            <w:pPr>
              <w:jc w:val="both"/>
              <w:rPr>
                <w:rFonts w:ascii="Arial" w:hAnsi="Arial" w:cs="Arial"/>
                <w:sz w:val="18"/>
                <w:szCs w:val="18"/>
              </w:rPr>
            </w:pPr>
            <w:r>
              <w:rPr>
                <w:rFonts w:ascii="Arial" w:hAnsi="Arial" w:cs="Arial"/>
                <w:b/>
                <w:bCs/>
                <w:sz w:val="18"/>
                <w:szCs w:val="18"/>
              </w:rPr>
              <w:t xml:space="preserve">Section 10.2.3: </w:t>
            </w:r>
            <w:r w:rsidR="00C3721C" w:rsidRPr="009717BC">
              <w:rPr>
                <w:rFonts w:ascii="Arial" w:hAnsi="Arial" w:cs="Arial"/>
                <w:sz w:val="18"/>
                <w:szCs w:val="18"/>
              </w:rPr>
              <w:t>A water or soil LMB is prepared by fortifying a reagent water blank (for aqueous samples), or 25 ml of methanol (for soil/sediment samples) with the surrogate spiking solution (using same volume of surrogate as samples).</w:t>
            </w:r>
          </w:p>
          <w:p w14:paraId="3B318BBE" w14:textId="77777777" w:rsidR="00C3721C" w:rsidRPr="00A0149B" w:rsidRDefault="00C3721C" w:rsidP="00C3721C">
            <w:pPr>
              <w:jc w:val="both"/>
              <w:rPr>
                <w:rFonts w:ascii="Arial" w:hAnsi="Arial" w:cs="Arial"/>
                <w:sz w:val="18"/>
                <w:szCs w:val="18"/>
              </w:rPr>
            </w:pPr>
          </w:p>
        </w:tc>
      </w:tr>
      <w:tr w:rsidR="00C3721C" w:rsidRPr="00A0149B" w14:paraId="7215B7F8" w14:textId="77777777" w:rsidTr="000D36DE">
        <w:trPr>
          <w:trHeight w:val="264"/>
        </w:trPr>
        <w:tc>
          <w:tcPr>
            <w:tcW w:w="529" w:type="dxa"/>
            <w:noWrap/>
            <w:vAlign w:val="center"/>
          </w:tcPr>
          <w:p w14:paraId="5CE4E856" w14:textId="26216A2F"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54B2162A" w14:textId="6684821E" w:rsidR="00C3721C" w:rsidRDefault="00C3721C" w:rsidP="00C3721C">
            <w:pPr>
              <w:jc w:val="both"/>
              <w:rPr>
                <w:rFonts w:ascii="Arial" w:hAnsi="Arial"/>
                <w:spacing w:val="-2"/>
                <w:sz w:val="18"/>
                <w:szCs w:val="18"/>
              </w:rPr>
            </w:pPr>
            <w:r>
              <w:rPr>
                <w:rFonts w:ascii="Arial" w:hAnsi="Arial"/>
                <w:spacing w:val="-2"/>
                <w:sz w:val="18"/>
                <w:szCs w:val="18"/>
              </w:rPr>
              <w:t xml:space="preserve">Are the </w:t>
            </w:r>
            <w:r w:rsidR="005A7A12">
              <w:rPr>
                <w:rFonts w:ascii="Arial" w:hAnsi="Arial"/>
                <w:spacing w:val="-2"/>
                <w:sz w:val="18"/>
                <w:szCs w:val="18"/>
              </w:rPr>
              <w:t>L</w:t>
            </w:r>
            <w:r w:rsidR="003F2A9D">
              <w:rPr>
                <w:rFonts w:ascii="Arial" w:hAnsi="Arial"/>
                <w:spacing w:val="-2"/>
                <w:sz w:val="18"/>
                <w:szCs w:val="18"/>
              </w:rPr>
              <w:t>MB</w:t>
            </w:r>
            <w:r>
              <w:rPr>
                <w:rFonts w:ascii="Arial" w:hAnsi="Arial"/>
                <w:spacing w:val="-2"/>
                <w:sz w:val="18"/>
                <w:szCs w:val="18"/>
              </w:rPr>
              <w:t xml:space="preserve"> and LCS analyzed prior to the samples?</w:t>
            </w:r>
            <w:r>
              <w:t xml:space="preserve"> </w:t>
            </w:r>
            <w:r w:rsidRPr="00DA0154">
              <w:rPr>
                <w:rFonts w:ascii="Arial" w:hAnsi="Arial"/>
                <w:spacing w:val="-2"/>
                <w:sz w:val="18"/>
                <w:szCs w:val="18"/>
              </w:rPr>
              <w:t>[MADEP VPH Rev. 2.1 (Feb 2018) Section 10.1.2]</w:t>
            </w:r>
          </w:p>
        </w:tc>
        <w:tc>
          <w:tcPr>
            <w:tcW w:w="448" w:type="dxa"/>
            <w:shd w:val="clear" w:color="auto" w:fill="FFFFFF" w:themeFill="background1"/>
            <w:noWrap/>
            <w:vAlign w:val="center"/>
          </w:tcPr>
          <w:p w14:paraId="4F092AD0"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2DBC5A6F" w14:textId="77777777" w:rsidR="00C3721C" w:rsidRPr="00A0149B" w:rsidRDefault="00C3721C" w:rsidP="00C3721C">
            <w:pPr>
              <w:rPr>
                <w:rFonts w:ascii="Arial" w:hAnsi="Arial" w:cs="Arial"/>
                <w:sz w:val="18"/>
                <w:szCs w:val="18"/>
              </w:rPr>
            </w:pPr>
          </w:p>
        </w:tc>
        <w:tc>
          <w:tcPr>
            <w:tcW w:w="4867" w:type="dxa"/>
            <w:gridSpan w:val="2"/>
            <w:vAlign w:val="center"/>
          </w:tcPr>
          <w:p w14:paraId="2DE62B3E" w14:textId="77777777" w:rsidR="00C3721C" w:rsidRPr="00A0149B" w:rsidRDefault="00C3721C" w:rsidP="00C3721C">
            <w:pPr>
              <w:jc w:val="both"/>
              <w:rPr>
                <w:rFonts w:ascii="Arial" w:hAnsi="Arial" w:cs="Arial"/>
                <w:sz w:val="18"/>
                <w:szCs w:val="18"/>
              </w:rPr>
            </w:pPr>
            <w:r w:rsidRPr="00A74401">
              <w:rPr>
                <w:rFonts w:ascii="Arial" w:hAnsi="Arial" w:cs="Arial"/>
                <w:sz w:val="18"/>
                <w:szCs w:val="18"/>
              </w:rPr>
              <w:t>The Initial Calibration or</w:t>
            </w:r>
            <w:r>
              <w:rPr>
                <w:rFonts w:ascii="Arial" w:hAnsi="Arial" w:cs="Arial"/>
                <w:sz w:val="18"/>
                <w:szCs w:val="18"/>
              </w:rPr>
              <w:t xml:space="preserve"> </w:t>
            </w:r>
            <w:r w:rsidRPr="00A74401">
              <w:rPr>
                <w:rFonts w:ascii="Arial" w:hAnsi="Arial" w:cs="Arial"/>
                <w:sz w:val="18"/>
                <w:szCs w:val="18"/>
              </w:rPr>
              <w:t xml:space="preserve">Continuing Calibration Standard, </w:t>
            </w:r>
            <w:r w:rsidRPr="00A74401">
              <w:rPr>
                <w:rFonts w:ascii="Arial" w:hAnsi="Arial" w:cs="Arial"/>
                <w:b/>
                <w:bCs/>
                <w:sz w:val="18"/>
                <w:szCs w:val="18"/>
              </w:rPr>
              <w:t xml:space="preserve">LMB, </w:t>
            </w:r>
            <w:r w:rsidRPr="00A74401">
              <w:rPr>
                <w:rFonts w:ascii="Arial" w:hAnsi="Arial" w:cs="Arial"/>
                <w:sz w:val="18"/>
                <w:szCs w:val="18"/>
              </w:rPr>
              <w:t>and</w:t>
            </w:r>
            <w:r w:rsidRPr="00A74401">
              <w:rPr>
                <w:rFonts w:ascii="Arial" w:hAnsi="Arial" w:cs="Arial"/>
                <w:b/>
                <w:bCs/>
                <w:sz w:val="18"/>
                <w:szCs w:val="18"/>
              </w:rPr>
              <w:t xml:space="preserve"> LCS</w:t>
            </w:r>
            <w:r w:rsidRPr="00A74401">
              <w:rPr>
                <w:rFonts w:ascii="Arial" w:hAnsi="Arial" w:cs="Arial"/>
                <w:sz w:val="18"/>
                <w:szCs w:val="18"/>
              </w:rPr>
              <w:t xml:space="preserve"> must be analyzed prior to samples.</w:t>
            </w:r>
          </w:p>
        </w:tc>
      </w:tr>
      <w:tr w:rsidR="00C3721C" w:rsidRPr="00A0149B" w14:paraId="3F47429F" w14:textId="77777777" w:rsidTr="000D36DE">
        <w:trPr>
          <w:trHeight w:val="264"/>
        </w:trPr>
        <w:tc>
          <w:tcPr>
            <w:tcW w:w="529" w:type="dxa"/>
            <w:noWrap/>
            <w:vAlign w:val="center"/>
          </w:tcPr>
          <w:p w14:paraId="6E472A6D" w14:textId="13DA520C"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48866FB5" w14:textId="5FB0D092" w:rsidR="003F2A9D" w:rsidRDefault="00C3721C" w:rsidP="003F2A9D">
            <w:pPr>
              <w:jc w:val="both"/>
              <w:rPr>
                <w:rFonts w:ascii="Arial" w:hAnsi="Arial"/>
                <w:sz w:val="18"/>
                <w:szCs w:val="18"/>
              </w:rPr>
            </w:pPr>
            <w:r w:rsidRPr="003F625E">
              <w:rPr>
                <w:rFonts w:ascii="Arial" w:hAnsi="Arial"/>
                <w:sz w:val="18"/>
                <w:szCs w:val="18"/>
              </w:rPr>
              <w:t xml:space="preserve">What is the acceptance criterion for the </w:t>
            </w:r>
            <w:r w:rsidR="005031CF">
              <w:rPr>
                <w:rFonts w:ascii="Arial" w:hAnsi="Arial"/>
                <w:sz w:val="18"/>
                <w:szCs w:val="18"/>
              </w:rPr>
              <w:t>L</w:t>
            </w:r>
            <w:r w:rsidR="003F2A9D">
              <w:rPr>
                <w:rFonts w:ascii="Arial" w:hAnsi="Arial"/>
                <w:sz w:val="18"/>
                <w:szCs w:val="18"/>
              </w:rPr>
              <w:t>MB</w:t>
            </w:r>
            <w:r w:rsidRPr="003F625E">
              <w:rPr>
                <w:rFonts w:ascii="Arial" w:hAnsi="Arial"/>
                <w:sz w:val="18"/>
                <w:szCs w:val="18"/>
              </w:rPr>
              <w:t>?</w:t>
            </w:r>
            <w:r>
              <w:t xml:space="preserve"> </w:t>
            </w:r>
            <w:r w:rsidRPr="00FD02EB">
              <w:rPr>
                <w:rFonts w:ascii="Arial" w:hAnsi="Arial"/>
                <w:sz w:val="18"/>
                <w:szCs w:val="18"/>
              </w:rPr>
              <w:t>[MADEP VPH Rev. 2.1 (Feb 2018) Section 10.2.</w:t>
            </w:r>
            <w:r>
              <w:rPr>
                <w:rFonts w:ascii="Arial" w:hAnsi="Arial"/>
                <w:sz w:val="18"/>
                <w:szCs w:val="18"/>
              </w:rPr>
              <w:t>3</w:t>
            </w:r>
            <w:r w:rsidRPr="00FD02EB">
              <w:rPr>
                <w:rFonts w:ascii="Arial" w:hAnsi="Arial"/>
                <w:sz w:val="18"/>
                <w:szCs w:val="18"/>
              </w:rPr>
              <w:t>]</w:t>
            </w:r>
          </w:p>
          <w:p w14:paraId="2297A874" w14:textId="77777777" w:rsidR="00103BA1" w:rsidRDefault="00103BA1" w:rsidP="003F2A9D">
            <w:pPr>
              <w:jc w:val="both"/>
              <w:rPr>
                <w:rFonts w:ascii="Arial" w:hAnsi="Arial"/>
                <w:sz w:val="18"/>
                <w:szCs w:val="18"/>
              </w:rPr>
            </w:pPr>
          </w:p>
          <w:p w14:paraId="50824ACE" w14:textId="77777777" w:rsidR="00103BA1" w:rsidRPr="00EB5A0A" w:rsidRDefault="00103BA1" w:rsidP="003F2A9D">
            <w:pPr>
              <w:jc w:val="both"/>
              <w:rPr>
                <w:rFonts w:ascii="Arial" w:hAnsi="Arial"/>
                <w:b/>
                <w:bCs/>
                <w:sz w:val="18"/>
                <w:szCs w:val="18"/>
              </w:rPr>
            </w:pPr>
            <w:r w:rsidRPr="00EB5A0A">
              <w:rPr>
                <w:rFonts w:ascii="Arial" w:hAnsi="Arial"/>
                <w:b/>
                <w:bCs/>
                <w:sz w:val="18"/>
                <w:szCs w:val="18"/>
              </w:rPr>
              <w:t>Answer:</w:t>
            </w:r>
          </w:p>
          <w:p w14:paraId="297026CE" w14:textId="77777777" w:rsidR="00103BA1" w:rsidRDefault="00103BA1" w:rsidP="003F2A9D">
            <w:pPr>
              <w:jc w:val="both"/>
              <w:rPr>
                <w:rFonts w:ascii="Arial" w:hAnsi="Arial"/>
                <w:sz w:val="18"/>
                <w:szCs w:val="18"/>
              </w:rPr>
            </w:pPr>
          </w:p>
          <w:p w14:paraId="3B337928" w14:textId="507099B8" w:rsidR="00C3721C" w:rsidRDefault="00C3721C" w:rsidP="00C3721C">
            <w:pPr>
              <w:jc w:val="both"/>
              <w:rPr>
                <w:rFonts w:ascii="Arial" w:hAnsi="Arial"/>
                <w:spacing w:val="-2"/>
                <w:sz w:val="18"/>
                <w:szCs w:val="18"/>
              </w:rPr>
            </w:pPr>
          </w:p>
        </w:tc>
        <w:tc>
          <w:tcPr>
            <w:tcW w:w="448" w:type="dxa"/>
            <w:shd w:val="clear" w:color="auto" w:fill="D9D9D9" w:themeFill="background1" w:themeFillShade="D9"/>
            <w:noWrap/>
            <w:vAlign w:val="center"/>
          </w:tcPr>
          <w:p w14:paraId="40BBBA30"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7CE2A84A" w14:textId="77777777" w:rsidR="00C3721C" w:rsidRPr="00A0149B" w:rsidRDefault="00C3721C" w:rsidP="00C3721C">
            <w:pPr>
              <w:rPr>
                <w:rFonts w:ascii="Arial" w:hAnsi="Arial" w:cs="Arial"/>
                <w:sz w:val="18"/>
                <w:szCs w:val="18"/>
              </w:rPr>
            </w:pPr>
          </w:p>
        </w:tc>
        <w:tc>
          <w:tcPr>
            <w:tcW w:w="4867" w:type="dxa"/>
            <w:gridSpan w:val="2"/>
            <w:vAlign w:val="center"/>
          </w:tcPr>
          <w:p w14:paraId="1E5F0B75" w14:textId="535D6A22" w:rsidR="00C3721C" w:rsidRPr="00A0149B" w:rsidRDefault="00C3721C" w:rsidP="00C3721C">
            <w:pPr>
              <w:jc w:val="both"/>
              <w:rPr>
                <w:rFonts w:ascii="Arial" w:hAnsi="Arial" w:cs="Arial"/>
                <w:sz w:val="18"/>
                <w:szCs w:val="18"/>
              </w:rPr>
            </w:pPr>
            <w:r w:rsidRPr="410C48A7">
              <w:rPr>
                <w:rFonts w:ascii="Arial" w:hAnsi="Arial" w:cs="Arial"/>
                <w:sz w:val="18"/>
                <w:szCs w:val="18"/>
              </w:rPr>
              <w:t>Peaks must not be detected above the RL within the retention time window of any analyte of interest.</w:t>
            </w:r>
          </w:p>
        </w:tc>
      </w:tr>
      <w:tr w:rsidR="00C3721C" w:rsidRPr="00A0149B" w14:paraId="2558BF60" w14:textId="77777777" w:rsidTr="000D36DE">
        <w:trPr>
          <w:trHeight w:val="264"/>
        </w:trPr>
        <w:tc>
          <w:tcPr>
            <w:tcW w:w="529" w:type="dxa"/>
            <w:noWrap/>
            <w:vAlign w:val="center"/>
          </w:tcPr>
          <w:p w14:paraId="2BD3B3AA" w14:textId="398A64CF"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7BFF4445" w14:textId="481C5725" w:rsidR="003F2A9D" w:rsidRDefault="0064057B" w:rsidP="003F2A9D">
            <w:pPr>
              <w:jc w:val="both"/>
              <w:rPr>
                <w:rFonts w:ascii="Arial" w:hAnsi="Arial"/>
                <w:sz w:val="18"/>
                <w:szCs w:val="18"/>
              </w:rPr>
            </w:pPr>
            <w:r>
              <w:rPr>
                <w:rFonts w:ascii="Arial" w:hAnsi="Arial"/>
                <w:spacing w:val="-3"/>
                <w:sz w:val="18"/>
                <w:szCs w:val="18"/>
              </w:rPr>
              <w:t xml:space="preserve">What corrective actions are taken if the </w:t>
            </w:r>
            <w:r w:rsidR="003F4545">
              <w:rPr>
                <w:rFonts w:ascii="Arial" w:hAnsi="Arial"/>
                <w:spacing w:val="-3"/>
                <w:sz w:val="18"/>
                <w:szCs w:val="18"/>
              </w:rPr>
              <w:t>L</w:t>
            </w:r>
            <w:r>
              <w:rPr>
                <w:rFonts w:ascii="Arial" w:hAnsi="Arial"/>
                <w:spacing w:val="-3"/>
                <w:sz w:val="18"/>
                <w:szCs w:val="18"/>
              </w:rPr>
              <w:t>MB exceeds the acceptance criteria</w:t>
            </w:r>
            <w:r w:rsidR="00327504">
              <w:rPr>
                <w:rFonts w:ascii="Arial" w:hAnsi="Arial"/>
                <w:spacing w:val="-3"/>
                <w:sz w:val="18"/>
                <w:szCs w:val="18"/>
              </w:rPr>
              <w:t xml:space="preserve">? </w:t>
            </w:r>
            <w:r w:rsidR="00327504" w:rsidRPr="00FD02EB">
              <w:rPr>
                <w:rFonts w:ascii="Arial" w:hAnsi="Arial"/>
                <w:sz w:val="18"/>
                <w:szCs w:val="18"/>
              </w:rPr>
              <w:t>[MADEP VPH Rev. 2.1 (Feb 2018) Section 10.</w:t>
            </w:r>
            <w:r w:rsidR="00327504">
              <w:rPr>
                <w:rFonts w:ascii="Arial" w:hAnsi="Arial"/>
                <w:sz w:val="18"/>
                <w:szCs w:val="18"/>
              </w:rPr>
              <w:t>4</w:t>
            </w:r>
            <w:r w:rsidR="00327504" w:rsidRPr="00FD02EB">
              <w:rPr>
                <w:rFonts w:ascii="Arial" w:hAnsi="Arial"/>
                <w:sz w:val="18"/>
                <w:szCs w:val="18"/>
              </w:rPr>
              <w:t>]</w:t>
            </w:r>
          </w:p>
          <w:p w14:paraId="733FC0D2" w14:textId="77777777" w:rsidR="005A7A12" w:rsidRDefault="005A7A12" w:rsidP="003F2A9D">
            <w:pPr>
              <w:jc w:val="both"/>
              <w:rPr>
                <w:rFonts w:ascii="Arial" w:hAnsi="Arial"/>
                <w:sz w:val="18"/>
                <w:szCs w:val="18"/>
              </w:rPr>
            </w:pPr>
          </w:p>
          <w:p w14:paraId="19703B92" w14:textId="77777777" w:rsidR="005A7A12" w:rsidRDefault="005A7A12" w:rsidP="003F2A9D">
            <w:pPr>
              <w:jc w:val="both"/>
              <w:rPr>
                <w:rFonts w:ascii="Arial" w:hAnsi="Arial"/>
                <w:b/>
                <w:bCs/>
                <w:sz w:val="18"/>
                <w:szCs w:val="18"/>
              </w:rPr>
            </w:pPr>
            <w:r>
              <w:rPr>
                <w:rFonts w:ascii="Arial" w:hAnsi="Arial"/>
                <w:b/>
                <w:bCs/>
                <w:sz w:val="18"/>
                <w:szCs w:val="18"/>
              </w:rPr>
              <w:t>Answer:</w:t>
            </w:r>
          </w:p>
          <w:p w14:paraId="4989AA26" w14:textId="77777777" w:rsidR="005A7A12" w:rsidRDefault="005A7A12" w:rsidP="003F2A9D">
            <w:pPr>
              <w:jc w:val="both"/>
              <w:rPr>
                <w:rFonts w:ascii="Arial" w:hAnsi="Arial"/>
                <w:b/>
                <w:bCs/>
                <w:sz w:val="18"/>
                <w:szCs w:val="18"/>
              </w:rPr>
            </w:pPr>
          </w:p>
          <w:p w14:paraId="679F67F3" w14:textId="77777777" w:rsidR="005A7A12" w:rsidRDefault="005A7A12" w:rsidP="003F2A9D">
            <w:pPr>
              <w:jc w:val="both"/>
              <w:rPr>
                <w:rFonts w:ascii="Arial" w:hAnsi="Arial"/>
                <w:b/>
                <w:bCs/>
                <w:sz w:val="18"/>
                <w:szCs w:val="18"/>
              </w:rPr>
            </w:pPr>
          </w:p>
          <w:p w14:paraId="73A05BCB" w14:textId="69E2397F" w:rsidR="00C3721C" w:rsidRPr="005A7A12" w:rsidRDefault="00C3721C" w:rsidP="00C3721C">
            <w:pPr>
              <w:jc w:val="both"/>
              <w:rPr>
                <w:rFonts w:ascii="Arial" w:hAnsi="Arial"/>
                <w:b/>
                <w:spacing w:val="-2"/>
                <w:sz w:val="18"/>
                <w:szCs w:val="18"/>
              </w:rPr>
            </w:pPr>
          </w:p>
        </w:tc>
        <w:tc>
          <w:tcPr>
            <w:tcW w:w="448" w:type="dxa"/>
            <w:shd w:val="clear" w:color="auto" w:fill="D9D9D9" w:themeFill="background1" w:themeFillShade="D9"/>
            <w:noWrap/>
            <w:vAlign w:val="center"/>
          </w:tcPr>
          <w:p w14:paraId="69EE6F2F"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7B2C4266" w14:textId="77777777" w:rsidR="00C3721C" w:rsidRPr="00A0149B" w:rsidRDefault="00C3721C" w:rsidP="00C3721C">
            <w:pPr>
              <w:rPr>
                <w:rFonts w:ascii="Arial" w:hAnsi="Arial" w:cs="Arial"/>
                <w:sz w:val="18"/>
                <w:szCs w:val="18"/>
              </w:rPr>
            </w:pPr>
          </w:p>
        </w:tc>
        <w:tc>
          <w:tcPr>
            <w:tcW w:w="4867" w:type="dxa"/>
            <w:gridSpan w:val="2"/>
            <w:vAlign w:val="center"/>
          </w:tcPr>
          <w:p w14:paraId="48EC1E71" w14:textId="51F1EC31" w:rsidR="00C3721C" w:rsidRPr="00A0149B" w:rsidRDefault="00327504" w:rsidP="00C3721C">
            <w:pPr>
              <w:jc w:val="both"/>
              <w:rPr>
                <w:rFonts w:ascii="Arial" w:hAnsi="Arial" w:cs="Arial"/>
                <w:sz w:val="18"/>
                <w:szCs w:val="18"/>
              </w:rPr>
            </w:pPr>
            <w:r>
              <w:rPr>
                <w:rFonts w:ascii="Arial" w:hAnsi="Arial" w:cs="Arial"/>
                <w:sz w:val="18"/>
                <w:szCs w:val="18"/>
              </w:rPr>
              <w:t xml:space="preserve">If any of the performance standards specified in Section 10.2 are not met, the cause of the </w:t>
            </w:r>
            <w:r w:rsidR="00145EE0">
              <w:rPr>
                <w:rFonts w:ascii="Arial" w:hAnsi="Arial" w:cs="Arial"/>
                <w:sz w:val="18"/>
                <w:szCs w:val="18"/>
              </w:rPr>
              <w:t xml:space="preserve">non-conformance must be identified and corrected before any additional samples may be analyzed. Any samples </w:t>
            </w:r>
            <w:r w:rsidR="007D2035">
              <w:rPr>
                <w:rFonts w:ascii="Arial" w:hAnsi="Arial" w:cs="Arial"/>
                <w:sz w:val="18"/>
                <w:szCs w:val="18"/>
              </w:rPr>
              <w:t xml:space="preserve">run between the QC samples that met the criteria and those that </w:t>
            </w:r>
            <w:proofErr w:type="gramStart"/>
            <w:r w:rsidR="007D2035">
              <w:rPr>
                <w:rFonts w:ascii="Arial" w:hAnsi="Arial" w:cs="Arial"/>
                <w:sz w:val="18"/>
                <w:szCs w:val="18"/>
              </w:rPr>
              <w:t>are</w:t>
            </w:r>
            <w:proofErr w:type="gramEnd"/>
            <w:r w:rsidR="007D2035">
              <w:rPr>
                <w:rFonts w:ascii="Arial" w:hAnsi="Arial" w:cs="Arial"/>
                <w:sz w:val="18"/>
                <w:szCs w:val="18"/>
              </w:rPr>
              <w:t xml:space="preserve"> fallen out must be reanalyzed, as noted in Section 10.2. The</w:t>
            </w:r>
            <w:r w:rsidR="005A7A12">
              <w:rPr>
                <w:rFonts w:ascii="Arial" w:hAnsi="Arial" w:cs="Arial"/>
                <w:sz w:val="18"/>
                <w:szCs w:val="18"/>
              </w:rPr>
              <w:t xml:space="preserve">se QC samples include the Continuing Calibration Standard, LMB, LCS, and LCSD. If this is not possible, the data must be reported as suspect. </w:t>
            </w:r>
          </w:p>
        </w:tc>
      </w:tr>
      <w:tr w:rsidR="00C3721C" w:rsidRPr="00A0149B" w14:paraId="31DE7E7E" w14:textId="77777777" w:rsidTr="000D36DE">
        <w:trPr>
          <w:trHeight w:val="264"/>
        </w:trPr>
        <w:tc>
          <w:tcPr>
            <w:tcW w:w="529" w:type="dxa"/>
            <w:noWrap/>
            <w:vAlign w:val="center"/>
          </w:tcPr>
          <w:p w14:paraId="58B2960C" w14:textId="0D4A39DC"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244445A4" w14:textId="77777777" w:rsidR="003F2A9D" w:rsidRDefault="00C3721C" w:rsidP="003F2A9D">
            <w:pPr>
              <w:tabs>
                <w:tab w:val="left" w:pos="-720"/>
              </w:tabs>
              <w:suppressAutoHyphens/>
              <w:jc w:val="both"/>
              <w:rPr>
                <w:rFonts w:ascii="Arial" w:hAnsi="Arial"/>
                <w:spacing w:val="-3"/>
                <w:sz w:val="18"/>
                <w:szCs w:val="18"/>
              </w:rPr>
            </w:pPr>
            <w:r w:rsidRPr="000A733F">
              <w:rPr>
                <w:rFonts w:ascii="Arial" w:hAnsi="Arial"/>
                <w:spacing w:val="-3"/>
                <w:sz w:val="18"/>
                <w:szCs w:val="18"/>
              </w:rPr>
              <w:t xml:space="preserve">What is the acceptance criterion for </w:t>
            </w:r>
            <w:proofErr w:type="gramStart"/>
            <w:r w:rsidRPr="000A733F">
              <w:rPr>
                <w:rFonts w:ascii="Arial" w:hAnsi="Arial"/>
                <w:spacing w:val="-3"/>
                <w:sz w:val="18"/>
                <w:szCs w:val="18"/>
              </w:rPr>
              <w:t xml:space="preserve">the </w:t>
            </w:r>
            <w:r>
              <w:rPr>
                <w:rFonts w:ascii="Arial" w:hAnsi="Arial"/>
                <w:spacing w:val="-3"/>
                <w:sz w:val="18"/>
                <w:szCs w:val="18"/>
              </w:rPr>
              <w:t>surrogate</w:t>
            </w:r>
            <w:proofErr w:type="gramEnd"/>
            <w:r>
              <w:rPr>
                <w:rFonts w:ascii="Arial" w:hAnsi="Arial"/>
                <w:spacing w:val="-3"/>
                <w:sz w:val="18"/>
                <w:szCs w:val="18"/>
              </w:rPr>
              <w:t xml:space="preserve"> recovery</w:t>
            </w:r>
            <w:r w:rsidRPr="000A733F">
              <w:rPr>
                <w:rFonts w:ascii="Arial" w:hAnsi="Arial"/>
                <w:spacing w:val="-3"/>
                <w:sz w:val="18"/>
                <w:szCs w:val="18"/>
              </w:rPr>
              <w:t>? [MADEP VPH Rev. 2.1 (Feb 2018) Section 10.2.</w:t>
            </w:r>
            <w:r>
              <w:rPr>
                <w:rFonts w:ascii="Arial" w:hAnsi="Arial"/>
                <w:spacing w:val="-3"/>
                <w:sz w:val="18"/>
                <w:szCs w:val="18"/>
              </w:rPr>
              <w:t>8.1</w:t>
            </w:r>
            <w:r w:rsidRPr="000A733F">
              <w:rPr>
                <w:rFonts w:ascii="Arial" w:hAnsi="Arial"/>
                <w:spacing w:val="-3"/>
                <w:sz w:val="18"/>
                <w:szCs w:val="18"/>
              </w:rPr>
              <w:t>]</w:t>
            </w:r>
          </w:p>
          <w:p w14:paraId="306A5F16" w14:textId="77777777" w:rsidR="00136B96" w:rsidRDefault="00136B96" w:rsidP="003F2A9D">
            <w:pPr>
              <w:tabs>
                <w:tab w:val="left" w:pos="-720"/>
              </w:tabs>
              <w:suppressAutoHyphens/>
              <w:jc w:val="both"/>
              <w:rPr>
                <w:rFonts w:ascii="Arial" w:hAnsi="Arial"/>
                <w:spacing w:val="-3"/>
                <w:sz w:val="18"/>
                <w:szCs w:val="18"/>
              </w:rPr>
            </w:pPr>
          </w:p>
          <w:p w14:paraId="698711D7" w14:textId="77777777" w:rsidR="00136B96" w:rsidRPr="00136B96" w:rsidRDefault="00136B96" w:rsidP="003F2A9D">
            <w:pPr>
              <w:tabs>
                <w:tab w:val="left" w:pos="-720"/>
              </w:tabs>
              <w:suppressAutoHyphens/>
              <w:jc w:val="both"/>
              <w:rPr>
                <w:rFonts w:ascii="Arial" w:hAnsi="Arial"/>
                <w:b/>
                <w:bCs/>
                <w:spacing w:val="-3"/>
                <w:sz w:val="18"/>
                <w:szCs w:val="18"/>
              </w:rPr>
            </w:pPr>
            <w:r w:rsidRPr="00136B96">
              <w:rPr>
                <w:rFonts w:ascii="Arial" w:hAnsi="Arial"/>
                <w:b/>
                <w:bCs/>
                <w:spacing w:val="-3"/>
                <w:sz w:val="18"/>
                <w:szCs w:val="18"/>
              </w:rPr>
              <w:t>Answer:</w:t>
            </w:r>
          </w:p>
          <w:p w14:paraId="5D0FA7D7" w14:textId="77777777" w:rsidR="00136B96" w:rsidRDefault="00136B96" w:rsidP="003F2A9D">
            <w:pPr>
              <w:tabs>
                <w:tab w:val="left" w:pos="-720"/>
              </w:tabs>
              <w:suppressAutoHyphens/>
              <w:jc w:val="both"/>
              <w:rPr>
                <w:rFonts w:ascii="Arial" w:hAnsi="Arial"/>
                <w:spacing w:val="-3"/>
                <w:sz w:val="18"/>
                <w:szCs w:val="18"/>
              </w:rPr>
            </w:pPr>
          </w:p>
          <w:p w14:paraId="62B9BE9A" w14:textId="77777777" w:rsidR="00136B96" w:rsidRDefault="00136B96" w:rsidP="003F2A9D">
            <w:pPr>
              <w:tabs>
                <w:tab w:val="left" w:pos="-720"/>
              </w:tabs>
              <w:suppressAutoHyphens/>
              <w:jc w:val="both"/>
              <w:rPr>
                <w:rFonts w:ascii="Arial" w:hAnsi="Arial"/>
                <w:spacing w:val="-3"/>
                <w:sz w:val="18"/>
                <w:szCs w:val="18"/>
              </w:rPr>
            </w:pPr>
          </w:p>
          <w:p w14:paraId="563331D6" w14:textId="7F4FE336" w:rsidR="00C3721C" w:rsidRDefault="00C3721C" w:rsidP="00C3721C">
            <w:pPr>
              <w:tabs>
                <w:tab w:val="left" w:pos="-720"/>
              </w:tabs>
              <w:suppressAutoHyphens/>
              <w:jc w:val="both"/>
              <w:rPr>
                <w:rFonts w:ascii="Arial" w:hAnsi="Arial"/>
                <w:spacing w:val="-2"/>
                <w:sz w:val="18"/>
                <w:szCs w:val="18"/>
              </w:rPr>
            </w:pPr>
          </w:p>
        </w:tc>
        <w:tc>
          <w:tcPr>
            <w:tcW w:w="448" w:type="dxa"/>
            <w:shd w:val="clear" w:color="auto" w:fill="D9D9D9" w:themeFill="background1" w:themeFillShade="D9"/>
            <w:noWrap/>
            <w:vAlign w:val="center"/>
          </w:tcPr>
          <w:p w14:paraId="050BB2AA"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2CD1E805" w14:textId="77777777" w:rsidR="00C3721C" w:rsidRPr="00A0149B" w:rsidRDefault="00C3721C" w:rsidP="00C3721C">
            <w:pPr>
              <w:rPr>
                <w:rFonts w:ascii="Arial" w:hAnsi="Arial" w:cs="Arial"/>
                <w:sz w:val="18"/>
                <w:szCs w:val="18"/>
              </w:rPr>
            </w:pPr>
          </w:p>
        </w:tc>
        <w:tc>
          <w:tcPr>
            <w:tcW w:w="4867" w:type="dxa"/>
            <w:gridSpan w:val="2"/>
            <w:vAlign w:val="center"/>
          </w:tcPr>
          <w:p w14:paraId="0BBECD81" w14:textId="6DBAF46A" w:rsidR="00C3721C" w:rsidRPr="00A0149B" w:rsidRDefault="00C3721C" w:rsidP="00C3721C">
            <w:pPr>
              <w:jc w:val="both"/>
              <w:rPr>
                <w:rFonts w:ascii="Arial" w:hAnsi="Arial" w:cs="Arial"/>
                <w:sz w:val="18"/>
                <w:szCs w:val="18"/>
              </w:rPr>
            </w:pPr>
            <w:r w:rsidRPr="002A0288">
              <w:rPr>
                <w:rFonts w:ascii="Arial" w:hAnsi="Arial" w:cs="Arial"/>
                <w:sz w:val="18"/>
                <w:szCs w:val="18"/>
              </w:rPr>
              <w:t>Each sample, LMB, LCS, LCSD, matrix spike, and matrix duplicate must be fortified with the surrogate spiking solution</w:t>
            </w:r>
            <w:r>
              <w:rPr>
                <w:rFonts w:ascii="Arial" w:hAnsi="Arial" w:cs="Arial"/>
                <w:sz w:val="18"/>
                <w:szCs w:val="18"/>
              </w:rPr>
              <w:t xml:space="preserve">. </w:t>
            </w:r>
            <w:r w:rsidRPr="000A733F">
              <w:rPr>
                <w:rFonts w:ascii="Arial" w:hAnsi="Arial" w:cs="Arial"/>
                <w:sz w:val="18"/>
                <w:szCs w:val="18"/>
              </w:rPr>
              <w:t>Required surrogate recovery is 70% to 130% from</w:t>
            </w:r>
            <w:r>
              <w:rPr>
                <w:rFonts w:ascii="Arial" w:hAnsi="Arial" w:cs="Arial"/>
                <w:sz w:val="18"/>
                <w:szCs w:val="18"/>
              </w:rPr>
              <w:t xml:space="preserve"> </w:t>
            </w:r>
            <w:r w:rsidRPr="000A733F">
              <w:rPr>
                <w:rFonts w:ascii="Arial" w:hAnsi="Arial" w:cs="Arial"/>
                <w:sz w:val="18"/>
                <w:szCs w:val="18"/>
              </w:rPr>
              <w:t>each detector.</w:t>
            </w:r>
          </w:p>
        </w:tc>
      </w:tr>
      <w:tr w:rsidR="00136B96" w:rsidRPr="00A0149B" w14:paraId="12076549" w14:textId="77777777" w:rsidTr="000D36DE">
        <w:trPr>
          <w:trHeight w:val="264"/>
        </w:trPr>
        <w:tc>
          <w:tcPr>
            <w:tcW w:w="529" w:type="dxa"/>
            <w:noWrap/>
            <w:vAlign w:val="center"/>
          </w:tcPr>
          <w:p w14:paraId="1CA5BE59" w14:textId="77777777" w:rsidR="00136B96" w:rsidRPr="008D4248" w:rsidRDefault="00136B96" w:rsidP="003F2A9D">
            <w:pPr>
              <w:pStyle w:val="ListParagraph"/>
              <w:numPr>
                <w:ilvl w:val="0"/>
                <w:numId w:val="3"/>
              </w:numPr>
              <w:rPr>
                <w:rFonts w:ascii="Arial" w:hAnsi="Arial" w:cs="Arial"/>
                <w:sz w:val="18"/>
                <w:szCs w:val="18"/>
              </w:rPr>
            </w:pPr>
          </w:p>
        </w:tc>
        <w:tc>
          <w:tcPr>
            <w:tcW w:w="4867" w:type="dxa"/>
            <w:noWrap/>
            <w:vAlign w:val="center"/>
          </w:tcPr>
          <w:p w14:paraId="602EF493" w14:textId="77777777" w:rsidR="00136B96" w:rsidRDefault="00A5366C" w:rsidP="003F2A9D">
            <w:pPr>
              <w:tabs>
                <w:tab w:val="left" w:pos="-720"/>
              </w:tabs>
              <w:suppressAutoHyphens/>
              <w:jc w:val="both"/>
              <w:rPr>
                <w:rFonts w:ascii="Arial" w:hAnsi="Arial"/>
                <w:spacing w:val="-3"/>
                <w:sz w:val="18"/>
                <w:szCs w:val="18"/>
              </w:rPr>
            </w:pPr>
            <w:r>
              <w:rPr>
                <w:rFonts w:ascii="Arial" w:hAnsi="Arial"/>
                <w:spacing w:val="-3"/>
                <w:sz w:val="18"/>
                <w:szCs w:val="18"/>
              </w:rPr>
              <w:t xml:space="preserve">What corrective actions are taken if the </w:t>
            </w:r>
            <w:r w:rsidR="00E32782">
              <w:rPr>
                <w:rFonts w:ascii="Arial" w:hAnsi="Arial"/>
                <w:spacing w:val="-3"/>
                <w:sz w:val="18"/>
                <w:szCs w:val="18"/>
              </w:rPr>
              <w:t>surrogate recoveries exceed the acceptance criterion?</w:t>
            </w:r>
          </w:p>
          <w:p w14:paraId="4D94605A" w14:textId="77777777" w:rsidR="00E32782" w:rsidRDefault="00E32782" w:rsidP="003F2A9D">
            <w:pPr>
              <w:tabs>
                <w:tab w:val="left" w:pos="-720"/>
              </w:tabs>
              <w:suppressAutoHyphens/>
              <w:jc w:val="both"/>
              <w:rPr>
                <w:rFonts w:ascii="Arial" w:hAnsi="Arial"/>
                <w:spacing w:val="-3"/>
                <w:sz w:val="18"/>
                <w:szCs w:val="18"/>
              </w:rPr>
            </w:pPr>
          </w:p>
          <w:p w14:paraId="7D068FBC" w14:textId="77777777" w:rsidR="00E32782" w:rsidRPr="00E32782" w:rsidRDefault="00E32782" w:rsidP="003F2A9D">
            <w:pPr>
              <w:tabs>
                <w:tab w:val="left" w:pos="-720"/>
              </w:tabs>
              <w:suppressAutoHyphens/>
              <w:jc w:val="both"/>
              <w:rPr>
                <w:rFonts w:ascii="Arial" w:hAnsi="Arial"/>
                <w:b/>
                <w:bCs/>
                <w:spacing w:val="-3"/>
                <w:sz w:val="18"/>
                <w:szCs w:val="18"/>
              </w:rPr>
            </w:pPr>
            <w:r w:rsidRPr="00E32782">
              <w:rPr>
                <w:rFonts w:ascii="Arial" w:hAnsi="Arial"/>
                <w:b/>
                <w:bCs/>
                <w:spacing w:val="-3"/>
                <w:sz w:val="18"/>
                <w:szCs w:val="18"/>
              </w:rPr>
              <w:t>Answer:</w:t>
            </w:r>
          </w:p>
          <w:p w14:paraId="35773EA8" w14:textId="77777777" w:rsidR="00E32782" w:rsidRDefault="00E32782" w:rsidP="003F2A9D">
            <w:pPr>
              <w:tabs>
                <w:tab w:val="left" w:pos="-720"/>
              </w:tabs>
              <w:suppressAutoHyphens/>
              <w:jc w:val="both"/>
              <w:rPr>
                <w:rFonts w:ascii="Arial" w:hAnsi="Arial"/>
                <w:spacing w:val="-3"/>
                <w:sz w:val="18"/>
                <w:szCs w:val="18"/>
              </w:rPr>
            </w:pPr>
          </w:p>
          <w:p w14:paraId="1D842F6E" w14:textId="304E3952" w:rsidR="00E32782" w:rsidRPr="000A733F" w:rsidRDefault="00E32782" w:rsidP="003F2A9D">
            <w:pPr>
              <w:tabs>
                <w:tab w:val="left" w:pos="-720"/>
              </w:tabs>
              <w:suppressAutoHyphens/>
              <w:jc w:val="both"/>
              <w:rPr>
                <w:rFonts w:ascii="Arial" w:hAnsi="Arial"/>
                <w:spacing w:val="-3"/>
                <w:sz w:val="18"/>
                <w:szCs w:val="18"/>
              </w:rPr>
            </w:pPr>
          </w:p>
        </w:tc>
        <w:tc>
          <w:tcPr>
            <w:tcW w:w="448" w:type="dxa"/>
            <w:shd w:val="clear" w:color="auto" w:fill="D9D9D9" w:themeFill="background1" w:themeFillShade="D9"/>
            <w:noWrap/>
            <w:vAlign w:val="center"/>
          </w:tcPr>
          <w:p w14:paraId="731C534B" w14:textId="77777777" w:rsidR="00136B96" w:rsidRPr="00A0149B" w:rsidRDefault="00136B96" w:rsidP="003F2A9D">
            <w:pPr>
              <w:rPr>
                <w:rFonts w:ascii="Arial" w:hAnsi="Arial" w:cs="Arial"/>
                <w:sz w:val="18"/>
                <w:szCs w:val="18"/>
              </w:rPr>
            </w:pPr>
          </w:p>
        </w:tc>
        <w:tc>
          <w:tcPr>
            <w:tcW w:w="448" w:type="dxa"/>
            <w:shd w:val="clear" w:color="auto" w:fill="FFFFFF" w:themeFill="background1"/>
            <w:noWrap/>
            <w:vAlign w:val="center"/>
          </w:tcPr>
          <w:p w14:paraId="20B45743" w14:textId="77777777" w:rsidR="00136B96" w:rsidRPr="00A0149B" w:rsidRDefault="00136B96" w:rsidP="003F2A9D">
            <w:pPr>
              <w:rPr>
                <w:rFonts w:ascii="Arial" w:hAnsi="Arial" w:cs="Arial"/>
                <w:sz w:val="18"/>
                <w:szCs w:val="18"/>
              </w:rPr>
            </w:pPr>
          </w:p>
        </w:tc>
        <w:tc>
          <w:tcPr>
            <w:tcW w:w="4867" w:type="dxa"/>
            <w:gridSpan w:val="2"/>
            <w:vAlign w:val="center"/>
          </w:tcPr>
          <w:p w14:paraId="5FC57866" w14:textId="77777777" w:rsidR="00136B96" w:rsidRDefault="0069225E" w:rsidP="003F2A9D">
            <w:pPr>
              <w:jc w:val="both"/>
              <w:rPr>
                <w:rFonts w:ascii="Arial" w:hAnsi="Arial" w:cs="Arial"/>
                <w:sz w:val="18"/>
                <w:szCs w:val="18"/>
              </w:rPr>
            </w:pPr>
            <w:r>
              <w:rPr>
                <w:rFonts w:ascii="Arial" w:hAnsi="Arial" w:cs="Arial"/>
                <w:sz w:val="18"/>
                <w:szCs w:val="18"/>
              </w:rPr>
              <w:t>At a minimum, when surrogate recovery from a sample, blank, or QC sample is less than 70% or more than 130%, check calculations</w:t>
            </w:r>
            <w:r w:rsidR="005C513E">
              <w:rPr>
                <w:rFonts w:ascii="Arial" w:hAnsi="Arial" w:cs="Arial"/>
                <w:sz w:val="18"/>
                <w:szCs w:val="18"/>
              </w:rPr>
              <w:t xml:space="preserve"> to locate possible errors, check the fortifying solution for degradation, and check for changes in instrument performance.</w:t>
            </w:r>
            <w:r w:rsidR="00A76B41">
              <w:rPr>
                <w:rFonts w:ascii="Arial" w:hAnsi="Arial" w:cs="Arial"/>
                <w:sz w:val="18"/>
                <w:szCs w:val="18"/>
              </w:rPr>
              <w:t xml:space="preserve"> If the cause cannot be determined, rean</w:t>
            </w:r>
            <w:r w:rsidR="0045703A">
              <w:rPr>
                <w:rFonts w:ascii="Arial" w:hAnsi="Arial" w:cs="Arial"/>
                <w:sz w:val="18"/>
                <w:szCs w:val="18"/>
              </w:rPr>
              <w:t>alyze the sample unless one of the following exceptions applies:</w:t>
            </w:r>
          </w:p>
          <w:p w14:paraId="45A7460F" w14:textId="77777777" w:rsidR="0045703A" w:rsidRDefault="0045703A" w:rsidP="003F2A9D">
            <w:pPr>
              <w:jc w:val="both"/>
              <w:rPr>
                <w:rFonts w:ascii="Arial" w:hAnsi="Arial" w:cs="Arial"/>
                <w:sz w:val="18"/>
                <w:szCs w:val="18"/>
              </w:rPr>
            </w:pPr>
          </w:p>
          <w:p w14:paraId="18EB0699" w14:textId="77777777" w:rsidR="0045703A" w:rsidRDefault="0045703A" w:rsidP="0035732C">
            <w:pPr>
              <w:pStyle w:val="ListParagraph"/>
              <w:numPr>
                <w:ilvl w:val="0"/>
                <w:numId w:val="4"/>
              </w:numPr>
              <w:ind w:left="346"/>
              <w:jc w:val="both"/>
              <w:rPr>
                <w:rFonts w:ascii="Arial" w:hAnsi="Arial" w:cs="Arial"/>
                <w:sz w:val="18"/>
                <w:szCs w:val="18"/>
              </w:rPr>
            </w:pPr>
            <w:r>
              <w:rPr>
                <w:rFonts w:ascii="Arial" w:hAnsi="Arial" w:cs="Arial"/>
                <w:sz w:val="18"/>
                <w:szCs w:val="18"/>
              </w:rPr>
              <w:t>Obvious interference is present on the chromatogram (e.g., unresolved complex mixture);</w:t>
            </w:r>
          </w:p>
          <w:p w14:paraId="632AD0CA" w14:textId="4DDC4E5C" w:rsidR="0035732C" w:rsidRDefault="0035732C" w:rsidP="0035732C">
            <w:pPr>
              <w:pStyle w:val="ListParagraph"/>
              <w:numPr>
                <w:ilvl w:val="0"/>
                <w:numId w:val="4"/>
              </w:numPr>
              <w:ind w:left="346"/>
              <w:jc w:val="both"/>
              <w:rPr>
                <w:rFonts w:ascii="Arial" w:hAnsi="Arial" w:cs="Arial"/>
                <w:sz w:val="18"/>
                <w:szCs w:val="18"/>
              </w:rPr>
            </w:pPr>
            <w:r>
              <w:rPr>
                <w:rFonts w:ascii="Arial" w:hAnsi="Arial" w:cs="Arial"/>
                <w:sz w:val="18"/>
                <w:szCs w:val="18"/>
              </w:rPr>
              <w:t xml:space="preserve">Percent moisture of associated soil/sediment sample is </w:t>
            </w:r>
            <w:r w:rsidR="00827C74">
              <w:rPr>
                <w:rFonts w:ascii="Arial" w:hAnsi="Arial" w:cs="Arial"/>
                <w:sz w:val="18"/>
                <w:szCs w:val="18"/>
              </w:rPr>
              <w:t>&gt; 25% and surrogate recovery is &gt; 10%; or</w:t>
            </w:r>
          </w:p>
          <w:p w14:paraId="66831707" w14:textId="3EB81A9E" w:rsidR="00827C74" w:rsidRDefault="00827C74" w:rsidP="0035732C">
            <w:pPr>
              <w:pStyle w:val="ListParagraph"/>
              <w:numPr>
                <w:ilvl w:val="0"/>
                <w:numId w:val="4"/>
              </w:numPr>
              <w:ind w:left="346"/>
              <w:jc w:val="both"/>
              <w:rPr>
                <w:rFonts w:ascii="Arial" w:hAnsi="Arial" w:cs="Arial"/>
                <w:sz w:val="18"/>
                <w:szCs w:val="18"/>
              </w:rPr>
            </w:pPr>
            <w:r>
              <w:rPr>
                <w:rFonts w:ascii="Arial" w:hAnsi="Arial" w:cs="Arial"/>
                <w:sz w:val="18"/>
                <w:szCs w:val="18"/>
              </w:rPr>
              <w:t xml:space="preserve">The surrogate exhibits high recovery and associated target </w:t>
            </w:r>
            <w:proofErr w:type="gramStart"/>
            <w:r>
              <w:rPr>
                <w:rFonts w:ascii="Arial" w:hAnsi="Arial" w:cs="Arial"/>
                <w:sz w:val="18"/>
                <w:szCs w:val="18"/>
              </w:rPr>
              <w:t>analytes</w:t>
            </w:r>
            <w:proofErr w:type="gramEnd"/>
            <w:r>
              <w:rPr>
                <w:rFonts w:ascii="Arial" w:hAnsi="Arial" w:cs="Arial"/>
                <w:sz w:val="18"/>
                <w:szCs w:val="18"/>
              </w:rPr>
              <w:t xml:space="preserve"> or hydrocarbon ranges are not detected in sample.</w:t>
            </w:r>
          </w:p>
          <w:p w14:paraId="7D2204E5" w14:textId="77777777" w:rsidR="008002ED" w:rsidRDefault="008002ED" w:rsidP="008002ED">
            <w:pPr>
              <w:jc w:val="both"/>
              <w:rPr>
                <w:rFonts w:ascii="Arial" w:hAnsi="Arial" w:cs="Arial"/>
                <w:sz w:val="18"/>
                <w:szCs w:val="18"/>
              </w:rPr>
            </w:pPr>
          </w:p>
          <w:p w14:paraId="41847849" w14:textId="564FFB41" w:rsidR="0045703A" w:rsidRPr="0035732C" w:rsidRDefault="008002ED" w:rsidP="000839E7">
            <w:pPr>
              <w:jc w:val="both"/>
              <w:rPr>
                <w:rFonts w:ascii="Arial" w:hAnsi="Arial" w:cs="Arial"/>
                <w:sz w:val="18"/>
                <w:szCs w:val="18"/>
              </w:rPr>
            </w:pPr>
            <w:r>
              <w:rPr>
                <w:rFonts w:ascii="Arial" w:hAnsi="Arial" w:cs="Arial"/>
                <w:sz w:val="18"/>
                <w:szCs w:val="18"/>
              </w:rPr>
              <w:t xml:space="preserve">If a sample with a surrogate recovery outside of the acceptable range is not reanalyzed based on any of these </w:t>
            </w:r>
            <w:proofErr w:type="gramStart"/>
            <w:r>
              <w:rPr>
                <w:rFonts w:ascii="Arial" w:hAnsi="Arial" w:cs="Arial"/>
                <w:sz w:val="18"/>
                <w:szCs w:val="18"/>
              </w:rPr>
              <w:t>aforementioned exceptions</w:t>
            </w:r>
            <w:proofErr w:type="gramEnd"/>
            <w:r w:rsidR="000839E7">
              <w:rPr>
                <w:rFonts w:ascii="Arial" w:hAnsi="Arial" w:cs="Arial"/>
                <w:sz w:val="18"/>
                <w:szCs w:val="18"/>
              </w:rPr>
              <w:t xml:space="preserve">, this information must be noted on the data report form and discussed in the laboratory narrative. </w:t>
            </w:r>
          </w:p>
        </w:tc>
      </w:tr>
      <w:tr w:rsidR="00C3721C" w:rsidRPr="00A0149B" w14:paraId="6A9067D2" w14:textId="77777777" w:rsidTr="000D36DE">
        <w:trPr>
          <w:trHeight w:val="264"/>
        </w:trPr>
        <w:tc>
          <w:tcPr>
            <w:tcW w:w="529" w:type="dxa"/>
            <w:noWrap/>
            <w:vAlign w:val="center"/>
          </w:tcPr>
          <w:p w14:paraId="3FA77D31" w14:textId="739A6C88"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177A9D57" w14:textId="26FBCA5D" w:rsidR="00C3721C" w:rsidRDefault="00C3721C" w:rsidP="00C3721C">
            <w:pPr>
              <w:jc w:val="both"/>
              <w:rPr>
                <w:rFonts w:ascii="Arial" w:hAnsi="Arial" w:cs="Arial"/>
                <w:sz w:val="18"/>
                <w:szCs w:val="18"/>
              </w:rPr>
            </w:pPr>
            <w:r>
              <w:rPr>
                <w:rFonts w:ascii="Arial" w:hAnsi="Arial"/>
                <w:spacing w:val="-2"/>
                <w:sz w:val="18"/>
                <w:szCs w:val="18"/>
              </w:rPr>
              <w:t>Are s</w:t>
            </w:r>
            <w:r w:rsidRPr="001B1360">
              <w:rPr>
                <w:rFonts w:ascii="Arial" w:hAnsi="Arial"/>
                <w:spacing w:val="-2"/>
                <w:sz w:val="18"/>
                <w:szCs w:val="18"/>
              </w:rPr>
              <w:t>oil and sediment results reported on a dry-weight basis</w:t>
            </w:r>
            <w:r>
              <w:rPr>
                <w:rFonts w:ascii="Arial" w:hAnsi="Arial"/>
                <w:spacing w:val="-2"/>
                <w:sz w:val="18"/>
                <w:szCs w:val="18"/>
              </w:rPr>
              <w:t>? [</w:t>
            </w:r>
            <w:r w:rsidRPr="001B1360">
              <w:rPr>
                <w:rFonts w:ascii="Arial" w:hAnsi="Arial"/>
                <w:spacing w:val="-2"/>
                <w:sz w:val="18"/>
                <w:szCs w:val="18"/>
              </w:rPr>
              <w:t xml:space="preserve">MADEP VPH Rev. </w:t>
            </w:r>
            <w:r>
              <w:rPr>
                <w:rFonts w:ascii="Arial" w:hAnsi="Arial"/>
                <w:spacing w:val="-2"/>
                <w:sz w:val="18"/>
                <w:szCs w:val="18"/>
              </w:rPr>
              <w:t>2</w:t>
            </w:r>
            <w:r w:rsidRPr="001B1360">
              <w:rPr>
                <w:rFonts w:ascii="Arial" w:hAnsi="Arial"/>
                <w:spacing w:val="-2"/>
                <w:sz w:val="18"/>
                <w:szCs w:val="18"/>
              </w:rPr>
              <w:t>.1 (</w:t>
            </w:r>
            <w:r>
              <w:rPr>
                <w:rFonts w:ascii="Arial" w:hAnsi="Arial"/>
                <w:spacing w:val="-2"/>
                <w:sz w:val="18"/>
                <w:szCs w:val="18"/>
              </w:rPr>
              <w:t>Feb 2018</w:t>
            </w:r>
            <w:r w:rsidRPr="001B1360">
              <w:rPr>
                <w:rFonts w:ascii="Arial" w:hAnsi="Arial"/>
                <w:spacing w:val="-2"/>
                <w:sz w:val="18"/>
                <w:szCs w:val="18"/>
              </w:rPr>
              <w:t>) Section</w:t>
            </w:r>
            <w:r w:rsidR="0008213A">
              <w:rPr>
                <w:rFonts w:ascii="Arial" w:hAnsi="Arial"/>
                <w:spacing w:val="-2"/>
                <w:sz w:val="18"/>
                <w:szCs w:val="18"/>
              </w:rPr>
              <w:t>s</w:t>
            </w:r>
            <w:r w:rsidRPr="001B1360">
              <w:rPr>
                <w:rFonts w:ascii="Arial" w:hAnsi="Arial"/>
                <w:spacing w:val="-2"/>
                <w:sz w:val="18"/>
                <w:szCs w:val="18"/>
              </w:rPr>
              <w:t xml:space="preserve"> 9.</w:t>
            </w:r>
            <w:r w:rsidR="003F2A9D">
              <w:rPr>
                <w:rFonts w:ascii="Arial" w:hAnsi="Arial"/>
                <w:spacing w:val="-2"/>
                <w:sz w:val="18"/>
                <w:szCs w:val="18"/>
              </w:rPr>
              <w:t>1.</w:t>
            </w:r>
            <w:r w:rsidRPr="001B1360">
              <w:rPr>
                <w:rFonts w:ascii="Arial" w:hAnsi="Arial"/>
                <w:spacing w:val="-2"/>
                <w:sz w:val="18"/>
                <w:szCs w:val="18"/>
              </w:rPr>
              <w:t>4</w:t>
            </w:r>
            <w:r w:rsidR="003F2A9D">
              <w:rPr>
                <w:rFonts w:ascii="Arial" w:hAnsi="Arial"/>
                <w:spacing w:val="-2"/>
                <w:sz w:val="18"/>
                <w:szCs w:val="18"/>
              </w:rPr>
              <w:t>.1</w:t>
            </w:r>
            <w:r w:rsidR="00460A33">
              <w:rPr>
                <w:rFonts w:ascii="Arial" w:hAnsi="Arial"/>
                <w:spacing w:val="-2"/>
                <w:sz w:val="18"/>
                <w:szCs w:val="18"/>
              </w:rPr>
              <w:t xml:space="preserve"> and</w:t>
            </w:r>
            <w:r w:rsidR="0008213A">
              <w:rPr>
                <w:rFonts w:ascii="Arial" w:hAnsi="Arial"/>
                <w:spacing w:val="-2"/>
                <w:sz w:val="18"/>
                <w:szCs w:val="18"/>
              </w:rPr>
              <w:t xml:space="preserve"> 9.6.3.</w:t>
            </w:r>
            <w:r w:rsidRPr="001B1360">
              <w:rPr>
                <w:rFonts w:ascii="Arial" w:hAnsi="Arial"/>
                <w:spacing w:val="-2"/>
                <w:sz w:val="18"/>
                <w:szCs w:val="18"/>
              </w:rPr>
              <w:t>]</w:t>
            </w:r>
          </w:p>
        </w:tc>
        <w:tc>
          <w:tcPr>
            <w:tcW w:w="448" w:type="dxa"/>
            <w:shd w:val="clear" w:color="auto" w:fill="FFFFFF" w:themeFill="background1"/>
            <w:noWrap/>
            <w:vAlign w:val="center"/>
          </w:tcPr>
          <w:p w14:paraId="55F2D298"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5F85EFB4" w14:textId="77777777" w:rsidR="00C3721C" w:rsidRPr="00A0149B" w:rsidRDefault="00C3721C" w:rsidP="00C3721C">
            <w:pPr>
              <w:rPr>
                <w:rFonts w:ascii="Arial" w:hAnsi="Arial" w:cs="Arial"/>
                <w:sz w:val="18"/>
                <w:szCs w:val="18"/>
              </w:rPr>
            </w:pPr>
          </w:p>
        </w:tc>
        <w:tc>
          <w:tcPr>
            <w:tcW w:w="4867" w:type="dxa"/>
            <w:gridSpan w:val="2"/>
            <w:vAlign w:val="center"/>
          </w:tcPr>
          <w:p w14:paraId="3049A81B" w14:textId="7DABEC6E" w:rsidR="00C3721C" w:rsidRDefault="006805B6" w:rsidP="00C3721C">
            <w:pPr>
              <w:jc w:val="both"/>
              <w:rPr>
                <w:rFonts w:ascii="Arial" w:hAnsi="Arial" w:cs="Arial"/>
                <w:sz w:val="18"/>
                <w:szCs w:val="18"/>
              </w:rPr>
            </w:pPr>
            <w:r>
              <w:rPr>
                <w:rFonts w:ascii="Arial" w:hAnsi="Arial" w:cs="Arial"/>
                <w:b/>
                <w:bCs/>
                <w:sz w:val="18"/>
                <w:szCs w:val="18"/>
              </w:rPr>
              <w:t xml:space="preserve">Section </w:t>
            </w:r>
            <w:r w:rsidR="001A2A8B">
              <w:rPr>
                <w:rFonts w:ascii="Arial" w:hAnsi="Arial" w:cs="Arial"/>
                <w:b/>
                <w:bCs/>
                <w:sz w:val="18"/>
                <w:szCs w:val="18"/>
              </w:rPr>
              <w:t xml:space="preserve">9.1.4.1: </w:t>
            </w:r>
            <w:r w:rsidR="00C3721C" w:rsidRPr="00713DAC">
              <w:rPr>
                <w:rFonts w:ascii="Arial" w:hAnsi="Arial" w:cs="Arial"/>
                <w:sz w:val="18"/>
                <w:szCs w:val="18"/>
              </w:rPr>
              <w:t>Soil and sediment results must be reported on a dry-weight basis.</w:t>
            </w:r>
            <w:r w:rsidR="00C3721C">
              <w:rPr>
                <w:rFonts w:ascii="Arial" w:hAnsi="Arial" w:cs="Arial"/>
                <w:sz w:val="18"/>
                <w:szCs w:val="18"/>
              </w:rPr>
              <w:t xml:space="preserve"> </w:t>
            </w:r>
            <w:r w:rsidR="00C3721C" w:rsidRPr="001B1360">
              <w:rPr>
                <w:rFonts w:ascii="Arial" w:hAnsi="Arial" w:cs="Arial"/>
                <w:sz w:val="18"/>
                <w:szCs w:val="18"/>
              </w:rPr>
              <w:t>Transfer 5 to 10 g of sample into a tared (± 0.1 g) crucible. This sample must be obtained</w:t>
            </w:r>
            <w:r w:rsidR="00C3721C">
              <w:rPr>
                <w:rFonts w:ascii="Arial" w:hAnsi="Arial" w:cs="Arial"/>
                <w:sz w:val="18"/>
                <w:szCs w:val="18"/>
              </w:rPr>
              <w:t xml:space="preserve"> </w:t>
            </w:r>
            <w:r w:rsidR="00C3721C" w:rsidRPr="001B1360">
              <w:rPr>
                <w:rFonts w:ascii="Arial" w:hAnsi="Arial" w:cs="Arial"/>
                <w:sz w:val="18"/>
                <w:szCs w:val="18"/>
              </w:rPr>
              <w:t xml:space="preserve">from a </w:t>
            </w:r>
            <w:proofErr w:type="gramStart"/>
            <w:r w:rsidR="00C3721C" w:rsidRPr="001B1360">
              <w:rPr>
                <w:rFonts w:ascii="Arial" w:hAnsi="Arial" w:cs="Arial"/>
                <w:sz w:val="18"/>
                <w:szCs w:val="18"/>
              </w:rPr>
              <w:t>vial</w:t>
            </w:r>
            <w:proofErr w:type="gramEnd"/>
            <w:r w:rsidR="00C3721C" w:rsidRPr="001B1360">
              <w:rPr>
                <w:rFonts w:ascii="Arial" w:hAnsi="Arial" w:cs="Arial"/>
                <w:sz w:val="18"/>
                <w:szCs w:val="18"/>
              </w:rPr>
              <w:t xml:space="preserve"> or</w:t>
            </w:r>
            <w:r w:rsidR="00C3721C">
              <w:rPr>
                <w:rFonts w:ascii="Arial" w:hAnsi="Arial" w:cs="Arial"/>
                <w:sz w:val="18"/>
                <w:szCs w:val="18"/>
              </w:rPr>
              <w:t xml:space="preserve"> </w:t>
            </w:r>
            <w:r w:rsidR="00C3721C" w:rsidRPr="001B1360">
              <w:rPr>
                <w:rFonts w:ascii="Arial" w:hAnsi="Arial" w:cs="Arial"/>
                <w:sz w:val="18"/>
                <w:szCs w:val="18"/>
              </w:rPr>
              <w:t>container that does not contain methanol. Dry this 5 to 10 g sample</w:t>
            </w:r>
            <w:r w:rsidR="00C3721C">
              <w:rPr>
                <w:rFonts w:ascii="Arial" w:hAnsi="Arial" w:cs="Arial"/>
                <w:sz w:val="18"/>
                <w:szCs w:val="18"/>
              </w:rPr>
              <w:t xml:space="preserve"> </w:t>
            </w:r>
            <w:r w:rsidR="00C3721C" w:rsidRPr="001B1360">
              <w:rPr>
                <w:rFonts w:ascii="Arial" w:hAnsi="Arial" w:cs="Arial"/>
                <w:sz w:val="18"/>
                <w:szCs w:val="18"/>
              </w:rPr>
              <w:t>overnight at 105°C and reweigh (± 0.1 g). Allow to cool in a desiccator before</w:t>
            </w:r>
            <w:r w:rsidR="00C3721C">
              <w:rPr>
                <w:rFonts w:ascii="Arial" w:hAnsi="Arial" w:cs="Arial"/>
                <w:sz w:val="18"/>
                <w:szCs w:val="18"/>
              </w:rPr>
              <w:t xml:space="preserve"> </w:t>
            </w:r>
            <w:r w:rsidR="00C3721C" w:rsidRPr="001B1360">
              <w:rPr>
                <w:rFonts w:ascii="Arial" w:hAnsi="Arial" w:cs="Arial"/>
                <w:sz w:val="18"/>
                <w:szCs w:val="18"/>
              </w:rPr>
              <w:lastRenderedPageBreak/>
              <w:t>reweighing. Calculate the percent</w:t>
            </w:r>
            <w:r w:rsidR="00C3721C">
              <w:rPr>
                <w:rFonts w:ascii="Arial" w:hAnsi="Arial" w:cs="Arial"/>
                <w:sz w:val="18"/>
                <w:szCs w:val="18"/>
              </w:rPr>
              <w:t xml:space="preserve"> </w:t>
            </w:r>
            <w:r w:rsidR="00C3721C" w:rsidRPr="001B1360">
              <w:rPr>
                <w:rFonts w:ascii="Arial" w:hAnsi="Arial" w:cs="Arial"/>
                <w:sz w:val="18"/>
                <w:szCs w:val="18"/>
              </w:rPr>
              <w:t>moisture of the sample using the equation</w:t>
            </w:r>
            <w:r w:rsidR="00C3721C">
              <w:rPr>
                <w:rFonts w:ascii="Arial" w:hAnsi="Arial" w:cs="Arial"/>
                <w:sz w:val="18"/>
                <w:szCs w:val="18"/>
              </w:rPr>
              <w:t xml:space="preserve"> </w:t>
            </w:r>
            <w:r w:rsidR="00C3721C" w:rsidRPr="001B1360">
              <w:rPr>
                <w:rFonts w:ascii="Arial" w:hAnsi="Arial" w:cs="Arial"/>
                <w:sz w:val="18"/>
                <w:szCs w:val="18"/>
              </w:rPr>
              <w:t>provided in</w:t>
            </w:r>
            <w:r w:rsidR="00C3721C">
              <w:rPr>
                <w:rFonts w:ascii="Arial" w:hAnsi="Arial" w:cs="Arial"/>
                <w:sz w:val="18"/>
                <w:szCs w:val="18"/>
              </w:rPr>
              <w:t xml:space="preserve"> </w:t>
            </w:r>
            <w:r w:rsidR="00C3721C" w:rsidRPr="001B1360">
              <w:rPr>
                <w:rFonts w:ascii="Arial" w:hAnsi="Arial" w:cs="Arial"/>
                <w:sz w:val="18"/>
                <w:szCs w:val="18"/>
              </w:rPr>
              <w:t>Section 9.6.3 (Equation 10).</w:t>
            </w:r>
          </w:p>
          <w:p w14:paraId="7F851FB8" w14:textId="77777777" w:rsidR="00DA2809" w:rsidRDefault="00DA2809" w:rsidP="00C3721C">
            <w:pPr>
              <w:jc w:val="both"/>
              <w:rPr>
                <w:rFonts w:ascii="Arial" w:hAnsi="Arial" w:cs="Arial"/>
                <w:sz w:val="18"/>
                <w:szCs w:val="18"/>
              </w:rPr>
            </w:pPr>
          </w:p>
          <w:p w14:paraId="6BE877ED" w14:textId="2F8929BF" w:rsidR="00DA2809" w:rsidRPr="006805B6" w:rsidRDefault="00DA2809" w:rsidP="00C3721C">
            <w:pPr>
              <w:jc w:val="both"/>
              <w:rPr>
                <w:rFonts w:ascii="Arial" w:hAnsi="Arial" w:cs="Arial"/>
                <w:b/>
                <w:bCs/>
                <w:sz w:val="18"/>
                <w:szCs w:val="18"/>
              </w:rPr>
            </w:pPr>
            <w:r w:rsidRPr="006805B6">
              <w:rPr>
                <w:rFonts w:ascii="Arial" w:hAnsi="Arial" w:cs="Arial"/>
                <w:b/>
                <w:bCs/>
                <w:sz w:val="18"/>
                <w:szCs w:val="18"/>
              </w:rPr>
              <w:t xml:space="preserve">Section </w:t>
            </w:r>
            <w:r w:rsidR="00BB6122" w:rsidRPr="006805B6">
              <w:rPr>
                <w:rFonts w:ascii="Arial" w:hAnsi="Arial" w:cs="Arial"/>
                <w:b/>
                <w:bCs/>
                <w:sz w:val="18"/>
                <w:szCs w:val="18"/>
              </w:rPr>
              <w:t>9.6.3:</w:t>
            </w:r>
          </w:p>
          <w:p w14:paraId="6361B976" w14:textId="77777777" w:rsidR="00333B20" w:rsidRDefault="00333B20" w:rsidP="00C3721C">
            <w:pPr>
              <w:jc w:val="both"/>
              <w:rPr>
                <w:rFonts w:ascii="Arial" w:hAnsi="Arial" w:cs="Arial"/>
                <w:sz w:val="18"/>
                <w:szCs w:val="18"/>
              </w:rPr>
            </w:pPr>
          </w:p>
          <w:p w14:paraId="14C2D3E0" w14:textId="77777777" w:rsidR="00C3721C" w:rsidRDefault="00C3721C" w:rsidP="00C3721C">
            <w:pPr>
              <w:jc w:val="both"/>
              <w:rPr>
                <w:rFonts w:ascii="Arial" w:hAnsi="Arial" w:cs="Arial"/>
                <w:b/>
                <w:bCs/>
                <w:sz w:val="18"/>
                <w:szCs w:val="18"/>
              </w:rPr>
            </w:pPr>
            <w:r>
              <w:rPr>
                <w:rFonts w:ascii="Arial" w:hAnsi="Arial" w:cs="Arial"/>
                <w:sz w:val="18"/>
                <w:szCs w:val="18"/>
              </w:rPr>
              <w:t xml:space="preserve"> </w:t>
            </w:r>
            <w:r w:rsidRPr="001B1360">
              <w:rPr>
                <w:rFonts w:ascii="Arial" w:hAnsi="Arial" w:cs="Arial"/>
                <w:b/>
                <w:bCs/>
                <w:sz w:val="18"/>
                <w:szCs w:val="18"/>
              </w:rPr>
              <w:t>Equation 10: Percent Moisture</w:t>
            </w:r>
          </w:p>
          <w:p w14:paraId="37CCAC63" w14:textId="77777777" w:rsidR="00E85351" w:rsidRDefault="00E85351" w:rsidP="00C3721C">
            <w:pPr>
              <w:jc w:val="both"/>
              <w:rPr>
                <w:rFonts w:ascii="Arial" w:hAnsi="Arial" w:cs="Arial"/>
                <w:b/>
                <w:bCs/>
                <w:sz w:val="18"/>
                <w:szCs w:val="18"/>
              </w:rPr>
            </w:pPr>
          </w:p>
          <w:p w14:paraId="1E2658A3" w14:textId="7ED3AC3F" w:rsidR="00E85351" w:rsidRPr="00F22CF0" w:rsidRDefault="00F22CF0" w:rsidP="00C3721C">
            <w:pPr>
              <w:jc w:val="both"/>
              <w:rPr>
                <w:rFonts w:ascii="Arial" w:hAnsi="Arial" w:cs="Arial"/>
                <w:sz w:val="18"/>
                <w:szCs w:val="18"/>
              </w:rPr>
            </w:pPr>
            <m:oMathPara>
              <m:oMath>
                <m:r>
                  <w:rPr>
                    <w:rFonts w:ascii="Cambria Math" w:hAnsi="Cambria Math" w:cs="Arial"/>
                    <w:sz w:val="18"/>
                    <w:szCs w:val="18"/>
                  </w:rPr>
                  <m:t xml:space="preserve">% Moisture= </m:t>
                </m:r>
                <m:f>
                  <m:fPr>
                    <m:ctrlPr>
                      <w:rPr>
                        <w:rFonts w:ascii="Cambria Math" w:hAnsi="Cambria Math" w:cs="Arial"/>
                        <w:i/>
                        <w:sz w:val="18"/>
                        <w:szCs w:val="18"/>
                      </w:rPr>
                    </m:ctrlPr>
                  </m:fPr>
                  <m:num>
                    <m:r>
                      <w:rPr>
                        <w:rFonts w:ascii="Cambria Math" w:hAnsi="Cambria Math" w:cs="Arial"/>
                        <w:sz w:val="18"/>
                        <w:szCs w:val="18"/>
                      </w:rPr>
                      <m:t xml:space="preserve">wet sample </m:t>
                    </m:r>
                    <m:d>
                      <m:dPr>
                        <m:ctrlPr>
                          <w:rPr>
                            <w:rFonts w:ascii="Cambria Math" w:hAnsi="Cambria Math" w:cs="Arial"/>
                            <w:i/>
                            <w:sz w:val="18"/>
                            <w:szCs w:val="18"/>
                          </w:rPr>
                        </m:ctrlPr>
                      </m:dPr>
                      <m:e>
                        <m:r>
                          <w:rPr>
                            <w:rFonts w:ascii="Cambria Math" w:hAnsi="Cambria Math" w:cs="Arial"/>
                            <w:sz w:val="18"/>
                            <w:szCs w:val="18"/>
                          </w:rPr>
                          <m:t>g</m:t>
                        </m:r>
                      </m:e>
                    </m:d>
                    <m:r>
                      <w:rPr>
                        <w:rFonts w:ascii="Cambria Math" w:hAnsi="Cambria Math" w:cs="Arial"/>
                        <w:sz w:val="18"/>
                        <w:szCs w:val="18"/>
                      </w:rPr>
                      <m:t>-dry sample (g)</m:t>
                    </m:r>
                  </m:num>
                  <m:den>
                    <m:r>
                      <w:rPr>
                        <w:rFonts w:ascii="Cambria Math" w:hAnsi="Cambria Math" w:cs="Arial"/>
                        <w:sz w:val="18"/>
                        <w:szCs w:val="18"/>
                      </w:rPr>
                      <m:t>wet sample (g)</m:t>
                    </m:r>
                  </m:den>
                </m:f>
                <m:r>
                  <w:rPr>
                    <w:rFonts w:ascii="Cambria Math" w:hAnsi="Cambria Math" w:cs="Arial"/>
                    <w:sz w:val="18"/>
                    <w:szCs w:val="18"/>
                  </w:rPr>
                  <m:t>×100</m:t>
                </m:r>
              </m:oMath>
            </m:oMathPara>
          </w:p>
          <w:p w14:paraId="42E69563" w14:textId="77777777" w:rsidR="00AA4A0E" w:rsidRPr="00AA4A0E" w:rsidRDefault="00AA4A0E" w:rsidP="00C3721C">
            <w:pPr>
              <w:jc w:val="both"/>
              <w:rPr>
                <w:rFonts w:ascii="Arial" w:hAnsi="Arial" w:cs="Arial"/>
                <w:b/>
                <w:bCs/>
                <w:sz w:val="18"/>
                <w:szCs w:val="18"/>
              </w:rPr>
            </w:pPr>
          </w:p>
          <w:p w14:paraId="48EB38D2" w14:textId="77F8257E" w:rsidR="00C3721C" w:rsidRDefault="00C3721C" w:rsidP="00C3721C">
            <w:pPr>
              <w:jc w:val="both"/>
              <w:rPr>
                <w:rFonts w:ascii="Arial" w:hAnsi="Arial" w:cs="Arial"/>
                <w:sz w:val="18"/>
                <w:szCs w:val="18"/>
              </w:rPr>
            </w:pPr>
          </w:p>
          <w:p w14:paraId="1D0E55BE" w14:textId="4D54CDA3" w:rsidR="009C0324" w:rsidRPr="00104D2A" w:rsidRDefault="00333B20" w:rsidP="00C3721C">
            <w:pPr>
              <w:jc w:val="both"/>
              <w:rPr>
                <w:rFonts w:ascii="Arial" w:hAnsi="Arial" w:cs="Arial"/>
                <w:b/>
                <w:bCs/>
                <w:sz w:val="18"/>
                <w:szCs w:val="18"/>
              </w:rPr>
            </w:pPr>
            <w:r w:rsidRPr="00104D2A">
              <w:rPr>
                <w:rFonts w:ascii="Arial" w:hAnsi="Arial" w:cs="Arial"/>
                <w:b/>
                <w:bCs/>
                <w:sz w:val="18"/>
                <w:szCs w:val="18"/>
              </w:rPr>
              <w:t>Equation 11: Percent Solids</w:t>
            </w:r>
          </w:p>
          <w:p w14:paraId="67DF28F4" w14:textId="77777777" w:rsidR="002E0C5F" w:rsidRDefault="002E0C5F" w:rsidP="00C3721C">
            <w:pPr>
              <w:jc w:val="both"/>
              <w:rPr>
                <w:rFonts w:ascii="Arial" w:hAnsi="Arial" w:cs="Arial"/>
                <w:sz w:val="18"/>
                <w:szCs w:val="18"/>
              </w:rPr>
            </w:pPr>
          </w:p>
          <w:p w14:paraId="6732C967" w14:textId="01DD77F1" w:rsidR="002E0C5F" w:rsidRPr="00F22CF0" w:rsidRDefault="00F22CF0" w:rsidP="00C3721C">
            <w:pPr>
              <w:jc w:val="both"/>
              <w:rPr>
                <w:rFonts w:ascii="Arial" w:hAnsi="Arial" w:cs="Arial"/>
                <w:sz w:val="18"/>
                <w:szCs w:val="18"/>
              </w:rPr>
            </w:pPr>
            <m:oMathPara>
              <m:oMath>
                <m:r>
                  <w:rPr>
                    <w:rFonts w:ascii="Cambria Math" w:hAnsi="Cambria Math" w:cs="Arial"/>
                    <w:sz w:val="18"/>
                    <w:szCs w:val="18"/>
                  </w:rPr>
                  <m:t>% Dry Solids=</m:t>
                </m:r>
                <m:d>
                  <m:dPr>
                    <m:ctrlPr>
                      <w:rPr>
                        <w:rFonts w:ascii="Cambria Math" w:hAnsi="Cambria Math" w:cs="Arial"/>
                        <w:i/>
                        <w:sz w:val="18"/>
                        <w:szCs w:val="18"/>
                      </w:rPr>
                    </m:ctrlPr>
                  </m:dPr>
                  <m:e>
                    <m:r>
                      <w:rPr>
                        <w:rFonts w:ascii="Cambria Math" w:hAnsi="Cambria Math" w:cs="Arial"/>
                        <w:sz w:val="18"/>
                        <w:szCs w:val="18"/>
                      </w:rPr>
                      <m:t>100</m:t>
                    </m:r>
                  </m:e>
                </m:d>
                <m:r>
                  <w:rPr>
                    <w:rFonts w:ascii="Cambria Math" w:hAnsi="Cambria Math" w:cs="Arial"/>
                    <w:sz w:val="18"/>
                    <w:szCs w:val="18"/>
                  </w:rPr>
                  <m:t>-</m:t>
                </m:r>
                <m:d>
                  <m:dPr>
                    <m:ctrlPr>
                      <w:rPr>
                        <w:rFonts w:ascii="Cambria Math" w:hAnsi="Cambria Math" w:cs="Arial"/>
                        <w:i/>
                        <w:sz w:val="18"/>
                        <w:szCs w:val="18"/>
                      </w:rPr>
                    </m:ctrlPr>
                  </m:dPr>
                  <m:e>
                    <m:r>
                      <w:rPr>
                        <w:rFonts w:ascii="Cambria Math" w:hAnsi="Cambria Math" w:cs="Arial"/>
                        <w:sz w:val="18"/>
                        <w:szCs w:val="18"/>
                      </w:rPr>
                      <m:t>% Moisture</m:t>
                    </m:r>
                  </m:e>
                </m:d>
              </m:oMath>
            </m:oMathPara>
          </w:p>
          <w:p w14:paraId="71C82390" w14:textId="77777777" w:rsidR="00D918FB" w:rsidRPr="00D918FB" w:rsidRDefault="00D918FB" w:rsidP="00C3721C">
            <w:pPr>
              <w:jc w:val="both"/>
              <w:rPr>
                <w:rFonts w:ascii="Arial" w:hAnsi="Arial" w:cs="Arial"/>
                <w:sz w:val="18"/>
                <w:szCs w:val="18"/>
              </w:rPr>
            </w:pPr>
          </w:p>
          <w:p w14:paraId="3577A6D8" w14:textId="0E15D666" w:rsidR="009C0324" w:rsidRDefault="009C0324" w:rsidP="00C3721C">
            <w:pPr>
              <w:jc w:val="both"/>
              <w:rPr>
                <w:rFonts w:ascii="Arial" w:hAnsi="Arial" w:cs="Arial"/>
                <w:sz w:val="18"/>
                <w:szCs w:val="18"/>
              </w:rPr>
            </w:pPr>
          </w:p>
          <w:p w14:paraId="65F7DC3C" w14:textId="5811620F" w:rsidR="00333B20" w:rsidRDefault="00333B20" w:rsidP="00C3721C">
            <w:pPr>
              <w:jc w:val="both"/>
              <w:rPr>
                <w:rFonts w:ascii="Arial" w:hAnsi="Arial" w:cs="Arial"/>
                <w:b/>
                <w:bCs/>
                <w:sz w:val="18"/>
                <w:szCs w:val="18"/>
              </w:rPr>
            </w:pPr>
            <w:r>
              <w:rPr>
                <w:rFonts w:ascii="Arial" w:hAnsi="Arial" w:cs="Arial"/>
                <w:b/>
                <w:bCs/>
                <w:sz w:val="18"/>
                <w:szCs w:val="18"/>
              </w:rPr>
              <w:t>Equation 12: Dry Weight of Sample</w:t>
            </w:r>
          </w:p>
          <w:p w14:paraId="4DE95923" w14:textId="77777777" w:rsidR="0028707F" w:rsidRDefault="0028707F" w:rsidP="00C3721C">
            <w:pPr>
              <w:jc w:val="both"/>
              <w:rPr>
                <w:rFonts w:ascii="Arial" w:hAnsi="Arial" w:cs="Arial"/>
                <w:b/>
                <w:bCs/>
                <w:sz w:val="18"/>
                <w:szCs w:val="18"/>
              </w:rPr>
            </w:pPr>
          </w:p>
          <w:p w14:paraId="79C936E9" w14:textId="7C63A478" w:rsidR="0028707F" w:rsidRPr="00F22CF0" w:rsidRDefault="00F5079C" w:rsidP="00C3721C">
            <w:pPr>
              <w:jc w:val="both"/>
              <w:rPr>
                <w:rFonts w:ascii="Arial" w:hAnsi="Arial"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W</m:t>
                    </m:r>
                  </m:e>
                  <m:sub>
                    <m:r>
                      <w:rPr>
                        <w:rFonts w:ascii="Cambria Math" w:hAnsi="Cambria Math" w:cs="Arial"/>
                        <w:sz w:val="18"/>
                        <w:szCs w:val="18"/>
                      </w:rPr>
                      <m:t>d</m:t>
                    </m:r>
                  </m:sub>
                </m:sSub>
                <m:d>
                  <m:dPr>
                    <m:ctrlPr>
                      <w:rPr>
                        <w:rFonts w:ascii="Cambria Math" w:hAnsi="Cambria Math" w:cs="Arial"/>
                        <w:i/>
                        <w:sz w:val="18"/>
                        <w:szCs w:val="18"/>
                      </w:rPr>
                    </m:ctrlPr>
                  </m:dPr>
                  <m:e>
                    <m:r>
                      <w:rPr>
                        <w:rFonts w:ascii="Cambria Math" w:hAnsi="Cambria Math" w:cs="Arial"/>
                        <w:sz w:val="18"/>
                        <w:szCs w:val="18"/>
                      </w:rPr>
                      <m:t>g</m:t>
                    </m:r>
                  </m:e>
                </m:d>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(%Dry Solids)</m:t>
                    </m:r>
                  </m:num>
                  <m:den>
                    <m:r>
                      <w:rPr>
                        <w:rFonts w:ascii="Cambria Math" w:hAnsi="Cambria Math" w:cs="Arial"/>
                        <w:sz w:val="18"/>
                        <w:szCs w:val="18"/>
                      </w:rPr>
                      <m:t>100</m:t>
                    </m:r>
                  </m:den>
                </m:f>
                <m:r>
                  <w:rPr>
                    <w:rFonts w:ascii="Cambria Math" w:hAnsi="Cambria Math" w:cs="Arial"/>
                    <w:sz w:val="18"/>
                    <w:szCs w:val="18"/>
                  </w:rPr>
                  <m:t>×(g of extracted sample)</m:t>
                </m:r>
              </m:oMath>
            </m:oMathPara>
          </w:p>
          <w:p w14:paraId="1146F778" w14:textId="76CEBE93" w:rsidR="004F7821" w:rsidRPr="00A0149B" w:rsidRDefault="004F7821" w:rsidP="00C3721C">
            <w:pPr>
              <w:jc w:val="both"/>
              <w:rPr>
                <w:rFonts w:ascii="Arial" w:hAnsi="Arial" w:cs="Arial"/>
                <w:sz w:val="18"/>
                <w:szCs w:val="18"/>
              </w:rPr>
            </w:pPr>
          </w:p>
        </w:tc>
      </w:tr>
      <w:tr w:rsidR="00C3721C" w:rsidRPr="00A0149B" w14:paraId="41BBD0E9" w14:textId="77777777" w:rsidTr="000D36DE">
        <w:trPr>
          <w:trHeight w:val="264"/>
        </w:trPr>
        <w:tc>
          <w:tcPr>
            <w:tcW w:w="529" w:type="dxa"/>
            <w:noWrap/>
            <w:vAlign w:val="center"/>
          </w:tcPr>
          <w:p w14:paraId="58D8D443" w14:textId="45DE8D3F"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20023C3D" w14:textId="0ECF1787" w:rsidR="00C3721C" w:rsidRDefault="00485C90" w:rsidP="00CC64DB">
            <w:pPr>
              <w:jc w:val="both"/>
              <w:rPr>
                <w:rFonts w:ascii="Arial" w:hAnsi="Arial"/>
                <w:spacing w:val="-2"/>
                <w:sz w:val="18"/>
                <w:szCs w:val="18"/>
              </w:rPr>
            </w:pPr>
            <w:r>
              <w:rPr>
                <w:rFonts w:ascii="Arial" w:hAnsi="Arial"/>
                <w:spacing w:val="-2"/>
                <w:sz w:val="18"/>
                <w:szCs w:val="18"/>
              </w:rPr>
              <w:t>What is the laboratory’s reporting limit?</w:t>
            </w:r>
            <w:r w:rsidR="00CC64DB">
              <w:rPr>
                <w:rFonts w:ascii="Arial" w:hAnsi="Arial"/>
                <w:spacing w:val="-2"/>
                <w:sz w:val="18"/>
                <w:szCs w:val="18"/>
              </w:rPr>
              <w:t xml:space="preserve"> </w:t>
            </w:r>
            <w:r w:rsidR="00C3721C" w:rsidRPr="00F1477A">
              <w:rPr>
                <w:rFonts w:ascii="Arial" w:hAnsi="Arial"/>
                <w:spacing w:val="-2"/>
                <w:sz w:val="18"/>
                <w:szCs w:val="18"/>
              </w:rPr>
              <w:t xml:space="preserve">[MADEP VPH Rev. 2.1 (Feb 2018) Section </w:t>
            </w:r>
            <w:r w:rsidR="00C3721C">
              <w:rPr>
                <w:rFonts w:ascii="Arial" w:hAnsi="Arial"/>
                <w:spacing w:val="-2"/>
                <w:sz w:val="18"/>
                <w:szCs w:val="18"/>
              </w:rPr>
              <w:t>12.0</w:t>
            </w:r>
            <w:r w:rsidR="00C3721C" w:rsidRPr="00F1477A">
              <w:rPr>
                <w:rFonts w:ascii="Arial" w:hAnsi="Arial"/>
                <w:spacing w:val="-2"/>
                <w:sz w:val="18"/>
                <w:szCs w:val="18"/>
              </w:rPr>
              <w:t>]</w:t>
            </w:r>
          </w:p>
          <w:p w14:paraId="4CF9833A" w14:textId="77777777" w:rsidR="00CC64DB" w:rsidRDefault="00CC64DB" w:rsidP="00CC64DB">
            <w:pPr>
              <w:jc w:val="both"/>
              <w:rPr>
                <w:rFonts w:ascii="Arial" w:hAnsi="Arial"/>
                <w:spacing w:val="-2"/>
                <w:sz w:val="18"/>
                <w:szCs w:val="18"/>
              </w:rPr>
            </w:pPr>
          </w:p>
          <w:p w14:paraId="52907171" w14:textId="014A4DDC" w:rsidR="00CC64DB" w:rsidRPr="00CC64DB" w:rsidRDefault="00CC64DB" w:rsidP="00CC64DB">
            <w:pPr>
              <w:jc w:val="both"/>
              <w:rPr>
                <w:rFonts w:ascii="Arial" w:hAnsi="Arial"/>
                <w:b/>
                <w:bCs/>
                <w:spacing w:val="-2"/>
                <w:sz w:val="18"/>
                <w:szCs w:val="18"/>
              </w:rPr>
            </w:pPr>
            <w:r w:rsidRPr="00CC64DB">
              <w:rPr>
                <w:rFonts w:ascii="Arial" w:hAnsi="Arial"/>
                <w:b/>
                <w:bCs/>
                <w:spacing w:val="-2"/>
                <w:sz w:val="18"/>
                <w:szCs w:val="18"/>
              </w:rPr>
              <w:t>Answer:</w:t>
            </w:r>
          </w:p>
          <w:p w14:paraId="26E9E21A" w14:textId="77777777" w:rsidR="00CC64DB" w:rsidRDefault="00CC64DB" w:rsidP="00CC64DB">
            <w:pPr>
              <w:jc w:val="both"/>
              <w:rPr>
                <w:rFonts w:ascii="Arial" w:hAnsi="Arial"/>
                <w:spacing w:val="-2"/>
                <w:sz w:val="18"/>
                <w:szCs w:val="18"/>
              </w:rPr>
            </w:pPr>
          </w:p>
          <w:p w14:paraId="1153F8F7" w14:textId="5CE56E46" w:rsidR="00CC64DB" w:rsidRDefault="00CC64DB" w:rsidP="00CC64DB">
            <w:pPr>
              <w:jc w:val="both"/>
              <w:rPr>
                <w:rFonts w:ascii="Arial" w:hAnsi="Arial"/>
                <w:spacing w:val="-2"/>
                <w:sz w:val="18"/>
                <w:szCs w:val="18"/>
              </w:rPr>
            </w:pPr>
          </w:p>
        </w:tc>
        <w:tc>
          <w:tcPr>
            <w:tcW w:w="448" w:type="dxa"/>
            <w:shd w:val="clear" w:color="auto" w:fill="D9D9D9" w:themeFill="background1" w:themeFillShade="D9"/>
            <w:noWrap/>
            <w:vAlign w:val="center"/>
          </w:tcPr>
          <w:p w14:paraId="5D82E16A"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010E7681" w14:textId="77777777" w:rsidR="00C3721C" w:rsidRPr="00A0149B" w:rsidRDefault="00C3721C" w:rsidP="00C3721C">
            <w:pPr>
              <w:rPr>
                <w:rFonts w:ascii="Arial" w:hAnsi="Arial" w:cs="Arial"/>
                <w:sz w:val="18"/>
                <w:szCs w:val="18"/>
              </w:rPr>
            </w:pPr>
          </w:p>
        </w:tc>
        <w:tc>
          <w:tcPr>
            <w:tcW w:w="4867" w:type="dxa"/>
            <w:gridSpan w:val="2"/>
            <w:vAlign w:val="center"/>
          </w:tcPr>
          <w:p w14:paraId="1E5C1A20" w14:textId="3967D871" w:rsidR="00C3721C" w:rsidRDefault="00C3721C" w:rsidP="00C3721C">
            <w:pPr>
              <w:jc w:val="both"/>
              <w:rPr>
                <w:rFonts w:ascii="Arial" w:hAnsi="Arial" w:cs="Arial"/>
                <w:sz w:val="18"/>
                <w:szCs w:val="18"/>
              </w:rPr>
            </w:pPr>
            <w:r w:rsidRPr="00F1477A">
              <w:rPr>
                <w:rFonts w:ascii="Arial" w:hAnsi="Arial" w:cs="Arial"/>
                <w:sz w:val="18"/>
                <w:szCs w:val="18"/>
              </w:rPr>
              <w:t>The RLs for hydrocarbon ranges shall be based upon the concentration of the lowest calibration standard for an</w:t>
            </w:r>
            <w:r>
              <w:rPr>
                <w:rFonts w:ascii="Arial" w:hAnsi="Arial" w:cs="Arial"/>
                <w:sz w:val="18"/>
                <w:szCs w:val="18"/>
              </w:rPr>
              <w:t xml:space="preserve"> </w:t>
            </w:r>
            <w:r w:rsidRPr="00F1477A">
              <w:rPr>
                <w:rFonts w:ascii="Arial" w:hAnsi="Arial" w:cs="Arial"/>
                <w:sz w:val="18"/>
                <w:szCs w:val="18"/>
              </w:rPr>
              <w:t>individual analyte within the range of interest. The RL will be set at 100x the concentration of the lowest</w:t>
            </w:r>
            <w:r>
              <w:rPr>
                <w:rFonts w:ascii="Arial" w:hAnsi="Arial" w:cs="Arial"/>
                <w:sz w:val="18"/>
                <w:szCs w:val="18"/>
              </w:rPr>
              <w:t xml:space="preserve"> </w:t>
            </w:r>
            <w:r w:rsidRPr="00F1477A">
              <w:rPr>
                <w:rFonts w:ascii="Arial" w:hAnsi="Arial" w:cs="Arial"/>
                <w:sz w:val="18"/>
                <w:szCs w:val="18"/>
              </w:rPr>
              <w:t>calibration</w:t>
            </w:r>
            <w:r>
              <w:rPr>
                <w:rFonts w:ascii="Arial" w:hAnsi="Arial" w:cs="Arial"/>
                <w:sz w:val="18"/>
                <w:szCs w:val="18"/>
              </w:rPr>
              <w:t xml:space="preserve"> </w:t>
            </w:r>
            <w:r w:rsidRPr="00F1477A">
              <w:rPr>
                <w:rFonts w:ascii="Arial" w:hAnsi="Arial" w:cs="Arial"/>
                <w:sz w:val="18"/>
                <w:szCs w:val="18"/>
              </w:rPr>
              <w:t>standard for the associated analyte</w:t>
            </w:r>
            <w:r>
              <w:rPr>
                <w:rFonts w:ascii="Arial" w:hAnsi="Arial" w:cs="Arial"/>
                <w:sz w:val="18"/>
                <w:szCs w:val="18"/>
              </w:rPr>
              <w:t>.</w:t>
            </w:r>
          </w:p>
          <w:p w14:paraId="0B4D180C" w14:textId="77777777" w:rsidR="00C3721C" w:rsidRDefault="00C3721C" w:rsidP="00C3721C">
            <w:pPr>
              <w:jc w:val="both"/>
              <w:rPr>
                <w:rFonts w:ascii="Arial" w:hAnsi="Arial" w:cs="Arial"/>
                <w:sz w:val="18"/>
                <w:szCs w:val="18"/>
              </w:rPr>
            </w:pPr>
          </w:p>
          <w:p w14:paraId="05FFE270" w14:textId="654D5AF0" w:rsidR="00C3721C" w:rsidRDefault="00C3721C" w:rsidP="00C3721C">
            <w:pPr>
              <w:jc w:val="both"/>
              <w:rPr>
                <w:rFonts w:ascii="Arial" w:hAnsi="Arial" w:cs="Arial"/>
                <w:sz w:val="18"/>
                <w:szCs w:val="18"/>
              </w:rPr>
            </w:pPr>
            <w:r w:rsidRPr="009C2381">
              <w:rPr>
                <w:rFonts w:ascii="Arial" w:hAnsi="Arial" w:cs="Arial"/>
                <w:sz w:val="18"/>
                <w:szCs w:val="18"/>
              </w:rPr>
              <w:t xml:space="preserve">Based on a concentration of 1 </w:t>
            </w:r>
            <w:proofErr w:type="spellStart"/>
            <w:r w:rsidRPr="009C2381">
              <w:rPr>
                <w:rFonts w:ascii="Arial" w:hAnsi="Arial" w:cs="Arial"/>
                <w:sz w:val="18"/>
                <w:szCs w:val="18"/>
              </w:rPr>
              <w:t>μg</w:t>
            </w:r>
            <w:proofErr w:type="spellEnd"/>
            <w:r w:rsidRPr="009C2381">
              <w:rPr>
                <w:rFonts w:ascii="Arial" w:hAnsi="Arial" w:cs="Arial"/>
                <w:sz w:val="18"/>
                <w:szCs w:val="18"/>
              </w:rPr>
              <w:t>/L for the lowest calibration standard for all analytes, the following RLs would be</w:t>
            </w:r>
            <w:r>
              <w:rPr>
                <w:rFonts w:ascii="Arial" w:hAnsi="Arial" w:cs="Arial"/>
                <w:sz w:val="18"/>
                <w:szCs w:val="18"/>
              </w:rPr>
              <w:t xml:space="preserve"> </w:t>
            </w:r>
            <w:r w:rsidRPr="009C2381">
              <w:rPr>
                <w:rFonts w:ascii="Arial" w:hAnsi="Arial" w:cs="Arial"/>
                <w:sz w:val="18"/>
                <w:szCs w:val="18"/>
              </w:rPr>
              <w:t>generated for the hydrocarbon ranges:</w:t>
            </w:r>
            <w:r>
              <w:rPr>
                <w:rFonts w:ascii="Arial" w:hAnsi="Arial" w:cs="Arial"/>
                <w:sz w:val="18"/>
                <w:szCs w:val="18"/>
              </w:rPr>
              <w:t xml:space="preserve"> </w:t>
            </w:r>
            <w:r w:rsidRPr="009C2381">
              <w:rPr>
                <w:rFonts w:ascii="Arial" w:hAnsi="Arial" w:cs="Arial"/>
                <w:sz w:val="18"/>
                <w:szCs w:val="18"/>
              </w:rPr>
              <w:t xml:space="preserve">Aqueous Samples: Hydrocarbon range RLs would be equivalent to 100 </w:t>
            </w:r>
            <w:proofErr w:type="spellStart"/>
            <w:r w:rsidRPr="009C2381">
              <w:rPr>
                <w:rFonts w:ascii="Arial" w:hAnsi="Arial" w:cs="Arial"/>
                <w:sz w:val="18"/>
                <w:szCs w:val="18"/>
              </w:rPr>
              <w:t>μg</w:t>
            </w:r>
            <w:proofErr w:type="spellEnd"/>
            <w:r w:rsidRPr="009C2381">
              <w:rPr>
                <w:rFonts w:ascii="Arial" w:hAnsi="Arial" w:cs="Arial"/>
                <w:sz w:val="18"/>
                <w:szCs w:val="18"/>
              </w:rPr>
              <w:t>/L.</w:t>
            </w:r>
          </w:p>
          <w:p w14:paraId="22E4E1EC" w14:textId="27A03EA8" w:rsidR="00C3721C" w:rsidRPr="00713DAC" w:rsidRDefault="00C3721C" w:rsidP="00C3721C">
            <w:pPr>
              <w:jc w:val="both"/>
              <w:rPr>
                <w:rFonts w:ascii="Arial" w:hAnsi="Arial" w:cs="Arial"/>
                <w:sz w:val="18"/>
                <w:szCs w:val="18"/>
              </w:rPr>
            </w:pPr>
            <w:r w:rsidRPr="009C2381">
              <w:rPr>
                <w:rFonts w:ascii="Arial" w:hAnsi="Arial" w:cs="Arial"/>
                <w:sz w:val="18"/>
                <w:szCs w:val="18"/>
              </w:rPr>
              <w:t>Soil/Sediment Samples: Hydrocarbon range RLs would be equivalent to 5 mg/kg based on a 1:1 ratio of methanol: soil</w:t>
            </w:r>
            <w:r>
              <w:rPr>
                <w:rFonts w:ascii="Arial" w:hAnsi="Arial" w:cs="Arial"/>
                <w:sz w:val="18"/>
                <w:szCs w:val="18"/>
              </w:rPr>
              <w:t xml:space="preserve"> </w:t>
            </w:r>
            <w:r w:rsidRPr="009C2381">
              <w:rPr>
                <w:rFonts w:ascii="Arial" w:hAnsi="Arial" w:cs="Arial"/>
                <w:sz w:val="18"/>
                <w:szCs w:val="18"/>
              </w:rPr>
              <w:t xml:space="preserve">and analysis of a 100 </w:t>
            </w:r>
            <w:proofErr w:type="spellStart"/>
            <w:r w:rsidRPr="009C2381">
              <w:rPr>
                <w:rFonts w:ascii="Arial" w:hAnsi="Arial" w:cs="Arial"/>
                <w:sz w:val="18"/>
                <w:szCs w:val="18"/>
              </w:rPr>
              <w:t>μL</w:t>
            </w:r>
            <w:proofErr w:type="spellEnd"/>
            <w:r w:rsidRPr="009C2381">
              <w:rPr>
                <w:rFonts w:ascii="Arial" w:hAnsi="Arial" w:cs="Arial"/>
                <w:sz w:val="18"/>
                <w:szCs w:val="18"/>
              </w:rPr>
              <w:t xml:space="preserve"> aliquot of the methanol extract in 5 mL water</w:t>
            </w:r>
            <w:r>
              <w:rPr>
                <w:rFonts w:ascii="Arial" w:hAnsi="Arial" w:cs="Arial"/>
                <w:sz w:val="18"/>
                <w:szCs w:val="18"/>
              </w:rPr>
              <w:t>.</w:t>
            </w:r>
          </w:p>
        </w:tc>
      </w:tr>
      <w:tr w:rsidR="00C3721C" w:rsidRPr="00A0149B" w14:paraId="7DE2B387" w14:textId="77777777" w:rsidTr="000D36DE">
        <w:trPr>
          <w:trHeight w:val="264"/>
        </w:trPr>
        <w:tc>
          <w:tcPr>
            <w:tcW w:w="529" w:type="dxa"/>
            <w:noWrap/>
            <w:vAlign w:val="center"/>
          </w:tcPr>
          <w:p w14:paraId="4F411ACB" w14:textId="77777777" w:rsidR="00C3721C" w:rsidRPr="008D4248" w:rsidRDefault="00C3721C" w:rsidP="00C3721C">
            <w:pPr>
              <w:pStyle w:val="ListParagraph"/>
              <w:numPr>
                <w:ilvl w:val="0"/>
                <w:numId w:val="3"/>
              </w:numPr>
              <w:rPr>
                <w:rFonts w:ascii="Arial" w:hAnsi="Arial" w:cs="Arial"/>
                <w:sz w:val="18"/>
                <w:szCs w:val="18"/>
              </w:rPr>
            </w:pPr>
          </w:p>
        </w:tc>
        <w:tc>
          <w:tcPr>
            <w:tcW w:w="4867" w:type="dxa"/>
            <w:noWrap/>
            <w:vAlign w:val="center"/>
          </w:tcPr>
          <w:p w14:paraId="0FADC5AD" w14:textId="6A9D893B" w:rsidR="00C3721C" w:rsidRDefault="00C3721C" w:rsidP="00C3721C">
            <w:pPr>
              <w:jc w:val="both"/>
              <w:rPr>
                <w:rFonts w:ascii="Arial" w:hAnsi="Arial"/>
                <w:spacing w:val="-2"/>
                <w:sz w:val="18"/>
                <w:szCs w:val="18"/>
              </w:rPr>
            </w:pPr>
            <w:r>
              <w:rPr>
                <w:rFonts w:ascii="Arial" w:hAnsi="Arial"/>
                <w:spacing w:val="-2"/>
                <w:sz w:val="18"/>
                <w:szCs w:val="18"/>
              </w:rPr>
              <w:t xml:space="preserve">Is the data qualified on the Discharge Monitoring Report (DMR) or client report if Quality Control (QC) requirements are not met? [15A NCAC </w:t>
            </w:r>
            <w:r w:rsidR="00737438">
              <w:rPr>
                <w:rFonts w:ascii="Arial" w:hAnsi="Arial"/>
                <w:spacing w:val="-2"/>
                <w:sz w:val="18"/>
                <w:szCs w:val="18"/>
              </w:rPr>
              <w:t>0</w:t>
            </w:r>
            <w:r>
              <w:rPr>
                <w:rFonts w:ascii="Arial" w:hAnsi="Arial"/>
                <w:spacing w:val="-2"/>
                <w:sz w:val="18"/>
                <w:szCs w:val="18"/>
              </w:rPr>
              <w:t>2H .0805 (</w:t>
            </w:r>
            <w:r w:rsidR="00756108">
              <w:rPr>
                <w:rFonts w:ascii="Arial" w:hAnsi="Arial"/>
                <w:spacing w:val="-2"/>
                <w:sz w:val="18"/>
                <w:szCs w:val="18"/>
              </w:rPr>
              <w:t>e</w:t>
            </w:r>
            <w:r>
              <w:rPr>
                <w:rFonts w:ascii="Arial" w:hAnsi="Arial"/>
                <w:spacing w:val="-2"/>
                <w:sz w:val="18"/>
                <w:szCs w:val="18"/>
              </w:rPr>
              <w:t>) (</w:t>
            </w:r>
            <w:r w:rsidR="00756108">
              <w:rPr>
                <w:rFonts w:ascii="Arial" w:hAnsi="Arial"/>
                <w:spacing w:val="-2"/>
                <w:sz w:val="18"/>
                <w:szCs w:val="18"/>
              </w:rPr>
              <w:t>5</w:t>
            </w:r>
            <w:r>
              <w:rPr>
                <w:rFonts w:ascii="Arial" w:hAnsi="Arial"/>
                <w:spacing w:val="-2"/>
                <w:sz w:val="18"/>
                <w:szCs w:val="18"/>
              </w:rPr>
              <w:t>)]</w:t>
            </w:r>
          </w:p>
        </w:tc>
        <w:tc>
          <w:tcPr>
            <w:tcW w:w="448" w:type="dxa"/>
            <w:shd w:val="clear" w:color="auto" w:fill="FFFFFF" w:themeFill="background1"/>
            <w:noWrap/>
            <w:vAlign w:val="center"/>
          </w:tcPr>
          <w:p w14:paraId="18852EDA" w14:textId="77777777" w:rsidR="00C3721C" w:rsidRPr="00A0149B" w:rsidRDefault="00C3721C" w:rsidP="00C3721C">
            <w:pPr>
              <w:rPr>
                <w:rFonts w:ascii="Arial" w:hAnsi="Arial" w:cs="Arial"/>
                <w:sz w:val="18"/>
                <w:szCs w:val="18"/>
              </w:rPr>
            </w:pPr>
          </w:p>
        </w:tc>
        <w:tc>
          <w:tcPr>
            <w:tcW w:w="448" w:type="dxa"/>
            <w:shd w:val="clear" w:color="auto" w:fill="FFFFFF" w:themeFill="background1"/>
            <w:noWrap/>
            <w:vAlign w:val="center"/>
          </w:tcPr>
          <w:p w14:paraId="48633317" w14:textId="77777777" w:rsidR="00C3721C" w:rsidRPr="00A0149B" w:rsidRDefault="00C3721C" w:rsidP="00C3721C">
            <w:pPr>
              <w:rPr>
                <w:rFonts w:ascii="Arial" w:hAnsi="Arial" w:cs="Arial"/>
                <w:sz w:val="18"/>
                <w:szCs w:val="18"/>
              </w:rPr>
            </w:pPr>
          </w:p>
        </w:tc>
        <w:tc>
          <w:tcPr>
            <w:tcW w:w="4867" w:type="dxa"/>
            <w:gridSpan w:val="2"/>
            <w:vAlign w:val="center"/>
          </w:tcPr>
          <w:p w14:paraId="20ABE7A7" w14:textId="2E9435BB" w:rsidR="00C3721C" w:rsidRPr="00F1477A" w:rsidRDefault="00756108" w:rsidP="00C3721C">
            <w:pPr>
              <w:jc w:val="both"/>
              <w:rPr>
                <w:rFonts w:ascii="Arial" w:hAnsi="Arial" w:cs="Arial"/>
                <w:sz w:val="18"/>
                <w:szCs w:val="18"/>
              </w:rPr>
            </w:pPr>
            <w:r w:rsidRPr="007D79B6">
              <w:rPr>
                <w:rFonts w:ascii="Arial" w:hAnsi="Arial" w:cs="Arial"/>
                <w:color w:val="000000"/>
                <w:sz w:val="18"/>
                <w:szCs w:val="18"/>
              </w:rPr>
              <w:t>Reported data associated with Quality Control failures, improper sample collection</w:t>
            </w:r>
            <w:proofErr w:type="gramStart"/>
            <w:r w:rsidRPr="007D79B6">
              <w:rPr>
                <w:rFonts w:ascii="Arial" w:hAnsi="Arial" w:cs="Arial"/>
                <w:color w:val="000000"/>
                <w:sz w:val="18"/>
                <w:szCs w:val="18"/>
              </w:rPr>
              <w:t>, holding</w:t>
            </w:r>
            <w:proofErr w:type="gramEnd"/>
            <w:r w:rsidRPr="007D79B6">
              <w:rPr>
                <w:rFonts w:ascii="Arial" w:hAnsi="Arial" w:cs="Arial"/>
                <w:color w:val="000000"/>
                <w:sz w:val="18"/>
                <w:szCs w:val="18"/>
              </w:rPr>
              <w:t xml:space="preserve"> time exceedances, or improper preservation shall be qualified as such.</w:t>
            </w:r>
          </w:p>
        </w:tc>
      </w:tr>
    </w:tbl>
    <w:p w14:paraId="7FBBBBF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02698F1" w14:textId="40A93B1E"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80E67">
        <w:rPr>
          <w:rFonts w:ascii="Arial" w:hAnsi="Arial" w:cs="Arial"/>
          <w:sz w:val="18"/>
          <w:szCs w:val="18"/>
        </w:rPr>
        <w:t>___</w:t>
      </w:r>
    </w:p>
    <w:p w14:paraId="43C647F7" w14:textId="5C2F601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31A82">
        <w:rPr>
          <w:rFonts w:ascii="Arial" w:hAnsi="Arial" w:cs="Arial"/>
          <w:sz w:val="18"/>
          <w:szCs w:val="18"/>
        </w:rPr>
        <w:t>___</w:t>
      </w:r>
    </w:p>
    <w:p w14:paraId="77450B0F" w14:textId="3E3B4DA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31A82">
        <w:rPr>
          <w:rFonts w:ascii="Arial" w:hAnsi="Arial" w:cs="Arial"/>
          <w:sz w:val="18"/>
          <w:szCs w:val="18"/>
        </w:rPr>
        <w:t>___</w:t>
      </w:r>
    </w:p>
    <w:p w14:paraId="2EC62C5F" w14:textId="2B51BAC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31A82">
        <w:rPr>
          <w:rFonts w:ascii="Arial" w:hAnsi="Arial" w:cs="Arial"/>
          <w:sz w:val="18"/>
          <w:szCs w:val="18"/>
        </w:rPr>
        <w:t>___</w:t>
      </w:r>
    </w:p>
    <w:p w14:paraId="03A0FDF9" w14:textId="288D6B4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B31A82">
        <w:rPr>
          <w:rFonts w:ascii="Arial" w:hAnsi="Arial" w:cs="Arial"/>
          <w:sz w:val="18"/>
          <w:szCs w:val="18"/>
        </w:rPr>
        <w:t>___</w:t>
      </w:r>
    </w:p>
    <w:p w14:paraId="4A1DB628" w14:textId="77777777" w:rsidR="00575E77" w:rsidRDefault="00575E77" w:rsidP="00575E7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0E1F013" w14:textId="77777777" w:rsidR="00575E77" w:rsidRDefault="00575E77" w:rsidP="00575E7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6C3F70C" w14:textId="77777777" w:rsidR="00575E77" w:rsidRDefault="00575E77" w:rsidP="00575E7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6E961CC" w14:textId="77777777" w:rsidR="00575E77" w:rsidRDefault="00575E77" w:rsidP="00575E7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59B22B" w14:textId="77777777" w:rsidR="00575E77" w:rsidRDefault="00575E77" w:rsidP="00575E77">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C1484BA"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A34B042"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25AA1E7"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75471EE"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DA37607"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2F3B7B8"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ADBEB22"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1D8304D" w14:textId="77777777" w:rsidR="00C306FE" w:rsidRDefault="00C306FE" w:rsidP="00C306FE">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23BFB8B" w14:textId="77777777" w:rsidR="00560E41" w:rsidRDefault="00560E41">
      <w:pPr>
        <w:spacing w:line="360" w:lineRule="auto"/>
        <w:rPr>
          <w:rFonts w:ascii="Arial" w:hAnsi="Arial" w:cs="Arial"/>
          <w:sz w:val="18"/>
          <w:szCs w:val="18"/>
        </w:rPr>
      </w:pPr>
    </w:p>
    <w:p w14:paraId="622DE547" w14:textId="2DE938C2"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r w:rsidR="00575E77">
        <w:rPr>
          <w:rFonts w:ascii="Arial" w:hAnsi="Arial" w:cs="Arial"/>
          <w:sz w:val="18"/>
          <w:szCs w:val="18"/>
        </w:rPr>
        <w:t>___</w:t>
      </w:r>
    </w:p>
    <w:sectPr w:rsidR="00C37462" w:rsidRPr="00351E5A">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243C" w14:textId="77777777" w:rsidR="00F5079C" w:rsidRDefault="00F5079C">
      <w:r>
        <w:separator/>
      </w:r>
    </w:p>
  </w:endnote>
  <w:endnote w:type="continuationSeparator" w:id="0">
    <w:p w14:paraId="6B97321E" w14:textId="77777777" w:rsidR="00F5079C" w:rsidRDefault="00F5079C">
      <w:r>
        <w:continuationSeparator/>
      </w:r>
    </w:p>
  </w:endnote>
  <w:endnote w:type="continuationNotice" w:id="1">
    <w:p w14:paraId="6C5FB03C" w14:textId="77777777" w:rsidR="00F5079C" w:rsidRDefault="00F50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4404" w14:textId="7C2E5337" w:rsidR="00EA3E48" w:rsidRDefault="00EA3E48" w:rsidP="00BD554A">
    <w:pPr>
      <w:spacing w:line="360" w:lineRule="auto"/>
    </w:pPr>
    <w:r>
      <w:rPr>
        <w:rFonts w:ascii="Arial" w:hAnsi="Arial" w:cs="Arial"/>
        <w:sz w:val="16"/>
        <w:szCs w:val="16"/>
      </w:rPr>
      <w:t xml:space="preserve">Revised </w:t>
    </w:r>
    <w:r w:rsidR="000C75AF">
      <w:rPr>
        <w:rFonts w:ascii="Arial" w:hAnsi="Arial" w:cs="Arial"/>
        <w:sz w:val="16"/>
        <w:szCs w:val="16"/>
      </w:rPr>
      <w:t>6/17/2026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2B70" w14:textId="29A82E83"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6231B3">
      <w:rPr>
        <w:rFonts w:ascii="Arial" w:hAnsi="Arial" w:cs="Arial"/>
        <w:sz w:val="16"/>
        <w:szCs w:val="16"/>
      </w:rPr>
      <w:t>6/17/2026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1119" w14:textId="77777777" w:rsidR="00F5079C" w:rsidRDefault="00F5079C">
      <w:r>
        <w:separator/>
      </w:r>
    </w:p>
  </w:footnote>
  <w:footnote w:type="continuationSeparator" w:id="0">
    <w:p w14:paraId="73C5DE5A" w14:textId="77777777" w:rsidR="00F5079C" w:rsidRDefault="00F5079C">
      <w:r>
        <w:continuationSeparator/>
      </w:r>
    </w:p>
  </w:footnote>
  <w:footnote w:type="continuationNotice" w:id="1">
    <w:p w14:paraId="7C44683B" w14:textId="77777777" w:rsidR="00F5079C" w:rsidRDefault="00F50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8139" w14:textId="58EB4A94" w:rsidR="000D5ACF" w:rsidRDefault="000D5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4D50" w14:textId="5598EF39" w:rsidR="00EA3E48" w:rsidRPr="0058752C" w:rsidRDefault="00A36AF1" w:rsidP="00721252">
    <w:pPr>
      <w:pStyle w:val="Header"/>
      <w:tabs>
        <w:tab w:val="clear" w:pos="4320"/>
        <w:tab w:val="clear" w:pos="8640"/>
        <w:tab w:val="right" w:pos="11160"/>
      </w:tabs>
      <w:rPr>
        <w:rFonts w:ascii="Arial" w:hAnsi="Arial" w:cs="Arial"/>
        <w:sz w:val="16"/>
        <w:szCs w:val="16"/>
      </w:rPr>
    </w:pPr>
    <w:r w:rsidRPr="00A36AF1">
      <w:rPr>
        <w:rFonts w:ascii="Arial" w:hAnsi="Arial" w:cs="Arial"/>
        <w:sz w:val="16"/>
        <w:szCs w:val="16"/>
      </w:rPr>
      <w:t>M</w:t>
    </w:r>
    <w:r w:rsidR="00C46DF0">
      <w:rPr>
        <w:rFonts w:ascii="Arial" w:hAnsi="Arial" w:cs="Arial"/>
        <w:sz w:val="16"/>
        <w:szCs w:val="16"/>
      </w:rPr>
      <w:t>ADEP</w:t>
    </w:r>
    <w:r w:rsidRPr="00A36AF1">
      <w:rPr>
        <w:rFonts w:ascii="Arial" w:hAnsi="Arial" w:cs="Arial"/>
        <w:sz w:val="16"/>
        <w:szCs w:val="16"/>
      </w:rPr>
      <w:t xml:space="preserve"> VPH</w:t>
    </w:r>
    <w:r w:rsidR="00F60493">
      <w:rPr>
        <w:rFonts w:ascii="Arial" w:hAnsi="Arial" w:cs="Arial"/>
        <w:sz w:val="16"/>
        <w:szCs w:val="16"/>
      </w:rPr>
      <w:tab/>
    </w:r>
    <w:r w:rsidRPr="00A36AF1" w:rsidDel="00A36AF1">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8203" w14:textId="77777777" w:rsidR="00A245E3" w:rsidRDefault="005F4F70" w:rsidP="005F4F70">
    <w:pPr>
      <w:jc w:val="center"/>
    </w:pPr>
    <w:r>
      <w:rPr>
        <w:rFonts w:ascii="Arial" w:hAnsi="Arial" w:cs="Arial"/>
        <w:sz w:val="18"/>
        <w:szCs w:val="18"/>
      </w:rPr>
      <w:t>NC DEQ/DWR WASTEWATER/GROUNDWATER LABORATORY CERTIFICATION BRANCH</w:t>
    </w:r>
  </w:p>
  <w:p w14:paraId="0140E344" w14:textId="607739A5" w:rsidR="000D5ACF" w:rsidRDefault="000D5ACF" w:rsidP="005F4F7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8C35CA"/>
    <w:multiLevelType w:val="hybridMultilevel"/>
    <w:tmpl w:val="B4B03BE8"/>
    <w:lvl w:ilvl="0" w:tplc="144AB26C">
      <w:start w:val="1"/>
      <w:numFmt w:val="decimal"/>
      <w:lvlText w:val="%1"/>
      <w:lvlJc w:val="lef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363D9"/>
    <w:multiLevelType w:val="hybridMultilevel"/>
    <w:tmpl w:val="375407C4"/>
    <w:lvl w:ilvl="0" w:tplc="D4CE7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563407">
    <w:abstractNumId w:val="0"/>
  </w:num>
  <w:num w:numId="2" w16cid:durableId="1780757796">
    <w:abstractNumId w:val="1"/>
  </w:num>
  <w:num w:numId="3" w16cid:durableId="1533418719">
    <w:abstractNumId w:val="2"/>
  </w:num>
  <w:num w:numId="4" w16cid:durableId="1516069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E2E"/>
    <w:rsid w:val="00001E7F"/>
    <w:rsid w:val="00004A53"/>
    <w:rsid w:val="00004F36"/>
    <w:rsid w:val="000115EF"/>
    <w:rsid w:val="00011EBC"/>
    <w:rsid w:val="000212AE"/>
    <w:rsid w:val="00025D87"/>
    <w:rsid w:val="00026092"/>
    <w:rsid w:val="00026A4E"/>
    <w:rsid w:val="0002759A"/>
    <w:rsid w:val="00027EFD"/>
    <w:rsid w:val="00031453"/>
    <w:rsid w:val="00031DC0"/>
    <w:rsid w:val="00032566"/>
    <w:rsid w:val="00032B7C"/>
    <w:rsid w:val="00034061"/>
    <w:rsid w:val="00034191"/>
    <w:rsid w:val="000353CC"/>
    <w:rsid w:val="000529F1"/>
    <w:rsid w:val="00052A26"/>
    <w:rsid w:val="00052E38"/>
    <w:rsid w:val="00054228"/>
    <w:rsid w:val="00056BB9"/>
    <w:rsid w:val="00056E9F"/>
    <w:rsid w:val="00057D9C"/>
    <w:rsid w:val="00057DF9"/>
    <w:rsid w:val="00062FBE"/>
    <w:rsid w:val="000642D3"/>
    <w:rsid w:val="000647CC"/>
    <w:rsid w:val="0006482D"/>
    <w:rsid w:val="000655AC"/>
    <w:rsid w:val="00065E5C"/>
    <w:rsid w:val="00066B75"/>
    <w:rsid w:val="000677E9"/>
    <w:rsid w:val="0007353B"/>
    <w:rsid w:val="000770F1"/>
    <w:rsid w:val="00080C63"/>
    <w:rsid w:val="00081C16"/>
    <w:rsid w:val="0008213A"/>
    <w:rsid w:val="000831D7"/>
    <w:rsid w:val="00083246"/>
    <w:rsid w:val="000839E7"/>
    <w:rsid w:val="00083D39"/>
    <w:rsid w:val="00084E2C"/>
    <w:rsid w:val="00085E01"/>
    <w:rsid w:val="00085F0E"/>
    <w:rsid w:val="000901A7"/>
    <w:rsid w:val="00094B3B"/>
    <w:rsid w:val="00096208"/>
    <w:rsid w:val="000963FD"/>
    <w:rsid w:val="000A11E8"/>
    <w:rsid w:val="000A337E"/>
    <w:rsid w:val="000A6888"/>
    <w:rsid w:val="000A733F"/>
    <w:rsid w:val="000A7514"/>
    <w:rsid w:val="000B0315"/>
    <w:rsid w:val="000B2686"/>
    <w:rsid w:val="000B5162"/>
    <w:rsid w:val="000B76A7"/>
    <w:rsid w:val="000C26E8"/>
    <w:rsid w:val="000C75AF"/>
    <w:rsid w:val="000D047C"/>
    <w:rsid w:val="000D13F0"/>
    <w:rsid w:val="000D36DE"/>
    <w:rsid w:val="000D4D06"/>
    <w:rsid w:val="000D5ACF"/>
    <w:rsid w:val="000E0DFC"/>
    <w:rsid w:val="000E2629"/>
    <w:rsid w:val="000E37C8"/>
    <w:rsid w:val="000E5629"/>
    <w:rsid w:val="000E5B95"/>
    <w:rsid w:val="000E722D"/>
    <w:rsid w:val="000E79D6"/>
    <w:rsid w:val="000F0FDB"/>
    <w:rsid w:val="000F16FF"/>
    <w:rsid w:val="00101742"/>
    <w:rsid w:val="0010221E"/>
    <w:rsid w:val="00102FF0"/>
    <w:rsid w:val="00103BA1"/>
    <w:rsid w:val="00104696"/>
    <w:rsid w:val="00104D2A"/>
    <w:rsid w:val="00105B1A"/>
    <w:rsid w:val="00106C51"/>
    <w:rsid w:val="00110073"/>
    <w:rsid w:val="001112BD"/>
    <w:rsid w:val="00113376"/>
    <w:rsid w:val="00113763"/>
    <w:rsid w:val="00113EAC"/>
    <w:rsid w:val="00117714"/>
    <w:rsid w:val="00117C2E"/>
    <w:rsid w:val="00124BA6"/>
    <w:rsid w:val="00127A20"/>
    <w:rsid w:val="00132AEF"/>
    <w:rsid w:val="0013389D"/>
    <w:rsid w:val="00133FCF"/>
    <w:rsid w:val="00136665"/>
    <w:rsid w:val="00136B96"/>
    <w:rsid w:val="00136E5C"/>
    <w:rsid w:val="0014196B"/>
    <w:rsid w:val="00143551"/>
    <w:rsid w:val="00145EE0"/>
    <w:rsid w:val="00146088"/>
    <w:rsid w:val="00155C16"/>
    <w:rsid w:val="00157C6C"/>
    <w:rsid w:val="00160C98"/>
    <w:rsid w:val="001618EA"/>
    <w:rsid w:val="00162C9D"/>
    <w:rsid w:val="00163347"/>
    <w:rsid w:val="0016624E"/>
    <w:rsid w:val="0016775D"/>
    <w:rsid w:val="001678DC"/>
    <w:rsid w:val="00167EAD"/>
    <w:rsid w:val="001705E9"/>
    <w:rsid w:val="00170AD5"/>
    <w:rsid w:val="00171191"/>
    <w:rsid w:val="001716D5"/>
    <w:rsid w:val="00174FD2"/>
    <w:rsid w:val="0017588C"/>
    <w:rsid w:val="00177C0A"/>
    <w:rsid w:val="00180E67"/>
    <w:rsid w:val="001812B7"/>
    <w:rsid w:val="001835EF"/>
    <w:rsid w:val="00184909"/>
    <w:rsid w:val="00185DDC"/>
    <w:rsid w:val="00186187"/>
    <w:rsid w:val="00191F6D"/>
    <w:rsid w:val="001920D1"/>
    <w:rsid w:val="00192E17"/>
    <w:rsid w:val="001A294A"/>
    <w:rsid w:val="001A2A8B"/>
    <w:rsid w:val="001A2C7B"/>
    <w:rsid w:val="001B06F7"/>
    <w:rsid w:val="001B08D3"/>
    <w:rsid w:val="001B1360"/>
    <w:rsid w:val="001B2604"/>
    <w:rsid w:val="001B6CAD"/>
    <w:rsid w:val="001B74EE"/>
    <w:rsid w:val="001C323F"/>
    <w:rsid w:val="001C3F36"/>
    <w:rsid w:val="001C567F"/>
    <w:rsid w:val="001C5EF8"/>
    <w:rsid w:val="001C660C"/>
    <w:rsid w:val="001D02C6"/>
    <w:rsid w:val="001D0676"/>
    <w:rsid w:val="001D17BC"/>
    <w:rsid w:val="001D1DD1"/>
    <w:rsid w:val="001D49F3"/>
    <w:rsid w:val="001D64CB"/>
    <w:rsid w:val="001D72E3"/>
    <w:rsid w:val="001E1D0D"/>
    <w:rsid w:val="001E3334"/>
    <w:rsid w:val="001E6F37"/>
    <w:rsid w:val="001E6FAB"/>
    <w:rsid w:val="001F11C4"/>
    <w:rsid w:val="001F56A7"/>
    <w:rsid w:val="0020258E"/>
    <w:rsid w:val="00202B88"/>
    <w:rsid w:val="00202B95"/>
    <w:rsid w:val="00203FF2"/>
    <w:rsid w:val="00207006"/>
    <w:rsid w:val="00207071"/>
    <w:rsid w:val="002104F2"/>
    <w:rsid w:val="00213495"/>
    <w:rsid w:val="00213B69"/>
    <w:rsid w:val="0021441C"/>
    <w:rsid w:val="00217C6A"/>
    <w:rsid w:val="00222F13"/>
    <w:rsid w:val="00226E51"/>
    <w:rsid w:val="00232762"/>
    <w:rsid w:val="002349FF"/>
    <w:rsid w:val="00237335"/>
    <w:rsid w:val="00244FFE"/>
    <w:rsid w:val="00250250"/>
    <w:rsid w:val="002519BC"/>
    <w:rsid w:val="002521B4"/>
    <w:rsid w:val="00252675"/>
    <w:rsid w:val="00253ED1"/>
    <w:rsid w:val="00255587"/>
    <w:rsid w:val="002616A3"/>
    <w:rsid w:val="00264044"/>
    <w:rsid w:val="00265099"/>
    <w:rsid w:val="00271298"/>
    <w:rsid w:val="00271865"/>
    <w:rsid w:val="002729B5"/>
    <w:rsid w:val="002730B0"/>
    <w:rsid w:val="00277F4C"/>
    <w:rsid w:val="002806CD"/>
    <w:rsid w:val="00282FE5"/>
    <w:rsid w:val="00283C86"/>
    <w:rsid w:val="002845F1"/>
    <w:rsid w:val="0028707F"/>
    <w:rsid w:val="0028730A"/>
    <w:rsid w:val="002874C7"/>
    <w:rsid w:val="00291645"/>
    <w:rsid w:val="00291C76"/>
    <w:rsid w:val="00293B03"/>
    <w:rsid w:val="0029682D"/>
    <w:rsid w:val="00297CE1"/>
    <w:rsid w:val="002A0288"/>
    <w:rsid w:val="002A1821"/>
    <w:rsid w:val="002A3D0C"/>
    <w:rsid w:val="002A7883"/>
    <w:rsid w:val="002B158C"/>
    <w:rsid w:val="002B2152"/>
    <w:rsid w:val="002B2950"/>
    <w:rsid w:val="002B3956"/>
    <w:rsid w:val="002B5EA1"/>
    <w:rsid w:val="002B6938"/>
    <w:rsid w:val="002C0606"/>
    <w:rsid w:val="002C07E8"/>
    <w:rsid w:val="002C0B30"/>
    <w:rsid w:val="002C15F9"/>
    <w:rsid w:val="002C177D"/>
    <w:rsid w:val="002D4B13"/>
    <w:rsid w:val="002D51C5"/>
    <w:rsid w:val="002D687A"/>
    <w:rsid w:val="002D739D"/>
    <w:rsid w:val="002E0C5F"/>
    <w:rsid w:val="002E0D22"/>
    <w:rsid w:val="002E13E9"/>
    <w:rsid w:val="002E19DB"/>
    <w:rsid w:val="002E383C"/>
    <w:rsid w:val="002E40B9"/>
    <w:rsid w:val="002E519A"/>
    <w:rsid w:val="002E68A9"/>
    <w:rsid w:val="002E713D"/>
    <w:rsid w:val="002E774C"/>
    <w:rsid w:val="002F1251"/>
    <w:rsid w:val="002F236C"/>
    <w:rsid w:val="002F41D1"/>
    <w:rsid w:val="002F4680"/>
    <w:rsid w:val="002F4963"/>
    <w:rsid w:val="003003FE"/>
    <w:rsid w:val="003031F0"/>
    <w:rsid w:val="003052BE"/>
    <w:rsid w:val="003066FB"/>
    <w:rsid w:val="00307D42"/>
    <w:rsid w:val="00312213"/>
    <w:rsid w:val="00312382"/>
    <w:rsid w:val="00312389"/>
    <w:rsid w:val="00313EC0"/>
    <w:rsid w:val="003149CB"/>
    <w:rsid w:val="00316390"/>
    <w:rsid w:val="00316722"/>
    <w:rsid w:val="0032243B"/>
    <w:rsid w:val="003234B0"/>
    <w:rsid w:val="00324078"/>
    <w:rsid w:val="003250FD"/>
    <w:rsid w:val="00327504"/>
    <w:rsid w:val="00330140"/>
    <w:rsid w:val="003310E4"/>
    <w:rsid w:val="00333B20"/>
    <w:rsid w:val="003347EC"/>
    <w:rsid w:val="00335CD5"/>
    <w:rsid w:val="00337884"/>
    <w:rsid w:val="00340161"/>
    <w:rsid w:val="003415C2"/>
    <w:rsid w:val="00344A82"/>
    <w:rsid w:val="00347086"/>
    <w:rsid w:val="003476F2"/>
    <w:rsid w:val="003527FF"/>
    <w:rsid w:val="003549EC"/>
    <w:rsid w:val="0035732C"/>
    <w:rsid w:val="0035793B"/>
    <w:rsid w:val="003629B4"/>
    <w:rsid w:val="00363F68"/>
    <w:rsid w:val="00364522"/>
    <w:rsid w:val="0036460B"/>
    <w:rsid w:val="00365642"/>
    <w:rsid w:val="003663A6"/>
    <w:rsid w:val="003710BD"/>
    <w:rsid w:val="00371300"/>
    <w:rsid w:val="00372890"/>
    <w:rsid w:val="0037356F"/>
    <w:rsid w:val="00373A7E"/>
    <w:rsid w:val="00382148"/>
    <w:rsid w:val="003828F3"/>
    <w:rsid w:val="0038316F"/>
    <w:rsid w:val="00390AE4"/>
    <w:rsid w:val="00390ED7"/>
    <w:rsid w:val="003921BE"/>
    <w:rsid w:val="00393363"/>
    <w:rsid w:val="003A0766"/>
    <w:rsid w:val="003A1320"/>
    <w:rsid w:val="003A4769"/>
    <w:rsid w:val="003A50C3"/>
    <w:rsid w:val="003A74AC"/>
    <w:rsid w:val="003B19AF"/>
    <w:rsid w:val="003B5E06"/>
    <w:rsid w:val="003B7CDE"/>
    <w:rsid w:val="003C3DEE"/>
    <w:rsid w:val="003C438E"/>
    <w:rsid w:val="003D188A"/>
    <w:rsid w:val="003D28FE"/>
    <w:rsid w:val="003D42FA"/>
    <w:rsid w:val="003D5D83"/>
    <w:rsid w:val="003D6250"/>
    <w:rsid w:val="003E0A79"/>
    <w:rsid w:val="003E11E2"/>
    <w:rsid w:val="003E3D8F"/>
    <w:rsid w:val="003E4D2C"/>
    <w:rsid w:val="003E7112"/>
    <w:rsid w:val="003E7541"/>
    <w:rsid w:val="003F1AE2"/>
    <w:rsid w:val="003F2A9D"/>
    <w:rsid w:val="003F2F08"/>
    <w:rsid w:val="003F39CD"/>
    <w:rsid w:val="003F4545"/>
    <w:rsid w:val="003F625E"/>
    <w:rsid w:val="00400AC7"/>
    <w:rsid w:val="0040350F"/>
    <w:rsid w:val="00403640"/>
    <w:rsid w:val="0040496D"/>
    <w:rsid w:val="004058C1"/>
    <w:rsid w:val="004070C1"/>
    <w:rsid w:val="0041037E"/>
    <w:rsid w:val="004103D6"/>
    <w:rsid w:val="004110CC"/>
    <w:rsid w:val="00415CD7"/>
    <w:rsid w:val="00415F7E"/>
    <w:rsid w:val="00420E8B"/>
    <w:rsid w:val="00421B14"/>
    <w:rsid w:val="00424836"/>
    <w:rsid w:val="00424F95"/>
    <w:rsid w:val="00427AF6"/>
    <w:rsid w:val="00431F3E"/>
    <w:rsid w:val="00432EB2"/>
    <w:rsid w:val="00435209"/>
    <w:rsid w:val="004361A5"/>
    <w:rsid w:val="00440824"/>
    <w:rsid w:val="00441388"/>
    <w:rsid w:val="00445007"/>
    <w:rsid w:val="004467E5"/>
    <w:rsid w:val="0045703A"/>
    <w:rsid w:val="004575EA"/>
    <w:rsid w:val="00457FE3"/>
    <w:rsid w:val="00460A33"/>
    <w:rsid w:val="00461461"/>
    <w:rsid w:val="00463AD9"/>
    <w:rsid w:val="00464CD7"/>
    <w:rsid w:val="004663A0"/>
    <w:rsid w:val="00466725"/>
    <w:rsid w:val="00466DA8"/>
    <w:rsid w:val="00467D41"/>
    <w:rsid w:val="00471507"/>
    <w:rsid w:val="00471FBA"/>
    <w:rsid w:val="00474D49"/>
    <w:rsid w:val="00475AA9"/>
    <w:rsid w:val="0048022A"/>
    <w:rsid w:val="00481C2E"/>
    <w:rsid w:val="00481E99"/>
    <w:rsid w:val="004844D4"/>
    <w:rsid w:val="00484B81"/>
    <w:rsid w:val="00485C90"/>
    <w:rsid w:val="00486148"/>
    <w:rsid w:val="0049153E"/>
    <w:rsid w:val="00492892"/>
    <w:rsid w:val="00494032"/>
    <w:rsid w:val="00496237"/>
    <w:rsid w:val="004A0F4B"/>
    <w:rsid w:val="004A2001"/>
    <w:rsid w:val="004A2042"/>
    <w:rsid w:val="004A31A9"/>
    <w:rsid w:val="004A40FF"/>
    <w:rsid w:val="004A6F81"/>
    <w:rsid w:val="004B07F0"/>
    <w:rsid w:val="004B0A36"/>
    <w:rsid w:val="004B0B72"/>
    <w:rsid w:val="004B2BFF"/>
    <w:rsid w:val="004B357D"/>
    <w:rsid w:val="004C1F18"/>
    <w:rsid w:val="004C2891"/>
    <w:rsid w:val="004C5BFA"/>
    <w:rsid w:val="004C651B"/>
    <w:rsid w:val="004C705F"/>
    <w:rsid w:val="004D0C80"/>
    <w:rsid w:val="004D1AF2"/>
    <w:rsid w:val="004D207C"/>
    <w:rsid w:val="004D4A6D"/>
    <w:rsid w:val="004E0EC4"/>
    <w:rsid w:val="004E2274"/>
    <w:rsid w:val="004F4140"/>
    <w:rsid w:val="004F5487"/>
    <w:rsid w:val="004F5C35"/>
    <w:rsid w:val="004F7821"/>
    <w:rsid w:val="0050046C"/>
    <w:rsid w:val="00503129"/>
    <w:rsid w:val="005031CF"/>
    <w:rsid w:val="00505C9B"/>
    <w:rsid w:val="00505CE1"/>
    <w:rsid w:val="005067AC"/>
    <w:rsid w:val="00506CA1"/>
    <w:rsid w:val="00507D65"/>
    <w:rsid w:val="0051165F"/>
    <w:rsid w:val="00513948"/>
    <w:rsid w:val="005146F1"/>
    <w:rsid w:val="00514749"/>
    <w:rsid w:val="00520190"/>
    <w:rsid w:val="00520772"/>
    <w:rsid w:val="00521A98"/>
    <w:rsid w:val="005241CE"/>
    <w:rsid w:val="005254D2"/>
    <w:rsid w:val="00526475"/>
    <w:rsid w:val="005279EA"/>
    <w:rsid w:val="0053626E"/>
    <w:rsid w:val="00541DDF"/>
    <w:rsid w:val="00542372"/>
    <w:rsid w:val="0054425D"/>
    <w:rsid w:val="005447CE"/>
    <w:rsid w:val="00546ABB"/>
    <w:rsid w:val="00550967"/>
    <w:rsid w:val="00551463"/>
    <w:rsid w:val="005540EA"/>
    <w:rsid w:val="00560E41"/>
    <w:rsid w:val="00564666"/>
    <w:rsid w:val="005646EF"/>
    <w:rsid w:val="00570388"/>
    <w:rsid w:val="0057444F"/>
    <w:rsid w:val="00575E77"/>
    <w:rsid w:val="00577F4A"/>
    <w:rsid w:val="005806A3"/>
    <w:rsid w:val="00582969"/>
    <w:rsid w:val="00582E6E"/>
    <w:rsid w:val="00591668"/>
    <w:rsid w:val="00591CD2"/>
    <w:rsid w:val="005951AF"/>
    <w:rsid w:val="005976A4"/>
    <w:rsid w:val="005A0A4A"/>
    <w:rsid w:val="005A15B9"/>
    <w:rsid w:val="005A262C"/>
    <w:rsid w:val="005A5799"/>
    <w:rsid w:val="005A7A12"/>
    <w:rsid w:val="005B3EB3"/>
    <w:rsid w:val="005B5264"/>
    <w:rsid w:val="005B755E"/>
    <w:rsid w:val="005C2DB7"/>
    <w:rsid w:val="005C3999"/>
    <w:rsid w:val="005C42AA"/>
    <w:rsid w:val="005C4AD0"/>
    <w:rsid w:val="005C513E"/>
    <w:rsid w:val="005C75E9"/>
    <w:rsid w:val="005C77AE"/>
    <w:rsid w:val="005D0158"/>
    <w:rsid w:val="005D6CD1"/>
    <w:rsid w:val="005E1A6A"/>
    <w:rsid w:val="005E5A44"/>
    <w:rsid w:val="005E5B2D"/>
    <w:rsid w:val="005E5C0D"/>
    <w:rsid w:val="005F0928"/>
    <w:rsid w:val="005F0B61"/>
    <w:rsid w:val="005F2AC2"/>
    <w:rsid w:val="005F2E92"/>
    <w:rsid w:val="005F36AA"/>
    <w:rsid w:val="005F4F70"/>
    <w:rsid w:val="005F50A6"/>
    <w:rsid w:val="00600976"/>
    <w:rsid w:val="00602876"/>
    <w:rsid w:val="006106BC"/>
    <w:rsid w:val="00611EAA"/>
    <w:rsid w:val="00612630"/>
    <w:rsid w:val="006138AD"/>
    <w:rsid w:val="00613CA3"/>
    <w:rsid w:val="0061420E"/>
    <w:rsid w:val="00614868"/>
    <w:rsid w:val="00614AC4"/>
    <w:rsid w:val="00616894"/>
    <w:rsid w:val="006210D6"/>
    <w:rsid w:val="006231B3"/>
    <w:rsid w:val="006241D1"/>
    <w:rsid w:val="006260A8"/>
    <w:rsid w:val="006262D7"/>
    <w:rsid w:val="00626E09"/>
    <w:rsid w:val="006311F7"/>
    <w:rsid w:val="00634CF0"/>
    <w:rsid w:val="00635012"/>
    <w:rsid w:val="00636464"/>
    <w:rsid w:val="00637BED"/>
    <w:rsid w:val="00640553"/>
    <w:rsid w:val="0064057B"/>
    <w:rsid w:val="00641B53"/>
    <w:rsid w:val="00642B8E"/>
    <w:rsid w:val="006466EF"/>
    <w:rsid w:val="00647160"/>
    <w:rsid w:val="006511C2"/>
    <w:rsid w:val="00651494"/>
    <w:rsid w:val="00651E40"/>
    <w:rsid w:val="0065439E"/>
    <w:rsid w:val="00654BE3"/>
    <w:rsid w:val="00654FFE"/>
    <w:rsid w:val="00655728"/>
    <w:rsid w:val="006566DF"/>
    <w:rsid w:val="006572A5"/>
    <w:rsid w:val="00660A90"/>
    <w:rsid w:val="00660E0D"/>
    <w:rsid w:val="00661D84"/>
    <w:rsid w:val="00664CCC"/>
    <w:rsid w:val="0067099D"/>
    <w:rsid w:val="0067130B"/>
    <w:rsid w:val="00671AC4"/>
    <w:rsid w:val="00671E7F"/>
    <w:rsid w:val="006734A3"/>
    <w:rsid w:val="006805B6"/>
    <w:rsid w:val="00681750"/>
    <w:rsid w:val="00681993"/>
    <w:rsid w:val="00683791"/>
    <w:rsid w:val="00683905"/>
    <w:rsid w:val="00692049"/>
    <w:rsid w:val="0069220C"/>
    <w:rsid w:val="0069225E"/>
    <w:rsid w:val="00692531"/>
    <w:rsid w:val="00693BA1"/>
    <w:rsid w:val="006955B9"/>
    <w:rsid w:val="006957A1"/>
    <w:rsid w:val="00697C10"/>
    <w:rsid w:val="006A5195"/>
    <w:rsid w:val="006A60B2"/>
    <w:rsid w:val="006B1541"/>
    <w:rsid w:val="006B1748"/>
    <w:rsid w:val="006B2619"/>
    <w:rsid w:val="006B58B7"/>
    <w:rsid w:val="006B5E09"/>
    <w:rsid w:val="006B66F5"/>
    <w:rsid w:val="006C0B01"/>
    <w:rsid w:val="006C2492"/>
    <w:rsid w:val="006C2D08"/>
    <w:rsid w:val="006D0E52"/>
    <w:rsid w:val="006D4BC8"/>
    <w:rsid w:val="006D6EFB"/>
    <w:rsid w:val="006E2955"/>
    <w:rsid w:val="006E2F84"/>
    <w:rsid w:val="006E4726"/>
    <w:rsid w:val="006E6411"/>
    <w:rsid w:val="006F3BC2"/>
    <w:rsid w:val="006F4053"/>
    <w:rsid w:val="0070098D"/>
    <w:rsid w:val="00702A7E"/>
    <w:rsid w:val="0070464A"/>
    <w:rsid w:val="00706899"/>
    <w:rsid w:val="007071E9"/>
    <w:rsid w:val="00710A74"/>
    <w:rsid w:val="00713DAC"/>
    <w:rsid w:val="007170B7"/>
    <w:rsid w:val="00721252"/>
    <w:rsid w:val="00721B89"/>
    <w:rsid w:val="00722547"/>
    <w:rsid w:val="00723A00"/>
    <w:rsid w:val="00723E26"/>
    <w:rsid w:val="007264B1"/>
    <w:rsid w:val="00726D54"/>
    <w:rsid w:val="00732606"/>
    <w:rsid w:val="00734480"/>
    <w:rsid w:val="00735316"/>
    <w:rsid w:val="00737438"/>
    <w:rsid w:val="007420D2"/>
    <w:rsid w:val="00743B36"/>
    <w:rsid w:val="00743E64"/>
    <w:rsid w:val="00744EF9"/>
    <w:rsid w:val="00745BAF"/>
    <w:rsid w:val="00746079"/>
    <w:rsid w:val="007544AE"/>
    <w:rsid w:val="00755BFD"/>
    <w:rsid w:val="00756108"/>
    <w:rsid w:val="007570B3"/>
    <w:rsid w:val="00761293"/>
    <w:rsid w:val="0076148D"/>
    <w:rsid w:val="00761A64"/>
    <w:rsid w:val="007677B6"/>
    <w:rsid w:val="00770882"/>
    <w:rsid w:val="007724AF"/>
    <w:rsid w:val="00777168"/>
    <w:rsid w:val="00777418"/>
    <w:rsid w:val="007818A4"/>
    <w:rsid w:val="007844CA"/>
    <w:rsid w:val="007848CB"/>
    <w:rsid w:val="0078750C"/>
    <w:rsid w:val="00787696"/>
    <w:rsid w:val="007947C3"/>
    <w:rsid w:val="007973D2"/>
    <w:rsid w:val="007A1EA6"/>
    <w:rsid w:val="007A2562"/>
    <w:rsid w:val="007A3F01"/>
    <w:rsid w:val="007A5BD3"/>
    <w:rsid w:val="007B120B"/>
    <w:rsid w:val="007B5F47"/>
    <w:rsid w:val="007B7BC8"/>
    <w:rsid w:val="007B7EC7"/>
    <w:rsid w:val="007C07B1"/>
    <w:rsid w:val="007C1CA1"/>
    <w:rsid w:val="007C24E4"/>
    <w:rsid w:val="007C2D53"/>
    <w:rsid w:val="007C3534"/>
    <w:rsid w:val="007C4096"/>
    <w:rsid w:val="007C4DBE"/>
    <w:rsid w:val="007D2035"/>
    <w:rsid w:val="007D2817"/>
    <w:rsid w:val="007D2945"/>
    <w:rsid w:val="007D3043"/>
    <w:rsid w:val="007D3700"/>
    <w:rsid w:val="007D3C7C"/>
    <w:rsid w:val="007D42E4"/>
    <w:rsid w:val="007D4FA9"/>
    <w:rsid w:val="007D6152"/>
    <w:rsid w:val="007D6FAF"/>
    <w:rsid w:val="007E0548"/>
    <w:rsid w:val="007E19B0"/>
    <w:rsid w:val="007E246E"/>
    <w:rsid w:val="007E3ADC"/>
    <w:rsid w:val="007E4E66"/>
    <w:rsid w:val="007E4EDF"/>
    <w:rsid w:val="007E512A"/>
    <w:rsid w:val="007E5F97"/>
    <w:rsid w:val="007E69D9"/>
    <w:rsid w:val="007E7298"/>
    <w:rsid w:val="007E7B13"/>
    <w:rsid w:val="007F05FB"/>
    <w:rsid w:val="007F20CC"/>
    <w:rsid w:val="007F24E4"/>
    <w:rsid w:val="007F5661"/>
    <w:rsid w:val="007F5989"/>
    <w:rsid w:val="007F6840"/>
    <w:rsid w:val="007F7083"/>
    <w:rsid w:val="007F75CF"/>
    <w:rsid w:val="008002ED"/>
    <w:rsid w:val="00801FC3"/>
    <w:rsid w:val="0080419A"/>
    <w:rsid w:val="00812023"/>
    <w:rsid w:val="0081202C"/>
    <w:rsid w:val="008142AB"/>
    <w:rsid w:val="00814311"/>
    <w:rsid w:val="0081494D"/>
    <w:rsid w:val="00816232"/>
    <w:rsid w:val="00822B86"/>
    <w:rsid w:val="00822F29"/>
    <w:rsid w:val="00826B78"/>
    <w:rsid w:val="00827C74"/>
    <w:rsid w:val="008321FF"/>
    <w:rsid w:val="00834C23"/>
    <w:rsid w:val="008352D2"/>
    <w:rsid w:val="00835313"/>
    <w:rsid w:val="00836A7B"/>
    <w:rsid w:val="00841310"/>
    <w:rsid w:val="00841B7F"/>
    <w:rsid w:val="0084279D"/>
    <w:rsid w:val="008435CD"/>
    <w:rsid w:val="00844BC4"/>
    <w:rsid w:val="008459B0"/>
    <w:rsid w:val="00846F36"/>
    <w:rsid w:val="008502FE"/>
    <w:rsid w:val="008517B7"/>
    <w:rsid w:val="00852D67"/>
    <w:rsid w:val="00853B17"/>
    <w:rsid w:val="00853B23"/>
    <w:rsid w:val="00854EBE"/>
    <w:rsid w:val="00854FCD"/>
    <w:rsid w:val="0085647E"/>
    <w:rsid w:val="00861AC9"/>
    <w:rsid w:val="00861CAC"/>
    <w:rsid w:val="00862CF4"/>
    <w:rsid w:val="008650E3"/>
    <w:rsid w:val="00865B12"/>
    <w:rsid w:val="0086781F"/>
    <w:rsid w:val="00874851"/>
    <w:rsid w:val="00876E80"/>
    <w:rsid w:val="0087775E"/>
    <w:rsid w:val="00882208"/>
    <w:rsid w:val="00882680"/>
    <w:rsid w:val="008857A1"/>
    <w:rsid w:val="00887428"/>
    <w:rsid w:val="008935F9"/>
    <w:rsid w:val="00893B68"/>
    <w:rsid w:val="00893E7E"/>
    <w:rsid w:val="008947B3"/>
    <w:rsid w:val="008A0887"/>
    <w:rsid w:val="008A1915"/>
    <w:rsid w:val="008A6CC8"/>
    <w:rsid w:val="008B040A"/>
    <w:rsid w:val="008B25B4"/>
    <w:rsid w:val="008C11FF"/>
    <w:rsid w:val="008C58F9"/>
    <w:rsid w:val="008C5BB1"/>
    <w:rsid w:val="008D1B28"/>
    <w:rsid w:val="008D279E"/>
    <w:rsid w:val="008D3BFB"/>
    <w:rsid w:val="008D4248"/>
    <w:rsid w:val="008D45C6"/>
    <w:rsid w:val="008E1383"/>
    <w:rsid w:val="008E2170"/>
    <w:rsid w:val="008E2975"/>
    <w:rsid w:val="008E325E"/>
    <w:rsid w:val="008E5877"/>
    <w:rsid w:val="008F076E"/>
    <w:rsid w:val="008F19D1"/>
    <w:rsid w:val="008F1DF1"/>
    <w:rsid w:val="008F1F7B"/>
    <w:rsid w:val="008F5EF6"/>
    <w:rsid w:val="008F62A5"/>
    <w:rsid w:val="008F6D01"/>
    <w:rsid w:val="008F7777"/>
    <w:rsid w:val="008F7915"/>
    <w:rsid w:val="008F7CAC"/>
    <w:rsid w:val="008F7EE9"/>
    <w:rsid w:val="00900745"/>
    <w:rsid w:val="009046F4"/>
    <w:rsid w:val="009067A9"/>
    <w:rsid w:val="00913939"/>
    <w:rsid w:val="009163EC"/>
    <w:rsid w:val="00916EF2"/>
    <w:rsid w:val="0091795F"/>
    <w:rsid w:val="00921655"/>
    <w:rsid w:val="00922093"/>
    <w:rsid w:val="009238CD"/>
    <w:rsid w:val="0092691C"/>
    <w:rsid w:val="0092692A"/>
    <w:rsid w:val="00926D79"/>
    <w:rsid w:val="009272F6"/>
    <w:rsid w:val="00927D8D"/>
    <w:rsid w:val="00933457"/>
    <w:rsid w:val="00936054"/>
    <w:rsid w:val="0093616C"/>
    <w:rsid w:val="0093740C"/>
    <w:rsid w:val="00941134"/>
    <w:rsid w:val="00941C85"/>
    <w:rsid w:val="00942709"/>
    <w:rsid w:val="009465FF"/>
    <w:rsid w:val="009466B7"/>
    <w:rsid w:val="00950154"/>
    <w:rsid w:val="00950C3F"/>
    <w:rsid w:val="00951878"/>
    <w:rsid w:val="00952084"/>
    <w:rsid w:val="00955C80"/>
    <w:rsid w:val="00957132"/>
    <w:rsid w:val="00957E60"/>
    <w:rsid w:val="00962955"/>
    <w:rsid w:val="00964976"/>
    <w:rsid w:val="009717BC"/>
    <w:rsid w:val="009726AB"/>
    <w:rsid w:val="00973622"/>
    <w:rsid w:val="009743A2"/>
    <w:rsid w:val="00976C60"/>
    <w:rsid w:val="00977525"/>
    <w:rsid w:val="009817D9"/>
    <w:rsid w:val="00991516"/>
    <w:rsid w:val="00991AF7"/>
    <w:rsid w:val="00993158"/>
    <w:rsid w:val="00996B7F"/>
    <w:rsid w:val="0099772B"/>
    <w:rsid w:val="00997B26"/>
    <w:rsid w:val="009A18F1"/>
    <w:rsid w:val="009A198D"/>
    <w:rsid w:val="009A23D8"/>
    <w:rsid w:val="009A2420"/>
    <w:rsid w:val="009A4A82"/>
    <w:rsid w:val="009A5650"/>
    <w:rsid w:val="009B0419"/>
    <w:rsid w:val="009B32CA"/>
    <w:rsid w:val="009B3D84"/>
    <w:rsid w:val="009B4285"/>
    <w:rsid w:val="009B6A15"/>
    <w:rsid w:val="009B72A5"/>
    <w:rsid w:val="009C0324"/>
    <w:rsid w:val="009C0DED"/>
    <w:rsid w:val="009C11FE"/>
    <w:rsid w:val="009C2381"/>
    <w:rsid w:val="009C3693"/>
    <w:rsid w:val="009C5056"/>
    <w:rsid w:val="009C58E1"/>
    <w:rsid w:val="009C76AD"/>
    <w:rsid w:val="009D079E"/>
    <w:rsid w:val="009D1896"/>
    <w:rsid w:val="009D1E71"/>
    <w:rsid w:val="009D4CF1"/>
    <w:rsid w:val="009D53C6"/>
    <w:rsid w:val="009D7DA4"/>
    <w:rsid w:val="009E26A5"/>
    <w:rsid w:val="009E3743"/>
    <w:rsid w:val="009E505E"/>
    <w:rsid w:val="009E703A"/>
    <w:rsid w:val="009F161E"/>
    <w:rsid w:val="009F26D7"/>
    <w:rsid w:val="009F2E1A"/>
    <w:rsid w:val="009F328F"/>
    <w:rsid w:val="009F3A9A"/>
    <w:rsid w:val="009F4035"/>
    <w:rsid w:val="009F4F52"/>
    <w:rsid w:val="009F5F05"/>
    <w:rsid w:val="009F6BFA"/>
    <w:rsid w:val="00A02359"/>
    <w:rsid w:val="00A03854"/>
    <w:rsid w:val="00A03C17"/>
    <w:rsid w:val="00A04778"/>
    <w:rsid w:val="00A1123D"/>
    <w:rsid w:val="00A13BBB"/>
    <w:rsid w:val="00A1451E"/>
    <w:rsid w:val="00A16997"/>
    <w:rsid w:val="00A169A2"/>
    <w:rsid w:val="00A17F51"/>
    <w:rsid w:val="00A201E0"/>
    <w:rsid w:val="00A23D1C"/>
    <w:rsid w:val="00A245E3"/>
    <w:rsid w:val="00A24676"/>
    <w:rsid w:val="00A30C4C"/>
    <w:rsid w:val="00A34107"/>
    <w:rsid w:val="00A350B0"/>
    <w:rsid w:val="00A36AF1"/>
    <w:rsid w:val="00A40C76"/>
    <w:rsid w:val="00A40E5F"/>
    <w:rsid w:val="00A45D25"/>
    <w:rsid w:val="00A53609"/>
    <w:rsid w:val="00A5366C"/>
    <w:rsid w:val="00A536E0"/>
    <w:rsid w:val="00A54E16"/>
    <w:rsid w:val="00A600EE"/>
    <w:rsid w:val="00A6542D"/>
    <w:rsid w:val="00A6617B"/>
    <w:rsid w:val="00A66388"/>
    <w:rsid w:val="00A665A6"/>
    <w:rsid w:val="00A700B4"/>
    <w:rsid w:val="00A71DD8"/>
    <w:rsid w:val="00A73E10"/>
    <w:rsid w:val="00A74401"/>
    <w:rsid w:val="00A7583A"/>
    <w:rsid w:val="00A76B41"/>
    <w:rsid w:val="00A7775E"/>
    <w:rsid w:val="00A80524"/>
    <w:rsid w:val="00A8174B"/>
    <w:rsid w:val="00A84541"/>
    <w:rsid w:val="00A84A33"/>
    <w:rsid w:val="00A869F8"/>
    <w:rsid w:val="00A87874"/>
    <w:rsid w:val="00A911C3"/>
    <w:rsid w:val="00A93C87"/>
    <w:rsid w:val="00A965EB"/>
    <w:rsid w:val="00AA0DBA"/>
    <w:rsid w:val="00AA1445"/>
    <w:rsid w:val="00AA4A0E"/>
    <w:rsid w:val="00AA4A83"/>
    <w:rsid w:val="00AA5A7F"/>
    <w:rsid w:val="00AA5E2D"/>
    <w:rsid w:val="00AA6D74"/>
    <w:rsid w:val="00AA707E"/>
    <w:rsid w:val="00AA7AAA"/>
    <w:rsid w:val="00AB0DFE"/>
    <w:rsid w:val="00AB27BB"/>
    <w:rsid w:val="00AB4569"/>
    <w:rsid w:val="00AB6D14"/>
    <w:rsid w:val="00AB7242"/>
    <w:rsid w:val="00AC33EB"/>
    <w:rsid w:val="00AC47CE"/>
    <w:rsid w:val="00AC5DEA"/>
    <w:rsid w:val="00AC653C"/>
    <w:rsid w:val="00AC7618"/>
    <w:rsid w:val="00AD0C71"/>
    <w:rsid w:val="00AD212A"/>
    <w:rsid w:val="00AD5209"/>
    <w:rsid w:val="00AD6C48"/>
    <w:rsid w:val="00AE0147"/>
    <w:rsid w:val="00AE6EFE"/>
    <w:rsid w:val="00AF3771"/>
    <w:rsid w:val="00AF4A9A"/>
    <w:rsid w:val="00AF5B9C"/>
    <w:rsid w:val="00AF6C32"/>
    <w:rsid w:val="00AF79E2"/>
    <w:rsid w:val="00B03721"/>
    <w:rsid w:val="00B0518E"/>
    <w:rsid w:val="00B05C49"/>
    <w:rsid w:val="00B0667A"/>
    <w:rsid w:val="00B11F43"/>
    <w:rsid w:val="00B12822"/>
    <w:rsid w:val="00B154E6"/>
    <w:rsid w:val="00B1653B"/>
    <w:rsid w:val="00B209FB"/>
    <w:rsid w:val="00B20DFF"/>
    <w:rsid w:val="00B252F6"/>
    <w:rsid w:val="00B2569D"/>
    <w:rsid w:val="00B25839"/>
    <w:rsid w:val="00B2783E"/>
    <w:rsid w:val="00B27C7F"/>
    <w:rsid w:val="00B30B47"/>
    <w:rsid w:val="00B31A82"/>
    <w:rsid w:val="00B329A8"/>
    <w:rsid w:val="00B3314C"/>
    <w:rsid w:val="00B33A66"/>
    <w:rsid w:val="00B34156"/>
    <w:rsid w:val="00B36A6F"/>
    <w:rsid w:val="00B42049"/>
    <w:rsid w:val="00B50470"/>
    <w:rsid w:val="00B53A68"/>
    <w:rsid w:val="00B54A6F"/>
    <w:rsid w:val="00B552A2"/>
    <w:rsid w:val="00B55675"/>
    <w:rsid w:val="00B55B9E"/>
    <w:rsid w:val="00B577D0"/>
    <w:rsid w:val="00B61F0D"/>
    <w:rsid w:val="00B6250E"/>
    <w:rsid w:val="00B62C0A"/>
    <w:rsid w:val="00B64550"/>
    <w:rsid w:val="00B65874"/>
    <w:rsid w:val="00B666B8"/>
    <w:rsid w:val="00B67826"/>
    <w:rsid w:val="00B70BA0"/>
    <w:rsid w:val="00B713BF"/>
    <w:rsid w:val="00B73063"/>
    <w:rsid w:val="00B75F60"/>
    <w:rsid w:val="00B8067F"/>
    <w:rsid w:val="00B80A24"/>
    <w:rsid w:val="00B82B9C"/>
    <w:rsid w:val="00B861FC"/>
    <w:rsid w:val="00B86E7D"/>
    <w:rsid w:val="00B8766A"/>
    <w:rsid w:val="00B87C32"/>
    <w:rsid w:val="00B90C2B"/>
    <w:rsid w:val="00BA04AF"/>
    <w:rsid w:val="00BA212F"/>
    <w:rsid w:val="00BA49B4"/>
    <w:rsid w:val="00BA5A39"/>
    <w:rsid w:val="00BA6A5F"/>
    <w:rsid w:val="00BA6B09"/>
    <w:rsid w:val="00BA7CC5"/>
    <w:rsid w:val="00BB419D"/>
    <w:rsid w:val="00BB4E41"/>
    <w:rsid w:val="00BB59E6"/>
    <w:rsid w:val="00BB6122"/>
    <w:rsid w:val="00BC039E"/>
    <w:rsid w:val="00BC28AF"/>
    <w:rsid w:val="00BC3307"/>
    <w:rsid w:val="00BC52C3"/>
    <w:rsid w:val="00BC6A36"/>
    <w:rsid w:val="00BC6A7D"/>
    <w:rsid w:val="00BC795B"/>
    <w:rsid w:val="00BD0625"/>
    <w:rsid w:val="00BD26DB"/>
    <w:rsid w:val="00BD2F42"/>
    <w:rsid w:val="00BD554A"/>
    <w:rsid w:val="00BD6D45"/>
    <w:rsid w:val="00BE6A99"/>
    <w:rsid w:val="00BE79D8"/>
    <w:rsid w:val="00BF05AE"/>
    <w:rsid w:val="00BF0E07"/>
    <w:rsid w:val="00BF3F9B"/>
    <w:rsid w:val="00BF5155"/>
    <w:rsid w:val="00BF5C0D"/>
    <w:rsid w:val="00C03B3E"/>
    <w:rsid w:val="00C065C9"/>
    <w:rsid w:val="00C10EF6"/>
    <w:rsid w:val="00C11081"/>
    <w:rsid w:val="00C11750"/>
    <w:rsid w:val="00C120AA"/>
    <w:rsid w:val="00C12390"/>
    <w:rsid w:val="00C12CDB"/>
    <w:rsid w:val="00C1461A"/>
    <w:rsid w:val="00C26022"/>
    <w:rsid w:val="00C30066"/>
    <w:rsid w:val="00C306FE"/>
    <w:rsid w:val="00C333C6"/>
    <w:rsid w:val="00C35E9B"/>
    <w:rsid w:val="00C3721C"/>
    <w:rsid w:val="00C37462"/>
    <w:rsid w:val="00C37870"/>
    <w:rsid w:val="00C41800"/>
    <w:rsid w:val="00C41F0A"/>
    <w:rsid w:val="00C429DB"/>
    <w:rsid w:val="00C45CEC"/>
    <w:rsid w:val="00C46AA6"/>
    <w:rsid w:val="00C46ADC"/>
    <w:rsid w:val="00C46DF0"/>
    <w:rsid w:val="00C52149"/>
    <w:rsid w:val="00C529DF"/>
    <w:rsid w:val="00C63B77"/>
    <w:rsid w:val="00C646B0"/>
    <w:rsid w:val="00C71909"/>
    <w:rsid w:val="00C71DF6"/>
    <w:rsid w:val="00C722C9"/>
    <w:rsid w:val="00C73DC1"/>
    <w:rsid w:val="00C751FD"/>
    <w:rsid w:val="00C76CB8"/>
    <w:rsid w:val="00C80048"/>
    <w:rsid w:val="00C80A72"/>
    <w:rsid w:val="00C81BE6"/>
    <w:rsid w:val="00C86199"/>
    <w:rsid w:val="00C90462"/>
    <w:rsid w:val="00C912FD"/>
    <w:rsid w:val="00C9488F"/>
    <w:rsid w:val="00C94ADB"/>
    <w:rsid w:val="00C96583"/>
    <w:rsid w:val="00C976FB"/>
    <w:rsid w:val="00C97ABD"/>
    <w:rsid w:val="00C97AD5"/>
    <w:rsid w:val="00C97DE4"/>
    <w:rsid w:val="00CA00DD"/>
    <w:rsid w:val="00CA0B71"/>
    <w:rsid w:val="00CA264E"/>
    <w:rsid w:val="00CA3859"/>
    <w:rsid w:val="00CA473D"/>
    <w:rsid w:val="00CB3D76"/>
    <w:rsid w:val="00CB6F93"/>
    <w:rsid w:val="00CB705B"/>
    <w:rsid w:val="00CC2F7C"/>
    <w:rsid w:val="00CC64DB"/>
    <w:rsid w:val="00CC6B12"/>
    <w:rsid w:val="00CD1D66"/>
    <w:rsid w:val="00CD3F65"/>
    <w:rsid w:val="00CD5002"/>
    <w:rsid w:val="00CD61FE"/>
    <w:rsid w:val="00CD7670"/>
    <w:rsid w:val="00CE1CB3"/>
    <w:rsid w:val="00CE60AE"/>
    <w:rsid w:val="00CE773D"/>
    <w:rsid w:val="00CE7F77"/>
    <w:rsid w:val="00CF24F0"/>
    <w:rsid w:val="00CF29BC"/>
    <w:rsid w:val="00CF3F43"/>
    <w:rsid w:val="00CF4347"/>
    <w:rsid w:val="00CF596E"/>
    <w:rsid w:val="00D012FB"/>
    <w:rsid w:val="00D049B0"/>
    <w:rsid w:val="00D04C1F"/>
    <w:rsid w:val="00D0538B"/>
    <w:rsid w:val="00D10BA4"/>
    <w:rsid w:val="00D11BEE"/>
    <w:rsid w:val="00D12CD1"/>
    <w:rsid w:val="00D1389A"/>
    <w:rsid w:val="00D13B4D"/>
    <w:rsid w:val="00D13CBC"/>
    <w:rsid w:val="00D23A63"/>
    <w:rsid w:val="00D24A85"/>
    <w:rsid w:val="00D27D0E"/>
    <w:rsid w:val="00D30392"/>
    <w:rsid w:val="00D3302E"/>
    <w:rsid w:val="00D3319A"/>
    <w:rsid w:val="00D346F9"/>
    <w:rsid w:val="00D4190D"/>
    <w:rsid w:val="00D447BB"/>
    <w:rsid w:val="00D454B2"/>
    <w:rsid w:val="00D45B74"/>
    <w:rsid w:val="00D474B4"/>
    <w:rsid w:val="00D51478"/>
    <w:rsid w:val="00D51AA1"/>
    <w:rsid w:val="00D528A2"/>
    <w:rsid w:val="00D53FAB"/>
    <w:rsid w:val="00D55E19"/>
    <w:rsid w:val="00D565B2"/>
    <w:rsid w:val="00D57DDB"/>
    <w:rsid w:val="00D61282"/>
    <w:rsid w:val="00D61D99"/>
    <w:rsid w:val="00D62753"/>
    <w:rsid w:val="00D6298E"/>
    <w:rsid w:val="00D64244"/>
    <w:rsid w:val="00D65097"/>
    <w:rsid w:val="00D65E73"/>
    <w:rsid w:val="00D71A71"/>
    <w:rsid w:val="00D7692E"/>
    <w:rsid w:val="00D80F1E"/>
    <w:rsid w:val="00D81945"/>
    <w:rsid w:val="00D82FF0"/>
    <w:rsid w:val="00D830A7"/>
    <w:rsid w:val="00D849DC"/>
    <w:rsid w:val="00D86049"/>
    <w:rsid w:val="00D91150"/>
    <w:rsid w:val="00D918FB"/>
    <w:rsid w:val="00D91A79"/>
    <w:rsid w:val="00D92B00"/>
    <w:rsid w:val="00D95686"/>
    <w:rsid w:val="00D95C2C"/>
    <w:rsid w:val="00DA0154"/>
    <w:rsid w:val="00DA0FD7"/>
    <w:rsid w:val="00DA2809"/>
    <w:rsid w:val="00DA6F7B"/>
    <w:rsid w:val="00DB11C0"/>
    <w:rsid w:val="00DB1AB2"/>
    <w:rsid w:val="00DB4123"/>
    <w:rsid w:val="00DB4B7A"/>
    <w:rsid w:val="00DB598E"/>
    <w:rsid w:val="00DB6B20"/>
    <w:rsid w:val="00DC1AEF"/>
    <w:rsid w:val="00DC4A35"/>
    <w:rsid w:val="00DC4BEB"/>
    <w:rsid w:val="00DC6968"/>
    <w:rsid w:val="00DC7C50"/>
    <w:rsid w:val="00DD1690"/>
    <w:rsid w:val="00DD3BB0"/>
    <w:rsid w:val="00DD4AB6"/>
    <w:rsid w:val="00DE5D13"/>
    <w:rsid w:val="00DE6C76"/>
    <w:rsid w:val="00DF3403"/>
    <w:rsid w:val="00DF7F54"/>
    <w:rsid w:val="00E01130"/>
    <w:rsid w:val="00E03302"/>
    <w:rsid w:val="00E0649A"/>
    <w:rsid w:val="00E074D7"/>
    <w:rsid w:val="00E115AC"/>
    <w:rsid w:val="00E126C7"/>
    <w:rsid w:val="00E135C4"/>
    <w:rsid w:val="00E13D27"/>
    <w:rsid w:val="00E146DF"/>
    <w:rsid w:val="00E16281"/>
    <w:rsid w:val="00E2145B"/>
    <w:rsid w:val="00E21F57"/>
    <w:rsid w:val="00E31690"/>
    <w:rsid w:val="00E32782"/>
    <w:rsid w:val="00E340EC"/>
    <w:rsid w:val="00E3594C"/>
    <w:rsid w:val="00E378E6"/>
    <w:rsid w:val="00E44DBF"/>
    <w:rsid w:val="00E453A4"/>
    <w:rsid w:val="00E47550"/>
    <w:rsid w:val="00E50F56"/>
    <w:rsid w:val="00E52511"/>
    <w:rsid w:val="00E53678"/>
    <w:rsid w:val="00E53D6F"/>
    <w:rsid w:val="00E54990"/>
    <w:rsid w:val="00E565C2"/>
    <w:rsid w:val="00E57C92"/>
    <w:rsid w:val="00E60161"/>
    <w:rsid w:val="00E61D21"/>
    <w:rsid w:val="00E6749C"/>
    <w:rsid w:val="00E67544"/>
    <w:rsid w:val="00E70A30"/>
    <w:rsid w:val="00E711F7"/>
    <w:rsid w:val="00E73489"/>
    <w:rsid w:val="00E75167"/>
    <w:rsid w:val="00E83182"/>
    <w:rsid w:val="00E8464C"/>
    <w:rsid w:val="00E85351"/>
    <w:rsid w:val="00E86886"/>
    <w:rsid w:val="00E94B93"/>
    <w:rsid w:val="00E97899"/>
    <w:rsid w:val="00EA3E48"/>
    <w:rsid w:val="00EA6AE6"/>
    <w:rsid w:val="00EA6CD0"/>
    <w:rsid w:val="00EB5A0A"/>
    <w:rsid w:val="00EC02E8"/>
    <w:rsid w:val="00EC165E"/>
    <w:rsid w:val="00EC2D45"/>
    <w:rsid w:val="00EC41E4"/>
    <w:rsid w:val="00EC4930"/>
    <w:rsid w:val="00EC534E"/>
    <w:rsid w:val="00EC7B4F"/>
    <w:rsid w:val="00ED00FE"/>
    <w:rsid w:val="00ED1644"/>
    <w:rsid w:val="00ED1E02"/>
    <w:rsid w:val="00ED4719"/>
    <w:rsid w:val="00ED5323"/>
    <w:rsid w:val="00ED7A68"/>
    <w:rsid w:val="00ED7C52"/>
    <w:rsid w:val="00EE06CB"/>
    <w:rsid w:val="00EE3058"/>
    <w:rsid w:val="00EE3AA4"/>
    <w:rsid w:val="00EE5509"/>
    <w:rsid w:val="00EE65C7"/>
    <w:rsid w:val="00EE6A35"/>
    <w:rsid w:val="00EF0ACC"/>
    <w:rsid w:val="00EF2CB6"/>
    <w:rsid w:val="00EF41D1"/>
    <w:rsid w:val="00EF6021"/>
    <w:rsid w:val="00EF7EB3"/>
    <w:rsid w:val="00F00460"/>
    <w:rsid w:val="00F01D76"/>
    <w:rsid w:val="00F035FA"/>
    <w:rsid w:val="00F05720"/>
    <w:rsid w:val="00F129C6"/>
    <w:rsid w:val="00F135C3"/>
    <w:rsid w:val="00F13A80"/>
    <w:rsid w:val="00F1477A"/>
    <w:rsid w:val="00F14F5A"/>
    <w:rsid w:val="00F16C5E"/>
    <w:rsid w:val="00F20263"/>
    <w:rsid w:val="00F21642"/>
    <w:rsid w:val="00F22483"/>
    <w:rsid w:val="00F22C56"/>
    <w:rsid w:val="00F22CF0"/>
    <w:rsid w:val="00F235DF"/>
    <w:rsid w:val="00F23DA3"/>
    <w:rsid w:val="00F242F2"/>
    <w:rsid w:val="00F27B9A"/>
    <w:rsid w:val="00F31167"/>
    <w:rsid w:val="00F32B07"/>
    <w:rsid w:val="00F34D06"/>
    <w:rsid w:val="00F351DD"/>
    <w:rsid w:val="00F3771E"/>
    <w:rsid w:val="00F40D8E"/>
    <w:rsid w:val="00F42331"/>
    <w:rsid w:val="00F42ECC"/>
    <w:rsid w:val="00F438EE"/>
    <w:rsid w:val="00F44905"/>
    <w:rsid w:val="00F46AD1"/>
    <w:rsid w:val="00F5079C"/>
    <w:rsid w:val="00F5125C"/>
    <w:rsid w:val="00F51272"/>
    <w:rsid w:val="00F5152C"/>
    <w:rsid w:val="00F51F7A"/>
    <w:rsid w:val="00F535C4"/>
    <w:rsid w:val="00F55092"/>
    <w:rsid w:val="00F55114"/>
    <w:rsid w:val="00F553FB"/>
    <w:rsid w:val="00F564CC"/>
    <w:rsid w:val="00F60493"/>
    <w:rsid w:val="00F60B95"/>
    <w:rsid w:val="00F626A1"/>
    <w:rsid w:val="00F62FB6"/>
    <w:rsid w:val="00F63F51"/>
    <w:rsid w:val="00F64811"/>
    <w:rsid w:val="00F648F0"/>
    <w:rsid w:val="00F651AF"/>
    <w:rsid w:val="00F70762"/>
    <w:rsid w:val="00F70AD2"/>
    <w:rsid w:val="00F72D0E"/>
    <w:rsid w:val="00F745F9"/>
    <w:rsid w:val="00F74645"/>
    <w:rsid w:val="00F7651A"/>
    <w:rsid w:val="00F85BD5"/>
    <w:rsid w:val="00F86BBE"/>
    <w:rsid w:val="00F90024"/>
    <w:rsid w:val="00F90885"/>
    <w:rsid w:val="00F909E2"/>
    <w:rsid w:val="00F91057"/>
    <w:rsid w:val="00F9163B"/>
    <w:rsid w:val="00F9197C"/>
    <w:rsid w:val="00F926E2"/>
    <w:rsid w:val="00F92D85"/>
    <w:rsid w:val="00F954E9"/>
    <w:rsid w:val="00F96D31"/>
    <w:rsid w:val="00F96ECE"/>
    <w:rsid w:val="00FA02E6"/>
    <w:rsid w:val="00FA05E8"/>
    <w:rsid w:val="00FA076A"/>
    <w:rsid w:val="00FA143B"/>
    <w:rsid w:val="00FA24D7"/>
    <w:rsid w:val="00FA496C"/>
    <w:rsid w:val="00FA5107"/>
    <w:rsid w:val="00FA63F8"/>
    <w:rsid w:val="00FB0D82"/>
    <w:rsid w:val="00FB5458"/>
    <w:rsid w:val="00FC0ADA"/>
    <w:rsid w:val="00FC36ED"/>
    <w:rsid w:val="00FC4C10"/>
    <w:rsid w:val="00FC60D4"/>
    <w:rsid w:val="00FC61CE"/>
    <w:rsid w:val="00FD02EB"/>
    <w:rsid w:val="00FD3303"/>
    <w:rsid w:val="00FD4EB7"/>
    <w:rsid w:val="00FD6939"/>
    <w:rsid w:val="00FD6AC2"/>
    <w:rsid w:val="00FD75BE"/>
    <w:rsid w:val="00FE2B87"/>
    <w:rsid w:val="00FE6254"/>
    <w:rsid w:val="00FE7F74"/>
    <w:rsid w:val="00FF1054"/>
    <w:rsid w:val="00FF18B4"/>
    <w:rsid w:val="00FF27F3"/>
    <w:rsid w:val="00FF55D4"/>
    <w:rsid w:val="410C48A7"/>
    <w:rsid w:val="4C8F8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AEF5"/>
  <w15:chartTrackingRefBased/>
  <w15:docId w15:val="{7B1E0264-716F-47FF-AE35-31053B45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F18"/>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3031F0"/>
    <w:rPr>
      <w:sz w:val="24"/>
      <w:szCs w:val="24"/>
      <w:lang w:eastAsia="zh-CN"/>
    </w:rPr>
  </w:style>
  <w:style w:type="paragraph" w:styleId="ListParagraph">
    <w:name w:val="List Paragraph"/>
    <w:basedOn w:val="Normal"/>
    <w:uiPriority w:val="34"/>
    <w:qFormat/>
    <w:rsid w:val="00602876"/>
    <w:pPr>
      <w:ind w:left="720"/>
      <w:contextualSpacing/>
    </w:pPr>
  </w:style>
  <w:style w:type="character" w:styleId="PlaceholderText">
    <w:name w:val="Placeholder Text"/>
    <w:basedOn w:val="DefaultParagraphFont"/>
    <w:uiPriority w:val="99"/>
    <w:semiHidden/>
    <w:rsid w:val="00124B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BB5F7-5989-4DB8-A5FA-36AB4C73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7ABEF-B28A-46C1-96D5-5D74E7A5D28D}">
  <ds:schemaRefs>
    <ds:schemaRef ds:uri="http://schemas.openxmlformats.org/officeDocument/2006/bibliography"/>
  </ds:schemaRefs>
</ds:datastoreItem>
</file>

<file path=customXml/itemProps3.xml><?xml version="1.0" encoding="utf-8"?>
<ds:datastoreItem xmlns:ds="http://schemas.openxmlformats.org/officeDocument/2006/customXml" ds:itemID="{973D74DA-17D7-4939-85F2-7E00EA6C20ED}">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43B999C6-DF01-4F90-B20D-8E9282046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4558</Words>
  <Characters>26391</Characters>
  <Application>Microsoft Office Word</Application>
  <DocSecurity>0</DocSecurity>
  <Lines>1099</Lines>
  <Paragraphs>377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4</cp:revision>
  <cp:lastPrinted>2011-03-09T21:48:00Z</cp:lastPrinted>
  <dcterms:created xsi:type="dcterms:W3CDTF">2026-06-17T15:31:00Z</dcterms:created>
  <dcterms:modified xsi:type="dcterms:W3CDTF">2026-06-17T15:35:00Z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PublishingExpirationDate">
    <vt:lpwstr/>
  </property>
  <property fmtid="{D5CDD505-2E9C-101B-9397-08002B2CF9AE}" pid="5" name="PublishingStartDate">
    <vt:lpwstr/>
  </property>
  <property fmtid="{D5CDD505-2E9C-101B-9397-08002B2CF9AE}" pid="6" name="MediaServiceImageTags">
    <vt:lpwstr/>
  </property>
  <property fmtid="{D5CDD505-2E9C-101B-9397-08002B2CF9AE}" pid="7" name="ContentTypeId">
    <vt:lpwstr>0x0101003A8160F1F83AD343AA5ADD21600CAC3F</vt:lpwstr>
  </property>
  <property fmtid="{D5CDD505-2E9C-101B-9397-08002B2CF9AE}" pid="8" name="_ExtendedDescription">
    <vt:lpwstr/>
  </property>
</Properties>
</file>