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64" w:rsidRDefault="00B76264" w:rsidP="00B76264">
      <w:pPr>
        <w:pStyle w:val="Heading1"/>
      </w:pPr>
      <w:r w:rsidRPr="00823456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61EF06" wp14:editId="1F1B7FEA">
                <wp:simplePos x="0" y="0"/>
                <wp:positionH relativeFrom="column">
                  <wp:posOffset>-30480</wp:posOffset>
                </wp:positionH>
                <wp:positionV relativeFrom="paragraph">
                  <wp:posOffset>548640</wp:posOffset>
                </wp:positionV>
                <wp:extent cx="6903720" cy="1447800"/>
                <wp:effectExtent l="0" t="0" r="1143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447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264" w:rsidRPr="00B76264" w:rsidRDefault="00B76264" w:rsidP="00B76264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B76264">
                              <w:rPr>
                                <w:i/>
                                <w:sz w:val="21"/>
                                <w:szCs w:val="21"/>
                              </w:rPr>
                              <w:t xml:space="preserve">The following is intended only as an </w:t>
                            </w:r>
                            <w:r w:rsidRPr="00B76264"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example</w:t>
                            </w:r>
                            <w:r w:rsidRPr="00B76264">
                              <w:rPr>
                                <w:i/>
                                <w:sz w:val="21"/>
                                <w:szCs w:val="21"/>
                              </w:rPr>
                              <w:t xml:space="preserve"> of a format that may be used to evaluate professional services proposals/qualifications.  </w:t>
                            </w:r>
                            <w:proofErr w:type="spellStart"/>
                            <w:r w:rsidRPr="00B76264">
                              <w:rPr>
                                <w:i/>
                                <w:sz w:val="21"/>
                                <w:szCs w:val="21"/>
                              </w:rPr>
                              <w:t>UGLGs</w:t>
                            </w:r>
                            <w:proofErr w:type="spellEnd"/>
                            <w:r w:rsidRPr="00B76264">
                              <w:rPr>
                                <w:i/>
                                <w:sz w:val="21"/>
                                <w:szCs w:val="21"/>
                              </w:rPr>
                              <w:t xml:space="preserve"> must evaluate submissions based on the identified factors listed in the RFP/RFQ. </w:t>
                            </w:r>
                            <w:proofErr w:type="spellStart"/>
                            <w:r w:rsidRPr="00B76264">
                              <w:rPr>
                                <w:i/>
                                <w:sz w:val="21"/>
                                <w:szCs w:val="21"/>
                              </w:rPr>
                              <w:t>UGLGs</w:t>
                            </w:r>
                            <w:proofErr w:type="spellEnd"/>
                            <w:r w:rsidRPr="00B76264">
                              <w:rPr>
                                <w:i/>
                                <w:sz w:val="21"/>
                                <w:szCs w:val="21"/>
                              </w:rPr>
                              <w:t xml:space="preserve"> can assign different points or percentages to the identified factors (again, which were listed in the RFP/RFQ). </w:t>
                            </w:r>
                          </w:p>
                          <w:p w:rsidR="00B76264" w:rsidRPr="00B76264" w:rsidRDefault="00B76264" w:rsidP="00B76264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B76264">
                              <w:rPr>
                                <w:i/>
                                <w:sz w:val="21"/>
                                <w:szCs w:val="21"/>
                              </w:rPr>
                              <w:t xml:space="preserve">The following sample of an evaluation matrix is for use, as appropriate, for their specific situation. Samples provided by CDBG-I should not replace advice/review from an attorney.  The weights and rating values assigned should be the same as those listed in the Request for Proposals/Qualifications.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1EF0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.4pt;margin-top:43.2pt;width:543.6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" fillcolor="#f2f2f2">
                <v:textbox>
                  <w:txbxContent>
                    <w:p w:rsidR="00B76264" w:rsidRPr="00B76264" w:rsidRDefault="00B76264" w:rsidP="00B76264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B76264">
                        <w:rPr>
                          <w:i/>
                          <w:sz w:val="21"/>
                          <w:szCs w:val="21"/>
                        </w:rPr>
                        <w:t xml:space="preserve">The following is intended only as an </w:t>
                      </w:r>
                      <w:r w:rsidRPr="00B76264">
                        <w:rPr>
                          <w:b/>
                          <w:i/>
                          <w:sz w:val="21"/>
                          <w:szCs w:val="21"/>
                        </w:rPr>
                        <w:t>example</w:t>
                      </w:r>
                      <w:r w:rsidRPr="00B76264">
                        <w:rPr>
                          <w:i/>
                          <w:sz w:val="21"/>
                          <w:szCs w:val="21"/>
                        </w:rPr>
                        <w:t xml:space="preserve"> of a format that may be used to evaluate professional services proposals/qualifications.  </w:t>
                      </w:r>
                      <w:proofErr w:type="spellStart"/>
                      <w:r w:rsidRPr="00B76264">
                        <w:rPr>
                          <w:i/>
                          <w:sz w:val="21"/>
                          <w:szCs w:val="21"/>
                        </w:rPr>
                        <w:t>UGLGs</w:t>
                      </w:r>
                      <w:proofErr w:type="spellEnd"/>
                      <w:r w:rsidRPr="00B76264">
                        <w:rPr>
                          <w:i/>
                          <w:sz w:val="21"/>
                          <w:szCs w:val="21"/>
                        </w:rPr>
                        <w:t xml:space="preserve"> must evaluate submissions based on the identified factors listed in the RFP/RFQ. </w:t>
                      </w:r>
                      <w:proofErr w:type="spellStart"/>
                      <w:r w:rsidRPr="00B76264">
                        <w:rPr>
                          <w:i/>
                          <w:sz w:val="21"/>
                          <w:szCs w:val="21"/>
                        </w:rPr>
                        <w:t>UGLGs</w:t>
                      </w:r>
                      <w:proofErr w:type="spellEnd"/>
                      <w:r w:rsidRPr="00B76264">
                        <w:rPr>
                          <w:i/>
                          <w:sz w:val="21"/>
                          <w:szCs w:val="21"/>
                        </w:rPr>
                        <w:t xml:space="preserve"> can assign different points or percentages to the identified factors (again, which were listed in the RFP/RFQ). </w:t>
                      </w:r>
                    </w:p>
                    <w:p w:rsidR="00B76264" w:rsidRPr="00B76264" w:rsidRDefault="00B76264" w:rsidP="00B76264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B76264">
                        <w:rPr>
                          <w:i/>
                          <w:sz w:val="21"/>
                          <w:szCs w:val="21"/>
                        </w:rPr>
                        <w:t xml:space="preserve">The following sample of an evaluation matrix is for use, as appropriate, for their specific situation. Samples provided by CDBG-I should not replace advice/review from an attorney.  The weights and rating values assigned should be the same as those listed in the Request for Proposals/Qualifications.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Sample Evaluation Form for RFP’s/</w:t>
      </w:r>
      <w:proofErr w:type="spellStart"/>
      <w:r>
        <w:t>RFQ’s</w:t>
      </w:r>
      <w:proofErr w:type="spellEnd"/>
    </w:p>
    <w:p w:rsidR="00B76264" w:rsidRPr="00391568" w:rsidRDefault="00B76264" w:rsidP="00B76264">
      <w:r w:rsidRPr="00391568">
        <w:t>Each rater should complete an evaluation for each firm submitting a proposal</w:t>
      </w:r>
      <w:r>
        <w:t>/statement of qualifications</w:t>
      </w:r>
      <w:r w:rsidRPr="00391568">
        <w:t xml:space="preserve">. </w:t>
      </w:r>
    </w:p>
    <w:p w:rsidR="00B76264" w:rsidRPr="00391568" w:rsidRDefault="00B76264" w:rsidP="00B76264">
      <w:pPr>
        <w:pBdr>
          <w:bottom w:val="single" w:sz="4" w:space="1" w:color="auto"/>
        </w:pBdr>
      </w:pPr>
      <w:r>
        <w:t>The</w:t>
      </w:r>
      <w:r w:rsidRPr="00391568">
        <w:t xml:space="preserve"> highest number represents the most value for each column. </w:t>
      </w:r>
      <w:r>
        <w:t xml:space="preserve"> </w:t>
      </w:r>
      <w:r w:rsidRPr="00391568">
        <w:t xml:space="preserve">WEIGHT column: </w:t>
      </w:r>
      <w:r w:rsidRPr="0048288D">
        <w:rPr>
          <w:i/>
          <w:u w:val="single"/>
        </w:rPr>
        <w:t>1-10 points</w:t>
      </w:r>
      <w:r w:rsidRPr="00391568">
        <w:t xml:space="preserve"> depending on value to the project and level of importance (assigned by rating group and must be identical on all evaluations), in each area, to the particular project. </w:t>
      </w:r>
      <w:r>
        <w:t xml:space="preserve"> </w:t>
      </w:r>
      <w:r w:rsidRPr="00391568">
        <w:t xml:space="preserve">RATING column: </w:t>
      </w:r>
      <w:r w:rsidRPr="0048288D">
        <w:rPr>
          <w:i/>
          <w:u w:val="single"/>
        </w:rPr>
        <w:t>1-5 points</w:t>
      </w:r>
      <w:r w:rsidRPr="00391568">
        <w:t xml:space="preserve">. In this column </w:t>
      </w:r>
      <w:r>
        <w:t>grant recipients</w:t>
      </w:r>
      <w:r w:rsidRPr="00391568">
        <w:t xml:space="preserve"> rate the firm based on each qualification. </w:t>
      </w:r>
      <w:r>
        <w:t xml:space="preserve"> </w:t>
      </w:r>
      <w:r w:rsidRPr="00391568">
        <w:t xml:space="preserve">Multiply the rating by the weight for each category and enter the total. Add all totals to establish final score for firm. </w:t>
      </w:r>
    </w:p>
    <w:p w:rsidR="00B76264" w:rsidRPr="000849C7" w:rsidRDefault="00B76264" w:rsidP="00B76264">
      <w:pPr>
        <w:rPr>
          <w:u w:val="single"/>
        </w:rPr>
      </w:pPr>
      <w:r w:rsidRPr="00391568">
        <w:t xml:space="preserve">Name of Firm: </w:t>
      </w:r>
      <w:r>
        <w:tab/>
      </w:r>
      <w:r w:rsidRPr="000849C7">
        <w:rPr>
          <w:u w:val="single"/>
        </w:rPr>
        <w:tab/>
      </w:r>
      <w:r w:rsidRPr="000849C7">
        <w:rPr>
          <w:u w:val="single"/>
        </w:rPr>
        <w:tab/>
      </w:r>
      <w:r w:rsidRPr="000849C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6264" w:rsidRPr="000849C7" w:rsidRDefault="00B76264" w:rsidP="00B76264">
      <w:pPr>
        <w:rPr>
          <w:u w:val="single"/>
        </w:rPr>
      </w:pPr>
      <w:r w:rsidRPr="00391568">
        <w:t xml:space="preserve">Contact Person: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6264" w:rsidRDefault="00B76264" w:rsidP="00B76264">
      <w:r w:rsidRPr="00391568">
        <w:t>Project Description</w:t>
      </w:r>
      <w:r>
        <w:t>:</w:t>
      </w:r>
      <w:r w:rsidRPr="000849C7">
        <w:rPr>
          <w:u w:val="single"/>
        </w:rPr>
        <w:tab/>
      </w:r>
      <w:r w:rsidRPr="000849C7">
        <w:rPr>
          <w:u w:val="single"/>
        </w:rPr>
        <w:tab/>
      </w:r>
      <w:r w:rsidRPr="000849C7">
        <w:rPr>
          <w:u w:val="single"/>
        </w:rPr>
        <w:tab/>
      </w:r>
      <w:r w:rsidRPr="000849C7">
        <w:rPr>
          <w:u w:val="single"/>
        </w:rPr>
        <w:tab/>
      </w:r>
      <w:r w:rsidRPr="000849C7">
        <w:rPr>
          <w:u w:val="single"/>
        </w:rPr>
        <w:tab/>
      </w:r>
      <w:r w:rsidRPr="000849C7">
        <w:rPr>
          <w:u w:val="single"/>
        </w:rPr>
        <w:tab/>
      </w:r>
      <w:bookmarkStart w:id="0" w:name="_GoBack"/>
      <w:bookmarkEnd w:id="0"/>
    </w:p>
    <w:p w:rsidR="00B76264" w:rsidRDefault="00B76264" w:rsidP="00B76264">
      <w:r>
        <w:t>Individual Evaluation: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5575"/>
        <w:gridCol w:w="1350"/>
        <w:gridCol w:w="720"/>
        <w:gridCol w:w="1080"/>
        <w:gridCol w:w="450"/>
        <w:gridCol w:w="1080"/>
      </w:tblGrid>
      <w:tr w:rsidR="00B76264" w:rsidRPr="00391568" w:rsidTr="00B76264">
        <w:tc>
          <w:tcPr>
            <w:tcW w:w="5575" w:type="dxa"/>
            <w:vAlign w:val="center"/>
          </w:tcPr>
          <w:p w:rsidR="00B76264" w:rsidRPr="00391568" w:rsidRDefault="00B76264" w:rsidP="0013685E">
            <w:pPr>
              <w:jc w:val="center"/>
              <w:rPr>
                <w:b/>
              </w:rPr>
            </w:pPr>
            <w:r>
              <w:rPr>
                <w:b/>
              </w:rPr>
              <w:t>Evaluation Factors (these are EXAMPLES – use the ones stated in RFQ/RFP)</w:t>
            </w:r>
          </w:p>
        </w:tc>
        <w:tc>
          <w:tcPr>
            <w:tcW w:w="1350" w:type="dxa"/>
            <w:vAlign w:val="center"/>
          </w:tcPr>
          <w:p w:rsidR="00B76264" w:rsidRPr="00391568" w:rsidRDefault="00B76264" w:rsidP="0013685E">
            <w:pPr>
              <w:jc w:val="center"/>
              <w:rPr>
                <w:b/>
              </w:rPr>
            </w:pPr>
            <w:r w:rsidRPr="00391568">
              <w:rPr>
                <w:b/>
              </w:rPr>
              <w:t>WEIGHT 1-10</w:t>
            </w:r>
          </w:p>
        </w:tc>
        <w:tc>
          <w:tcPr>
            <w:tcW w:w="720" w:type="dxa"/>
            <w:vAlign w:val="center"/>
          </w:tcPr>
          <w:p w:rsidR="00B76264" w:rsidRPr="00391568" w:rsidRDefault="00B76264" w:rsidP="0013685E">
            <w:pPr>
              <w:jc w:val="center"/>
              <w:rPr>
                <w:b/>
              </w:rPr>
            </w:pPr>
            <w:r w:rsidRPr="00391568">
              <w:rPr>
                <w:b/>
              </w:rPr>
              <w:t>X</w:t>
            </w:r>
          </w:p>
        </w:tc>
        <w:tc>
          <w:tcPr>
            <w:tcW w:w="1080" w:type="dxa"/>
            <w:vAlign w:val="center"/>
          </w:tcPr>
          <w:p w:rsidR="00B76264" w:rsidRPr="00391568" w:rsidRDefault="00B76264" w:rsidP="0013685E">
            <w:pPr>
              <w:jc w:val="center"/>
              <w:rPr>
                <w:b/>
              </w:rPr>
            </w:pPr>
            <w:r w:rsidRPr="00391568">
              <w:rPr>
                <w:b/>
              </w:rPr>
              <w:t>RATING 1-5</w:t>
            </w:r>
          </w:p>
        </w:tc>
        <w:tc>
          <w:tcPr>
            <w:tcW w:w="450" w:type="dxa"/>
            <w:vAlign w:val="center"/>
          </w:tcPr>
          <w:p w:rsidR="00B76264" w:rsidRPr="00391568" w:rsidRDefault="00B76264" w:rsidP="0013685E">
            <w:pPr>
              <w:jc w:val="center"/>
              <w:rPr>
                <w:b/>
              </w:rPr>
            </w:pPr>
            <w:r w:rsidRPr="00391568">
              <w:rPr>
                <w:b/>
              </w:rPr>
              <w:t>=</w:t>
            </w:r>
          </w:p>
        </w:tc>
        <w:tc>
          <w:tcPr>
            <w:tcW w:w="1080" w:type="dxa"/>
            <w:vAlign w:val="center"/>
          </w:tcPr>
          <w:p w:rsidR="00B76264" w:rsidRPr="00391568" w:rsidRDefault="00B76264" w:rsidP="0013685E">
            <w:pPr>
              <w:jc w:val="center"/>
              <w:rPr>
                <w:b/>
              </w:rPr>
            </w:pPr>
            <w:r w:rsidRPr="00391568">
              <w:rPr>
                <w:b/>
              </w:rPr>
              <w:t>TOTAL</w:t>
            </w:r>
          </w:p>
        </w:tc>
      </w:tr>
      <w:tr w:rsidR="00B76264" w:rsidTr="00B76264">
        <w:tc>
          <w:tcPr>
            <w:tcW w:w="5575" w:type="dxa"/>
          </w:tcPr>
          <w:p w:rsidR="00B76264" w:rsidRPr="00D100BE" w:rsidRDefault="00B76264" w:rsidP="0013685E">
            <w:pPr>
              <w:rPr>
                <w:i/>
              </w:rPr>
            </w:pPr>
            <w:r w:rsidRPr="00D100BE">
              <w:rPr>
                <w:i/>
              </w:rPr>
              <w:t>Specialized Experience &amp; Competence related to CDBG</w:t>
            </w:r>
          </w:p>
        </w:tc>
        <w:tc>
          <w:tcPr>
            <w:tcW w:w="1350" w:type="dxa"/>
          </w:tcPr>
          <w:p w:rsidR="00B76264" w:rsidRDefault="00B76264" w:rsidP="0013685E"/>
        </w:tc>
        <w:tc>
          <w:tcPr>
            <w:tcW w:w="72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  <w:tc>
          <w:tcPr>
            <w:tcW w:w="45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</w:tr>
      <w:tr w:rsidR="00B76264" w:rsidTr="00B76264">
        <w:tc>
          <w:tcPr>
            <w:tcW w:w="5575" w:type="dxa"/>
          </w:tcPr>
          <w:p w:rsidR="00B76264" w:rsidRPr="00D100BE" w:rsidRDefault="00B76264" w:rsidP="0013685E">
            <w:pPr>
              <w:rPr>
                <w:i/>
              </w:rPr>
            </w:pPr>
            <w:r w:rsidRPr="00D100BE">
              <w:rPr>
                <w:i/>
              </w:rPr>
              <w:t>Past record of performance of firm with respect to such factors as accessibility to clients, quality of work, ability to meet schedules</w:t>
            </w:r>
          </w:p>
        </w:tc>
        <w:tc>
          <w:tcPr>
            <w:tcW w:w="1350" w:type="dxa"/>
          </w:tcPr>
          <w:p w:rsidR="00B76264" w:rsidRDefault="00B76264" w:rsidP="0013685E"/>
        </w:tc>
        <w:tc>
          <w:tcPr>
            <w:tcW w:w="72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  <w:tc>
          <w:tcPr>
            <w:tcW w:w="45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</w:tr>
      <w:tr w:rsidR="00B76264" w:rsidTr="00B76264">
        <w:tc>
          <w:tcPr>
            <w:tcW w:w="5575" w:type="dxa"/>
          </w:tcPr>
          <w:p w:rsidR="00B76264" w:rsidRPr="00D100BE" w:rsidRDefault="00B76264" w:rsidP="0013685E">
            <w:pPr>
              <w:rPr>
                <w:i/>
              </w:rPr>
            </w:pPr>
            <w:r w:rsidRPr="00D100BE">
              <w:rPr>
                <w:i/>
              </w:rPr>
              <w:t>Capability of carrying out all grant related activities</w:t>
            </w:r>
          </w:p>
        </w:tc>
        <w:tc>
          <w:tcPr>
            <w:tcW w:w="1350" w:type="dxa"/>
          </w:tcPr>
          <w:p w:rsidR="00B76264" w:rsidRDefault="00B76264" w:rsidP="0013685E"/>
        </w:tc>
        <w:tc>
          <w:tcPr>
            <w:tcW w:w="72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  <w:tc>
          <w:tcPr>
            <w:tcW w:w="45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</w:tr>
      <w:tr w:rsidR="00B76264" w:rsidTr="00B76264">
        <w:tc>
          <w:tcPr>
            <w:tcW w:w="5575" w:type="dxa"/>
          </w:tcPr>
          <w:p w:rsidR="00B76264" w:rsidRPr="00D100BE" w:rsidRDefault="00B76264" w:rsidP="0013685E">
            <w:pPr>
              <w:rPr>
                <w:i/>
              </w:rPr>
            </w:pPr>
            <w:r w:rsidRPr="00D100BE">
              <w:rPr>
                <w:i/>
              </w:rPr>
              <w:t>Cost comparison</w:t>
            </w:r>
            <w:r>
              <w:rPr>
                <w:i/>
              </w:rPr>
              <w:t>*</w:t>
            </w:r>
          </w:p>
        </w:tc>
        <w:tc>
          <w:tcPr>
            <w:tcW w:w="1350" w:type="dxa"/>
          </w:tcPr>
          <w:p w:rsidR="00B76264" w:rsidRDefault="00B76264" w:rsidP="0013685E"/>
        </w:tc>
        <w:tc>
          <w:tcPr>
            <w:tcW w:w="72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  <w:tc>
          <w:tcPr>
            <w:tcW w:w="45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</w:tr>
      <w:tr w:rsidR="00B76264" w:rsidTr="00B76264">
        <w:tc>
          <w:tcPr>
            <w:tcW w:w="5575" w:type="dxa"/>
          </w:tcPr>
          <w:p w:rsidR="00B76264" w:rsidRPr="00D100BE" w:rsidRDefault="00B76264" w:rsidP="0013685E">
            <w:pPr>
              <w:rPr>
                <w:i/>
              </w:rPr>
            </w:pPr>
            <w:r w:rsidRPr="00D100BE">
              <w:rPr>
                <w:i/>
              </w:rPr>
              <w:t>References</w:t>
            </w:r>
          </w:p>
        </w:tc>
        <w:tc>
          <w:tcPr>
            <w:tcW w:w="1350" w:type="dxa"/>
          </w:tcPr>
          <w:p w:rsidR="00B76264" w:rsidRDefault="00B76264" w:rsidP="0013685E"/>
        </w:tc>
        <w:tc>
          <w:tcPr>
            <w:tcW w:w="72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  <w:tc>
          <w:tcPr>
            <w:tcW w:w="45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</w:tr>
      <w:tr w:rsidR="00B76264" w:rsidTr="00B76264">
        <w:tc>
          <w:tcPr>
            <w:tcW w:w="5575" w:type="dxa"/>
          </w:tcPr>
          <w:p w:rsidR="00B76264" w:rsidRPr="00D100BE" w:rsidRDefault="00B76264" w:rsidP="0013685E">
            <w:pPr>
              <w:rPr>
                <w:i/>
              </w:rPr>
            </w:pPr>
            <w:r w:rsidRPr="00D100BE">
              <w:rPr>
                <w:i/>
              </w:rPr>
              <w:t>Met requirements for submittal</w:t>
            </w:r>
          </w:p>
        </w:tc>
        <w:tc>
          <w:tcPr>
            <w:tcW w:w="1350" w:type="dxa"/>
          </w:tcPr>
          <w:p w:rsidR="00B76264" w:rsidRDefault="00B76264" w:rsidP="0013685E"/>
        </w:tc>
        <w:tc>
          <w:tcPr>
            <w:tcW w:w="72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  <w:tc>
          <w:tcPr>
            <w:tcW w:w="450" w:type="dxa"/>
          </w:tcPr>
          <w:p w:rsidR="00B76264" w:rsidRDefault="00B76264" w:rsidP="0013685E"/>
        </w:tc>
        <w:tc>
          <w:tcPr>
            <w:tcW w:w="1080" w:type="dxa"/>
          </w:tcPr>
          <w:p w:rsidR="00B76264" w:rsidRDefault="00B76264" w:rsidP="0013685E"/>
        </w:tc>
      </w:tr>
    </w:tbl>
    <w:p w:rsidR="00B76264" w:rsidRDefault="00B76264" w:rsidP="00B76264">
      <w:r>
        <w:t>Note: *Cost comparison is only applicable to Request for Proposals, not Requests for Qualifications.</w:t>
      </w:r>
    </w:p>
    <w:p w:rsidR="00B76264" w:rsidRDefault="00B76264" w:rsidP="00B76264">
      <w:pPr>
        <w:rPr>
          <w:u w:val="single"/>
        </w:rPr>
      </w:pPr>
      <w:r>
        <w:t xml:space="preserve">Score Total: </w:t>
      </w:r>
      <w:r w:rsidRPr="000849C7">
        <w:rPr>
          <w:u w:val="single"/>
        </w:rPr>
        <w:tab/>
      </w:r>
      <w:r w:rsidRPr="000849C7">
        <w:rPr>
          <w:u w:val="single"/>
        </w:rPr>
        <w:tab/>
      </w:r>
      <w:r w:rsidRPr="000849C7">
        <w:rPr>
          <w:u w:val="single"/>
        </w:rPr>
        <w:tab/>
      </w:r>
    </w:p>
    <w:p w:rsidR="00B76264" w:rsidRPr="000849C7" w:rsidRDefault="00B76264" w:rsidP="00B76264">
      <w:pPr>
        <w:rPr>
          <w:u w:val="single"/>
        </w:rPr>
      </w:pPr>
      <w:r>
        <w:t xml:space="preserve">Name of Reviewer: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6264" w:rsidRPr="00B76264" w:rsidRDefault="00B76264" w:rsidP="00B76264">
      <w:r w:rsidRPr="00B76264">
        <w:t>Date:</w:t>
      </w:r>
      <w:r w:rsidRPr="00B76264">
        <w:rPr>
          <w:u w:val="single"/>
        </w:rPr>
        <w:tab/>
      </w:r>
      <w:r w:rsidRPr="00B76264">
        <w:rPr>
          <w:u w:val="single"/>
        </w:rPr>
        <w:tab/>
      </w:r>
      <w:r w:rsidRPr="00B76264">
        <w:rPr>
          <w:u w:val="single"/>
        </w:rPr>
        <w:tab/>
      </w:r>
      <w:r w:rsidRPr="00B76264">
        <w:rPr>
          <w:u w:val="single"/>
        </w:rPr>
        <w:tab/>
      </w:r>
      <w:r w:rsidRPr="00B76264">
        <w:t xml:space="preserve"> </w:t>
      </w:r>
    </w:p>
    <w:sectPr w:rsidR="00B76264" w:rsidRPr="00B76264" w:rsidSect="00B762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11"/>
    <w:rsid w:val="00110C11"/>
    <w:rsid w:val="00321DD5"/>
    <w:rsid w:val="004E6184"/>
    <w:rsid w:val="00B7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A661"/>
  <w15:chartTrackingRefBased/>
  <w15:docId w15:val="{4F9CA90A-FE94-41F8-BC57-8F2746DC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6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7626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Colleen M</dc:creator>
  <cp:keywords/>
  <dc:description/>
  <cp:lastModifiedBy>Simmons, Colleen M</cp:lastModifiedBy>
  <cp:revision>3</cp:revision>
  <dcterms:created xsi:type="dcterms:W3CDTF">2021-02-05T15:24:00Z</dcterms:created>
  <dcterms:modified xsi:type="dcterms:W3CDTF">2021-02-05T15:29:00Z</dcterms:modified>
</cp:coreProperties>
</file>