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FA" w:rsidRDefault="00B77122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>T</w:t>
      </w:r>
      <w:r w:rsidR="00ED32FA">
        <w:t xml:space="preserve">he </w:t>
      </w:r>
      <w:r w:rsidR="00967966">
        <w:t>N</w:t>
      </w:r>
      <w:r w:rsidR="00ED32FA">
        <w:t xml:space="preserve">aming </w:t>
      </w:r>
      <w:r w:rsidR="00967966">
        <w:t>F</w:t>
      </w:r>
      <w:r w:rsidR="00ED32FA">
        <w:t xml:space="preserve">ormat for UST </w:t>
      </w:r>
      <w:r w:rsidR="00967966">
        <w:t>Incident F</w:t>
      </w:r>
      <w:r w:rsidR="00ED32FA">
        <w:t xml:space="preserve">iles. </w:t>
      </w:r>
    </w:p>
    <w:p w:rsidR="00003601" w:rsidRDefault="00003601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</w:p>
    <w:p w:rsidR="00ED32FA" w:rsidRDefault="00ED32FA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 w:rsidRPr="00E560DD">
        <w:rPr>
          <w:highlight w:val="yellow"/>
        </w:rPr>
        <w:t xml:space="preserve">UST </w:t>
      </w:r>
      <w:proofErr w:type="spellStart"/>
      <w:r w:rsidRPr="00E560DD">
        <w:rPr>
          <w:highlight w:val="yellow"/>
        </w:rPr>
        <w:t>Number</w:t>
      </w:r>
      <w:r>
        <w:t>_</w:t>
      </w:r>
      <w:r w:rsidRPr="00E560DD">
        <w:rPr>
          <w:highlight w:val="green"/>
        </w:rPr>
        <w:t>Incident</w:t>
      </w:r>
      <w:proofErr w:type="spellEnd"/>
      <w:r w:rsidRPr="00E560DD">
        <w:rPr>
          <w:highlight w:val="green"/>
        </w:rPr>
        <w:t xml:space="preserve"> </w:t>
      </w:r>
      <w:proofErr w:type="spellStart"/>
      <w:r w:rsidRPr="00E560DD">
        <w:rPr>
          <w:highlight w:val="green"/>
        </w:rPr>
        <w:t>Number</w:t>
      </w:r>
      <w:r>
        <w:t>_</w:t>
      </w:r>
      <w:r w:rsidRPr="00E560DD">
        <w:rPr>
          <w:highlight w:val="cyan"/>
        </w:rPr>
        <w:t>Document</w:t>
      </w:r>
      <w:proofErr w:type="spellEnd"/>
      <w:r w:rsidRPr="00E560DD">
        <w:rPr>
          <w:highlight w:val="cyan"/>
        </w:rPr>
        <w:t xml:space="preserve"> </w:t>
      </w:r>
      <w:proofErr w:type="spellStart"/>
      <w:r w:rsidRPr="00E560DD">
        <w:rPr>
          <w:highlight w:val="cyan"/>
        </w:rPr>
        <w:t>Group</w:t>
      </w:r>
      <w:r>
        <w:t>_</w:t>
      </w:r>
      <w:r w:rsidRPr="00E560DD">
        <w:rPr>
          <w:highlight w:val="magenta"/>
        </w:rPr>
        <w:t>Document</w:t>
      </w:r>
      <w:proofErr w:type="spellEnd"/>
      <w:r w:rsidRPr="00E560DD">
        <w:rPr>
          <w:highlight w:val="magenta"/>
        </w:rPr>
        <w:t xml:space="preserve"> </w:t>
      </w:r>
      <w:proofErr w:type="spellStart"/>
      <w:r w:rsidRPr="00E560DD">
        <w:rPr>
          <w:highlight w:val="magenta"/>
        </w:rPr>
        <w:t>Type</w:t>
      </w:r>
      <w:r>
        <w:t>_</w:t>
      </w:r>
      <w:r w:rsidRPr="00E560DD">
        <w:rPr>
          <w:highlight w:val="red"/>
        </w:rPr>
        <w:t>Date</w:t>
      </w:r>
      <w:r>
        <w:t>_</w:t>
      </w:r>
      <w:proofErr w:type="gramStart"/>
      <w:r w:rsidRPr="00E560DD">
        <w:rPr>
          <w:highlight w:val="lightGray"/>
        </w:rPr>
        <w:t>text</w:t>
      </w:r>
      <w:r>
        <w:t>.file</w:t>
      </w:r>
      <w:proofErr w:type="spellEnd"/>
      <w:proofErr w:type="gramEnd"/>
      <w:r>
        <w:t xml:space="preserve"> type</w:t>
      </w:r>
    </w:p>
    <w:p w:rsidR="00003601" w:rsidRDefault="00003601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</w:p>
    <w:p w:rsidR="00ED32FA" w:rsidRDefault="00733F98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>Examples</w:t>
      </w:r>
      <w:r w:rsidR="00ED32FA">
        <w:t>:</w:t>
      </w:r>
      <w:r w:rsidR="00ED32FA">
        <w:tab/>
      </w:r>
      <w:r w:rsidR="00ED32FA" w:rsidRPr="00E560DD">
        <w:rPr>
          <w:highlight w:val="yellow"/>
        </w:rPr>
        <w:t>WA-1778</w:t>
      </w:r>
      <w:r w:rsidR="00ED32FA" w:rsidRPr="008B434E">
        <w:t>_</w:t>
      </w:r>
      <w:r w:rsidR="00ED32FA" w:rsidRPr="00E560DD">
        <w:rPr>
          <w:highlight w:val="green"/>
        </w:rPr>
        <w:t>20448</w:t>
      </w:r>
      <w:r w:rsidR="00ED32FA" w:rsidRPr="008B434E">
        <w:t>_</w:t>
      </w:r>
      <w:r w:rsidR="00ED32FA" w:rsidRPr="00E560DD">
        <w:rPr>
          <w:highlight w:val="cyan"/>
        </w:rPr>
        <w:t>M</w:t>
      </w:r>
      <w:r w:rsidR="00ED32FA" w:rsidRPr="008B434E">
        <w:t>_</w:t>
      </w:r>
      <w:r w:rsidR="00ED32FA" w:rsidRPr="00E560DD">
        <w:rPr>
          <w:highlight w:val="magenta"/>
        </w:rPr>
        <w:t>DENR</w:t>
      </w:r>
      <w:r w:rsidR="00ED32FA" w:rsidRPr="008B434E">
        <w:t>_</w:t>
      </w:r>
      <w:r w:rsidR="00ED32FA" w:rsidRPr="00E560DD">
        <w:rPr>
          <w:highlight w:val="red"/>
        </w:rPr>
        <w:t>20000309</w:t>
      </w:r>
      <w:r w:rsidR="00ED32FA" w:rsidRPr="008B434E">
        <w:t>_</w:t>
      </w:r>
      <w:r w:rsidR="00ED32FA" w:rsidRPr="00E560DD">
        <w:rPr>
          <w:highlight w:val="lightGray"/>
        </w:rPr>
        <w:t>00001</w:t>
      </w:r>
      <w:r w:rsidR="00ED32FA" w:rsidRPr="008B434E">
        <w:t>.PDF</w:t>
      </w:r>
    </w:p>
    <w:p w:rsidR="00733F98" w:rsidRDefault="00733F98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ab/>
      </w:r>
      <w:r>
        <w:tab/>
      </w:r>
      <w:r w:rsidRPr="00733F98">
        <w:rPr>
          <w:highlight w:val="yellow"/>
        </w:rPr>
        <w:t>FA-3630</w:t>
      </w:r>
      <w:r w:rsidRPr="00733F98">
        <w:t>_</w:t>
      </w:r>
      <w:r w:rsidRPr="00733F98">
        <w:rPr>
          <w:highlight w:val="green"/>
        </w:rPr>
        <w:t>29601</w:t>
      </w:r>
      <w:r w:rsidRPr="00733F98">
        <w:t>_</w:t>
      </w:r>
      <w:r w:rsidRPr="00733F98">
        <w:rPr>
          <w:highlight w:val="cyan"/>
        </w:rPr>
        <w:t>M</w:t>
      </w:r>
      <w:r w:rsidRPr="00733F98">
        <w:t>_</w:t>
      </w:r>
      <w:r w:rsidRPr="00733F98">
        <w:rPr>
          <w:highlight w:val="magenta"/>
        </w:rPr>
        <w:t>DENR</w:t>
      </w:r>
      <w:r w:rsidRPr="00733F98">
        <w:t>_</w:t>
      </w:r>
      <w:r w:rsidRPr="00733F98">
        <w:rPr>
          <w:highlight w:val="red"/>
        </w:rPr>
        <w:t>20171031</w:t>
      </w:r>
      <w:r w:rsidRPr="00733F98">
        <w:t>_</w:t>
      </w:r>
      <w:r w:rsidRPr="00AE0B4A">
        <w:rPr>
          <w:highlight w:val="lightGray"/>
        </w:rPr>
        <w:t>NRP Approval &amp; Cover Letter</w:t>
      </w:r>
      <w:r>
        <w:t>.pdf</w:t>
      </w:r>
    </w:p>
    <w:p w:rsidR="00733F98" w:rsidRDefault="00733F98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ab/>
      </w:r>
      <w:r>
        <w:tab/>
      </w:r>
      <w:r w:rsidRPr="00733F98">
        <w:rPr>
          <w:highlight w:val="yellow"/>
        </w:rPr>
        <w:t>FA-88453</w:t>
      </w:r>
      <w:r w:rsidRPr="00733F98">
        <w:t>_</w:t>
      </w:r>
      <w:r w:rsidRPr="00733F98">
        <w:rPr>
          <w:highlight w:val="green"/>
        </w:rPr>
        <w:t>90253</w:t>
      </w:r>
      <w:r w:rsidRPr="00733F98">
        <w:t>_</w:t>
      </w:r>
      <w:r w:rsidRPr="00733F98">
        <w:rPr>
          <w:highlight w:val="cyan"/>
        </w:rPr>
        <w:t>CA</w:t>
      </w:r>
      <w:r w:rsidRPr="00733F98">
        <w:t>_</w:t>
      </w:r>
      <w:r w:rsidRPr="00733F98">
        <w:rPr>
          <w:highlight w:val="magenta"/>
        </w:rPr>
        <w:t>UST-62</w:t>
      </w:r>
      <w:r w:rsidRPr="00733F98">
        <w:t>_</w:t>
      </w:r>
      <w:r w:rsidRPr="00733F98">
        <w:rPr>
          <w:highlight w:val="red"/>
        </w:rPr>
        <w:t>20170925</w:t>
      </w:r>
      <w:r w:rsidRPr="00733F98">
        <w:t>_</w:t>
      </w:r>
      <w:r w:rsidRPr="00AE0B4A">
        <w:rPr>
          <w:highlight w:val="lightGray"/>
        </w:rPr>
        <w:t>w supporting documents</w:t>
      </w:r>
      <w:r>
        <w:t>.pdf</w:t>
      </w:r>
    </w:p>
    <w:p w:rsidR="00733F98" w:rsidRDefault="00733F98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 w:right="133" w:firstLine="680"/>
      </w:pPr>
      <w:r w:rsidRPr="00733F98">
        <w:rPr>
          <w:highlight w:val="yellow"/>
        </w:rPr>
        <w:t>FA-92460</w:t>
      </w:r>
      <w:r w:rsidRPr="00733F98">
        <w:t>_</w:t>
      </w:r>
      <w:r w:rsidRPr="00733F98">
        <w:rPr>
          <w:highlight w:val="green"/>
        </w:rPr>
        <w:t>90236</w:t>
      </w:r>
      <w:r w:rsidRPr="00733F98">
        <w:t>_</w:t>
      </w:r>
      <w:r w:rsidRPr="00733F98">
        <w:rPr>
          <w:highlight w:val="cyan"/>
        </w:rPr>
        <w:t>G</w:t>
      </w:r>
      <w:r w:rsidRPr="00733F98">
        <w:t>_</w:t>
      </w:r>
      <w:r w:rsidRPr="00733F98">
        <w:rPr>
          <w:highlight w:val="magenta"/>
        </w:rPr>
        <w:t>NORR</w:t>
      </w:r>
      <w:r w:rsidRPr="00733F98">
        <w:t>_</w:t>
      </w:r>
      <w:r w:rsidRPr="00733F98">
        <w:rPr>
          <w:highlight w:val="red"/>
        </w:rPr>
        <w:t>20170501</w:t>
      </w:r>
      <w:r w:rsidRPr="00733F98">
        <w:t>_</w:t>
      </w:r>
      <w:r w:rsidRPr="00AE0B4A">
        <w:rPr>
          <w:highlight w:val="lightGray"/>
        </w:rPr>
        <w:t>NORR for Initial Assessment</w:t>
      </w:r>
      <w:r>
        <w:t>.pdf</w:t>
      </w:r>
    </w:p>
    <w:p w:rsidR="00733F98" w:rsidRDefault="00733F98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ab/>
      </w:r>
      <w:r>
        <w:tab/>
      </w:r>
      <w:r w:rsidRPr="00733F98">
        <w:rPr>
          <w:highlight w:val="yellow"/>
        </w:rPr>
        <w:t>FA-3532</w:t>
      </w:r>
      <w:r w:rsidRPr="00733F98">
        <w:t>_</w:t>
      </w:r>
      <w:r w:rsidRPr="00733F98">
        <w:rPr>
          <w:highlight w:val="green"/>
        </w:rPr>
        <w:t>29552</w:t>
      </w:r>
      <w:r w:rsidRPr="00733F98">
        <w:t>_</w:t>
      </w:r>
      <w:r w:rsidRPr="00733F98">
        <w:rPr>
          <w:highlight w:val="cyan"/>
        </w:rPr>
        <w:t>CA</w:t>
      </w:r>
      <w:r w:rsidRPr="00733F98">
        <w:t>_</w:t>
      </w:r>
      <w:r w:rsidRPr="00733F98">
        <w:rPr>
          <w:highlight w:val="magenta"/>
        </w:rPr>
        <w:t>RPTS</w:t>
      </w:r>
      <w:r w:rsidRPr="00733F98">
        <w:t>_</w:t>
      </w:r>
      <w:r w:rsidRPr="00733F98">
        <w:rPr>
          <w:highlight w:val="red"/>
        </w:rPr>
        <w:t>20170510</w:t>
      </w:r>
      <w:r w:rsidRPr="00733F98">
        <w:t>_</w:t>
      </w:r>
      <w:r w:rsidRPr="00AE0B4A">
        <w:rPr>
          <w:highlight w:val="lightGray"/>
        </w:rPr>
        <w:t>Letter Report</w:t>
      </w:r>
      <w:r w:rsidR="00AE0B4A">
        <w:t>.doc</w:t>
      </w:r>
    </w:p>
    <w:p w:rsidR="00031E88" w:rsidRDefault="00031E88" w:rsidP="000036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</w:p>
    <w:p w:rsidR="00031E88" w:rsidRDefault="00031E88" w:rsidP="0000360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33"/>
        <w:rPr>
          <w:b/>
        </w:rPr>
      </w:pPr>
      <w:r w:rsidRPr="00031E88">
        <w:rPr>
          <w:b/>
        </w:rPr>
        <w:t xml:space="preserve">This convention is important, </w:t>
      </w:r>
      <w:r w:rsidRPr="00031E88">
        <w:t xml:space="preserve">consistency allows the Metadata to be retrieved from our databases, otherwise it will need to be </w:t>
      </w:r>
      <w:r w:rsidRPr="00D00E95">
        <w:rPr>
          <w:u w:val="single"/>
        </w:rPr>
        <w:t>entered for each</w:t>
      </w:r>
      <w:r w:rsidRPr="00031E88">
        <w:t xml:space="preserve"> individual file</w:t>
      </w:r>
      <w:r w:rsidRPr="00031E88">
        <w:rPr>
          <w:b/>
        </w:rPr>
        <w:t xml:space="preserve">. </w:t>
      </w:r>
    </w:p>
    <w:p w:rsidR="00805933" w:rsidRPr="00031E88" w:rsidRDefault="00805933" w:rsidP="0000360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33"/>
        <w:rPr>
          <w:b/>
        </w:rPr>
      </w:pPr>
      <w:r>
        <w:rPr>
          <w:b/>
        </w:rPr>
        <w:t xml:space="preserve">Each data item needs an underline between it and the next. </w:t>
      </w:r>
      <w:r>
        <w:t>This allows the names to be checked for accuracy and for consistency in searching. An underline between the date and the text field is also necessary (this includes</w:t>
      </w:r>
      <w:r w:rsidR="00967966">
        <w:t xml:space="preserve"> even</w:t>
      </w:r>
      <w:r>
        <w:t xml:space="preserve"> if the text field is only the number of pages).</w:t>
      </w:r>
    </w:p>
    <w:p w:rsidR="00031E88" w:rsidRPr="00031E88" w:rsidRDefault="00031E88" w:rsidP="0000360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33"/>
        <w:rPr>
          <w:b/>
        </w:rPr>
      </w:pPr>
      <w:r w:rsidRPr="00031E88">
        <w:rPr>
          <w:b/>
        </w:rPr>
        <w:t>Do not use more than one UST Number, Incident Number, Document Group, Document Type to the left of the date</w:t>
      </w:r>
      <w:r w:rsidRPr="00031E88">
        <w:t xml:space="preserve">. </w:t>
      </w:r>
      <w:r w:rsidR="00967966">
        <w:t>A</w:t>
      </w:r>
      <w:r w:rsidRPr="00031E88">
        <w:t>dditional information may be entered in the text field to the right of the date.</w:t>
      </w:r>
      <w:r>
        <w:t xml:space="preserve"> </w:t>
      </w:r>
      <w:r w:rsidR="00D00E95">
        <w:t>Keep the text field short, it is a limited field.</w:t>
      </w:r>
    </w:p>
    <w:p w:rsidR="00031E88" w:rsidRPr="00031E88" w:rsidRDefault="00031E88" w:rsidP="0000360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33"/>
        <w:rPr>
          <w:b/>
        </w:rPr>
      </w:pPr>
      <w:r w:rsidRPr="00031E88">
        <w:rPr>
          <w:b/>
        </w:rPr>
        <w:t>Do not use special characters</w:t>
      </w:r>
      <w:r>
        <w:t>, except for hyphens</w:t>
      </w:r>
      <w:r w:rsidR="00E00C30">
        <w:t>, ampersands (&amp;)</w:t>
      </w:r>
      <w:r>
        <w:t xml:space="preserve"> and spaces. Special characters such as #, %, $ etc., cause the programs to </w:t>
      </w:r>
      <w:r w:rsidR="00627B6E">
        <w:t>expect different commands associated with these characters and searches will return unusual results.</w:t>
      </w:r>
    </w:p>
    <w:p w:rsidR="00ED32FA" w:rsidRDefault="00ED32FA" w:rsidP="00003601">
      <w:pPr>
        <w:spacing w:line="240" w:lineRule="auto"/>
      </w:pPr>
    </w:p>
    <w:p w:rsidR="00E26D1E" w:rsidRDefault="00E26D1E" w:rsidP="00003601">
      <w:pPr>
        <w:spacing w:line="240" w:lineRule="auto"/>
      </w:pPr>
      <w:r w:rsidRPr="00882F8E">
        <w:rPr>
          <w:color w:val="FF0000"/>
          <w:highlight w:val="yellow"/>
        </w:rPr>
        <w:t>UST</w:t>
      </w:r>
      <w:r w:rsidR="00967966">
        <w:rPr>
          <w:color w:val="FF0000"/>
          <w:highlight w:val="yellow"/>
        </w:rPr>
        <w:t xml:space="preserve"> </w:t>
      </w:r>
      <w:r w:rsidRPr="00882F8E">
        <w:rPr>
          <w:color w:val="FF0000"/>
          <w:highlight w:val="yellow"/>
        </w:rPr>
        <w:t>Number</w:t>
      </w:r>
      <w:r>
        <w:t xml:space="preserve"> is a unique number that begins with a </w:t>
      </w:r>
      <w:r w:rsidR="00967966">
        <w:t xml:space="preserve">two-letter </w:t>
      </w:r>
      <w:r>
        <w:t xml:space="preserve">code </w:t>
      </w:r>
      <w:r w:rsidR="00967966">
        <w:t>(</w:t>
      </w:r>
      <w:r>
        <w:t>indicating a UST Regional Office</w:t>
      </w:r>
      <w:r w:rsidR="00967966">
        <w:t>) followed by a hyphen (Example:</w:t>
      </w:r>
      <w:r>
        <w:t xml:space="preserve"> WS-1111):</w:t>
      </w:r>
    </w:p>
    <w:p w:rsidR="00E26D1E" w:rsidRDefault="00E26D1E" w:rsidP="00003601">
      <w:pPr>
        <w:spacing w:line="240" w:lineRule="auto"/>
        <w:ind w:left="720"/>
      </w:pPr>
      <w:r>
        <w:t>AS – Asheville Regional Office</w:t>
      </w:r>
    </w:p>
    <w:p w:rsidR="00E26D1E" w:rsidRDefault="00E26D1E" w:rsidP="00003601">
      <w:pPr>
        <w:spacing w:line="240" w:lineRule="auto"/>
        <w:ind w:left="720"/>
      </w:pPr>
      <w:r>
        <w:t>FA – Fayetteville Regional Office</w:t>
      </w:r>
    </w:p>
    <w:p w:rsidR="00E26D1E" w:rsidRDefault="00E26D1E" w:rsidP="00003601">
      <w:pPr>
        <w:spacing w:line="240" w:lineRule="auto"/>
        <w:ind w:left="720"/>
      </w:pPr>
      <w:r>
        <w:t>MO – Mooresville Regional Office</w:t>
      </w:r>
    </w:p>
    <w:p w:rsidR="00E26D1E" w:rsidRDefault="00E26D1E" w:rsidP="00003601">
      <w:pPr>
        <w:spacing w:line="240" w:lineRule="auto"/>
        <w:ind w:left="720"/>
      </w:pPr>
      <w:r>
        <w:t>RA – Raleigh Regional Office</w:t>
      </w:r>
    </w:p>
    <w:p w:rsidR="00E26D1E" w:rsidRDefault="00E26D1E" w:rsidP="00003601">
      <w:pPr>
        <w:spacing w:line="240" w:lineRule="auto"/>
        <w:ind w:left="720"/>
      </w:pPr>
      <w:r>
        <w:t>WA – Washington Regional Office</w:t>
      </w:r>
    </w:p>
    <w:p w:rsidR="00E26D1E" w:rsidRDefault="00E26D1E" w:rsidP="00003601">
      <w:pPr>
        <w:spacing w:line="240" w:lineRule="auto"/>
        <w:ind w:left="720"/>
      </w:pPr>
      <w:r>
        <w:t>WI – Wilmington Regional Office</w:t>
      </w:r>
    </w:p>
    <w:p w:rsidR="00E26D1E" w:rsidRDefault="00E26D1E" w:rsidP="00003601">
      <w:pPr>
        <w:spacing w:line="240" w:lineRule="auto"/>
        <w:ind w:left="720"/>
      </w:pPr>
      <w:r>
        <w:t>WS – Winston-Salem Regional Office</w:t>
      </w:r>
    </w:p>
    <w:p w:rsidR="00D55701" w:rsidRDefault="00D55701" w:rsidP="00003601">
      <w:pPr>
        <w:spacing w:line="240" w:lineRule="auto"/>
      </w:pPr>
      <w:r w:rsidRPr="00882F8E">
        <w:rPr>
          <w:color w:val="FF0000"/>
          <w:highlight w:val="green"/>
        </w:rPr>
        <w:t>Incident</w:t>
      </w:r>
      <w:r w:rsidR="00967966">
        <w:rPr>
          <w:color w:val="FF0000"/>
          <w:highlight w:val="green"/>
        </w:rPr>
        <w:t xml:space="preserve"> </w:t>
      </w:r>
      <w:r w:rsidRPr="00882F8E">
        <w:rPr>
          <w:color w:val="FF0000"/>
          <w:highlight w:val="green"/>
        </w:rPr>
        <w:t>Number</w:t>
      </w:r>
      <w:r>
        <w:t xml:space="preserve"> is unique to the individual Regional Office and may be uniq</w:t>
      </w:r>
      <w:r w:rsidR="00201883">
        <w:t>ue in the state. It is always a</w:t>
      </w:r>
      <w:r>
        <w:t xml:space="preserve"> set of numbers. A site with an </w:t>
      </w:r>
      <w:r w:rsidR="00967966">
        <w:t>I</w:t>
      </w:r>
      <w:r>
        <w:t>ncident</w:t>
      </w:r>
      <w:r w:rsidR="00967966">
        <w:t xml:space="preserve"> </w:t>
      </w:r>
      <w:r>
        <w:t>Number is a site that has had a contamination event occur. Sites that enter our system due to complaints or other situations where contamination did not occur will only have a UST</w:t>
      </w:r>
      <w:r w:rsidR="00967966">
        <w:t xml:space="preserve"> </w:t>
      </w:r>
      <w:r>
        <w:t>Number.</w:t>
      </w:r>
    </w:p>
    <w:p w:rsidR="003F6334" w:rsidRDefault="003F6334" w:rsidP="00003601">
      <w:pPr>
        <w:spacing w:line="240" w:lineRule="auto"/>
      </w:pPr>
      <w:proofErr w:type="spellStart"/>
      <w:r w:rsidRPr="00882F8E">
        <w:rPr>
          <w:color w:val="FF0000"/>
          <w:highlight w:val="cyan"/>
        </w:rPr>
        <w:t>DocGroup</w:t>
      </w:r>
      <w:proofErr w:type="spellEnd"/>
      <w:r>
        <w:t xml:space="preserve"> and </w:t>
      </w:r>
      <w:proofErr w:type="spellStart"/>
      <w:r w:rsidRPr="00882F8E">
        <w:rPr>
          <w:highlight w:val="magenta"/>
        </w:rPr>
        <w:t>DocType</w:t>
      </w:r>
      <w:proofErr w:type="spellEnd"/>
      <w:r>
        <w:t xml:space="preserve"> provide limits to what kind of document the file contains. This information is presented in the following table</w:t>
      </w:r>
      <w:r w:rsidR="00094E60">
        <w:t>, see last column for examples</w:t>
      </w:r>
      <w:r>
        <w:t>.</w:t>
      </w:r>
    </w:p>
    <w:p w:rsidR="00587EBF" w:rsidRDefault="003F6334" w:rsidP="00003601">
      <w:pPr>
        <w:spacing w:line="240" w:lineRule="auto"/>
      </w:pPr>
      <w:r w:rsidRPr="00882F8E">
        <w:rPr>
          <w:highlight w:val="red"/>
        </w:rPr>
        <w:t>YYYYMMDD</w:t>
      </w:r>
      <w:r>
        <w:t xml:space="preserve"> is the date of the document in the format of </w:t>
      </w:r>
      <w:proofErr w:type="spellStart"/>
      <w:r>
        <w:t>YearMonthDay</w:t>
      </w:r>
      <w:proofErr w:type="spellEnd"/>
      <w:r w:rsidR="00967966">
        <w:t>, with no separations</w:t>
      </w:r>
      <w:r>
        <w:t>.</w:t>
      </w:r>
    </w:p>
    <w:p w:rsidR="00151980" w:rsidRDefault="00A22AAF" w:rsidP="00003601">
      <w:pPr>
        <w:spacing w:line="240" w:lineRule="auto"/>
      </w:pPr>
      <w:r w:rsidRPr="00882F8E">
        <w:rPr>
          <w:color w:val="FF0000"/>
          <w:highlight w:val="lightGray"/>
        </w:rPr>
        <w:t>text</w:t>
      </w:r>
      <w:r w:rsidRPr="008609F1">
        <w:rPr>
          <w:color w:val="FF0000"/>
        </w:rPr>
        <w:t xml:space="preserve"> </w:t>
      </w:r>
      <w:r>
        <w:t xml:space="preserve">is an optional identifier, </w:t>
      </w:r>
      <w:r w:rsidR="008609F1">
        <w:t xml:space="preserve">use abbreviations found in the </w:t>
      </w:r>
      <w:proofErr w:type="spellStart"/>
      <w:r w:rsidR="008609F1">
        <w:t>DocType</w:t>
      </w:r>
      <w:proofErr w:type="spellEnd"/>
      <w:r w:rsidR="008609F1">
        <w:t xml:space="preserve"> column in the table</w:t>
      </w:r>
      <w:r w:rsidR="00CA083C">
        <w:t xml:space="preserve"> and</w:t>
      </w:r>
      <w:r w:rsidR="006F1745">
        <w:t>/or</w:t>
      </w:r>
      <w:r w:rsidR="00CA083C">
        <w:t xml:space="preserve"> short descriptions</w:t>
      </w:r>
      <w:r w:rsidR="008609F1">
        <w:t>.</w:t>
      </w:r>
    </w:p>
    <w:p w:rsidR="00201883" w:rsidRDefault="00201883" w:rsidP="00003601">
      <w:pPr>
        <w:spacing w:line="240" w:lineRule="auto"/>
        <w:sectPr w:rsidR="00201883" w:rsidSect="001519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7EBF" w:rsidRDefault="00003601">
      <w:r>
        <w:lastRenderedPageBreak/>
        <w:t xml:space="preserve">UST </w:t>
      </w:r>
      <w:proofErr w:type="spellStart"/>
      <w:r>
        <w:t>DocGroup</w:t>
      </w:r>
      <w:proofErr w:type="spellEnd"/>
      <w:r>
        <w:t xml:space="preserve"> and </w:t>
      </w:r>
      <w:proofErr w:type="spellStart"/>
      <w:r>
        <w:t>DocTypes</w:t>
      </w:r>
      <w:proofErr w:type="spellEnd"/>
      <w:r>
        <w:t xml:space="preserve"> (If changes occur an updated table will be posted on our website)</w:t>
      </w:r>
    </w:p>
    <w:p w:rsidR="006F691F" w:rsidRDefault="006F691F"/>
    <w:tbl>
      <w:tblPr>
        <w:tblW w:w="9255" w:type="dxa"/>
        <w:tblLook w:val="04A0" w:firstRow="1" w:lastRow="0" w:firstColumn="1" w:lastColumn="0" w:noHBand="0" w:noVBand="1"/>
      </w:tblPr>
      <w:tblGrid>
        <w:gridCol w:w="2149"/>
        <w:gridCol w:w="728"/>
        <w:gridCol w:w="3600"/>
        <w:gridCol w:w="1235"/>
        <w:gridCol w:w="1543"/>
      </w:tblGrid>
      <w:tr w:rsidR="0015497D" w:rsidRPr="00201883" w:rsidTr="00093532">
        <w:trPr>
          <w:trHeight w:val="300"/>
          <w:tblHeader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Entry Format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Information (CI)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C_CI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Closure Documentation (MISCCLO)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MISCCLO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C_MISCCLO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 (NFA)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C_NFA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Residual Petroleum (NRP)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NRP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C_NRP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Public Notices (PUBNOT)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PUBNOT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C_PUBNOT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Investigation for Permanent Closure-Change in S</w:t>
            </w:r>
            <w:r w:rsidR="003C5CE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r w:rsidR="003C5CEA"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(UST-2)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C_UST-2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Closure Report - Clean Closure (UST-12)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C_UST-12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Closure Report - PIB (UST12PIB)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UST12PIB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C_UST12PIB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20 Day Report (20-DAY)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20-DAY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CA_20-DAY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24-Hr Notification of Discharge Form (UST-62)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CA_UST-62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24-Hr Release and UST Leak Reporting (UST-61)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CA_UST-61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45 Day Report (45-DAY)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45-DAY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CA_45-DAY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Aggressive Fluid Vapor Recovery (AFVR)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AFVR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CA_AFVR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Alternate Water (ALTWTR)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ALTWTR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CA_ALTWTR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Bottled Water (BTLWTR)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BTLWTR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CA_BTLWTR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Bulk Water (BWTR)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BWTR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CA_BWTR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Report (CLO)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CA_CLO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Comprehensive Site </w:t>
            </w:r>
            <w:r w:rsidR="003C5CEA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(CSA)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CSA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CA_CSA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Contractor Information (CNTINF)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CNTINF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CA_CNTINF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Information (CAI)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CAI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CA_CAI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Plan (CAP)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CA_CAP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Deed Recordation (DR)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CA_DR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Field Notes &amp; Test Results (FNTR)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FNTR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CA_FNTR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Free Product Recovery Report (FPR)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FPR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CA_FPR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Free Product Recovery System Specification Report (FPRSS)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FPRSS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CA_FPRSS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Technical Data (TECHDA)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TECHDA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CA_TECHDA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Health Risk Evaluation (HRE)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HRE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CA_HRE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Initial Abatement Action Report (IAR)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CA_IAR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Lab Data (LAB)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CA_LAB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497D" w:rsidRPr="00201883" w:rsidRDefault="0015497D" w:rsidP="0015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497D" w:rsidRPr="00201883" w:rsidRDefault="0015497D" w:rsidP="0015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497D" w:rsidRPr="00201883" w:rsidRDefault="0015497D" w:rsidP="0015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Letter Report (LTRRPT)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497D" w:rsidRPr="00201883" w:rsidRDefault="0015497D" w:rsidP="0015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LTRRPT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15497D" w:rsidRPr="00201883" w:rsidRDefault="0015497D" w:rsidP="0015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CA_LTRRPT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Limited Site Assessment (1 or 2) (LSA)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LSA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CA_LSA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Mobile Multi Phase Extraction (MMPE)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MMPE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CA_MMPE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Report (MRP)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MRP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CA_MRP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 Licensed Surveyor (NCPS)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NCPS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CA_NCPS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New Technology Cleanup Report (NTCP)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NTCP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CA_NTCP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Intent UST Permanent Closure-Change in Service (UST-3)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CA_UST-3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Reports (RPTS)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RPTS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CA_RPTS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POE (POE)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CA_POE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Public Water Supply (PWS)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PWS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CA_PWS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Receptor Survey (RS)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CA_RS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Remediation Monitoring Report (RMR)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RMR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CA_RMR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Check Report (SCH)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SCH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CA_SCH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Cleanup and Site Closure Report (SCSC)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SCSC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CA_SCSC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Closure Report (SCR)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Soil Assessment Report (SAR)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SAR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CA_SAR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Soil Cleanup Plan (SCP)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Soil Excavation Report (SE)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CA_SE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System Enhancement Recommendations (SER)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CA_SER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Tank Closure Report (TCR)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TCR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CA_TCR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Suspected Release Notification (24-Hour) (UST-17A)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UST-17A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CA_UST-17A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Suspected Release Notification (7-Day) (UST-17B)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UST-17B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CA_UST-17B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Variance Report (VR)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VR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CA_VR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Water Supply Well (WSW)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WSW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CA_WSW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Waterline (WL)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CA_WL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Well Records (WR)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CA_WR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10-Day Letter (10-DAY)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10-DAY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E_10-DAY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Administrative Order on </w:t>
            </w:r>
            <w:r w:rsidR="003C5CEA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Consent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(AOC)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AOC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E_AOC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Civil Penalty Assessment (CPA)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CPA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E_CPA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 Order (CO)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E_CO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Immediate Action Notice of Violation (IANOV)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IANOV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E_IANOV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Violation (NOV)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NOV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E_NOV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Owner-Operator Responses to NOV (OORESP)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OORESP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E_OORESP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Settlement Agreement (SA)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E_SA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 of Insurance (CERTINS)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CERTINS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F_CERTINS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Fee Adjustment Documentation (FEEAD)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FEEAD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F_FEEAD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Invoice-Fee Payment Information (PMTINFO)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PMTINFO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F_PMTINFO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 Certification Form (NCCERT)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NCCERT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F_NCCERT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Pre-approval Task Authorization (PATA)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PATA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F_PATA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Refund Documentation (REFDOC)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REFDOC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F_REFDOC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Settlement Agreements-Third Party Claims (SA)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F_SA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State Lead Task Authorization (SLTA)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F_SLTA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Acceptance Letter (ACCLTR)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ACCLTR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G_ACCLTR</w:t>
            </w:r>
          </w:p>
        </w:tc>
      </w:tr>
      <w:tr w:rsidR="00AA275B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Access Agreement (ACCAGMT)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ACCAGMT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G_ACCAGMT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Alternate Fuels Compatibility Checklist (UST-20)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G_UST-20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Containment Sump Visual Inspections (UST-22C)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Interstitial Sensor Operability Check (UST-22B)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Overfill Prevention Operability Check (UST-22A)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UST Equipment Operability (UST-22)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to Install or Replace UST (Post) (UST-6B)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G_UST-6B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to Install or Replace UST (Pre) (UST-6A)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G_UST-6A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Attorney Correspondence (ATNYCOR)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ATNYCOR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G_ATNYCOR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 - No Visible Corrosion on Metal Piping Components (UST-24)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G_UST-24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Certification of LD Exemption for Piping (UST-19)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G_UST-19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Change of Ownership Notification (UST-15)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G_UST-15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Compartmented Tank Notification (UST-13)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G_UST-13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 Assistance Visit (CAV)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CAV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G_CAV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CP System Evaluation (Impressed Current) (UST-7B)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UST-7B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G_UST-7B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CP System Evaluation (Sacrificial Anode) (UST-7A)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UST-7A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G_UST-7A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IC CP Sys 60-Day Record of Rectifier Op (UST-21)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G_UST-21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Intent to Install - Old Form (UST-6)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G_UST-6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Notice of Intent to Install Vapor </w:t>
            </w:r>
            <w:proofErr w:type="gramStart"/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gramEnd"/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GW Monitoring Sys (UST-4)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G_UST-4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Regulatory Requirement (NORR)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NORR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G_NORR</w:t>
            </w:r>
          </w:p>
        </w:tc>
      </w:tr>
      <w:tr w:rsidR="00AA275B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Notification of Activ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ies Involving USTs (EPA7530-1)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EPA7530-1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G_EPA7530-1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Notification of Activ</w:t>
            </w:r>
            <w:r w:rsidR="00AA275B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ies Involving USTs (UST-1)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Notification of Activ</w:t>
            </w:r>
            <w:r w:rsidR="00AA275B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ies Involving USTs (UST-8)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G_UST-8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Oil Terminal Facility Registration (OTF-1)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OTF-1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G_OTF-1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Ownership of USTS (UST-15A)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UST-15A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G_UST-15A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Pictures and Diagrams (PICDIAG)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PICDIAG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G_PICDIAG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Risk Ranking Abatement (RRA)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RRA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G_RRA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Investigation Report for Install of Vapor-GWM Sys (UST-5)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G_UST-5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STF Eligibility Information (ELIG)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ELIG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G_ELIG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Technical Assistance (TA)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G_TA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Triennial UST Containment Sump-UDC Integrity Testing (UST-23B)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Triennial UST </w:t>
            </w:r>
            <w:r w:rsidR="003C5CEA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Interstice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Integrity Testing (UST-23D)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G_UST-23D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Triennial UST Piping Integrity Testing (UST-23C)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Triennial UST Spill Bucket Integrity Testing (UST-23A)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Upgrade Notification for USTs (UPGRADE)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UPGRADE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G_UPGRADE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Groundwater (GW)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Comprehensive Monitoring Event (CME)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CME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GW_CME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Groundwater (GW)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GW_C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Groundwater (GW)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Complaint Investigation (CMP)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CMP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I_CMP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Inspection Checklist (UST-10B)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UST-10B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I_UST-10B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Installation Inspection Checklist (UST-10A)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UST-10A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I_UST-10A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Inspection/Investigation Letters (MISINSP)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MISINSP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I_MISINSP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Pictures and Diagrams (PICDIAG)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PICDIAG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I_PICDIAG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Primary Operator Certificate (POCERT)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POCERT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I_POCERT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DENR (DENR)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DENR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M_DENR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Site Assessment (1 or 2) (ESA)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ESA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M_ESA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 (MISC)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M_MISC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 (NFA)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M_NFA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Reports (RPTS)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RPTS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M_RPTS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 (RP)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M_RP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 of Approval for Storage/Treatment of Soil (SR-71)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SR-71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P_SR-71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P_C</w:t>
            </w:r>
          </w:p>
        </w:tc>
      </w:tr>
      <w:tr w:rsidR="00AA275B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Denial of Permit Letter (PERMDEN)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AA275B" w:rsidRPr="00201883" w:rsidRDefault="00093532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PERMDEN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A275B" w:rsidRPr="00201883" w:rsidRDefault="00AA275B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P_PERMDEN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Documentation Received for Release of Permit (DOCREL)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DOCREL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P_DOCREL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Invoice and Compliance Questionnaire (INVCQ)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INVCQ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P_INVCQ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Land App Agreem</w:t>
            </w:r>
            <w:r w:rsidR="003C5CEA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bookmarkStart w:id="0" w:name="_GoBack"/>
            <w:bookmarkEnd w:id="0"/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 Contain/Treat Soils on Private Lands (SR-72)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SR-72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P_SR-72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Leak Detection Records (LDREC)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LDREC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P_LDREC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Manual Tank Gauging Records (UST-16)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P_UST-16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Well Permit (MW)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MW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P_MW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Non-Discharge Permit Application for Soil Remediation (SR-70)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SR-70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P_SR-70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Non-Discharge Permit Report (NDP)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NDP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P_NDP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NPDES Permits (NPDES)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NPDES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P_NPDES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Oil Terminal Certificate (OILTERM)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OILTERM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P_OILTERM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P_O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Rejection Letter (PERMREJ)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PERMREJ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P_PERMREJ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Permitting Information (PI)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P_PI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POTW Monitoring Report (POTW)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POTW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P_POTW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UIC/Injection Permit (UIC)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UIC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P_UIC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Permit-Certificate (USTPERM)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USTPERM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P_USTPERM</w:t>
            </w:r>
          </w:p>
        </w:tc>
      </w:tr>
      <w:tr w:rsidR="0015497D" w:rsidRPr="00201883" w:rsidTr="0009353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Section Groundwater Quality Monitoring (UST-59)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UST-59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5497D" w:rsidRPr="00201883" w:rsidRDefault="0015497D" w:rsidP="0020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P_UST-59</w:t>
            </w:r>
          </w:p>
        </w:tc>
      </w:tr>
    </w:tbl>
    <w:p w:rsidR="003F6334" w:rsidRDefault="003F6334" w:rsidP="00D55701"/>
    <w:sectPr w:rsidR="003F6334" w:rsidSect="00AA2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5B" w:rsidRDefault="00AA275B" w:rsidP="00A14823">
      <w:pPr>
        <w:spacing w:after="0" w:line="240" w:lineRule="auto"/>
      </w:pPr>
      <w:r>
        <w:separator/>
      </w:r>
    </w:p>
  </w:endnote>
  <w:endnote w:type="continuationSeparator" w:id="0">
    <w:p w:rsidR="00AA275B" w:rsidRDefault="00AA275B" w:rsidP="00A1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5B" w:rsidRDefault="00AA2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5B" w:rsidRPr="00A14823" w:rsidRDefault="00AA275B" w:rsidP="00A14823">
    <w:pPr>
      <w:pStyle w:val="Footer"/>
      <w:jc w:val="right"/>
      <w:rPr>
        <w:sz w:val="16"/>
        <w:szCs w:val="16"/>
      </w:rPr>
    </w:pPr>
    <w:r w:rsidRPr="00A14823">
      <w:rPr>
        <w:sz w:val="16"/>
        <w:szCs w:val="16"/>
      </w:rPr>
      <w:t>February 9,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5B" w:rsidRDefault="00AA2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5B" w:rsidRDefault="00AA275B" w:rsidP="00A14823">
      <w:pPr>
        <w:spacing w:after="0" w:line="240" w:lineRule="auto"/>
      </w:pPr>
      <w:r>
        <w:separator/>
      </w:r>
    </w:p>
  </w:footnote>
  <w:footnote w:type="continuationSeparator" w:id="0">
    <w:p w:rsidR="00AA275B" w:rsidRDefault="00AA275B" w:rsidP="00A1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5B" w:rsidRDefault="00AA2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5B" w:rsidRDefault="00AA2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5B" w:rsidRDefault="00AA2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6CF"/>
    <w:multiLevelType w:val="hybridMultilevel"/>
    <w:tmpl w:val="1A98905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1E"/>
    <w:rsid w:val="00003601"/>
    <w:rsid w:val="00031E88"/>
    <w:rsid w:val="00093532"/>
    <w:rsid w:val="00094E60"/>
    <w:rsid w:val="00151980"/>
    <w:rsid w:val="0015497D"/>
    <w:rsid w:val="00201883"/>
    <w:rsid w:val="003C5CEA"/>
    <w:rsid w:val="003F6334"/>
    <w:rsid w:val="004D714F"/>
    <w:rsid w:val="00512BFC"/>
    <w:rsid w:val="00587EBF"/>
    <w:rsid w:val="00627B6E"/>
    <w:rsid w:val="006F1745"/>
    <w:rsid w:val="006F691F"/>
    <w:rsid w:val="00733F98"/>
    <w:rsid w:val="00805933"/>
    <w:rsid w:val="008609F1"/>
    <w:rsid w:val="00882F8E"/>
    <w:rsid w:val="00967966"/>
    <w:rsid w:val="00A14823"/>
    <w:rsid w:val="00A22AAF"/>
    <w:rsid w:val="00A77A90"/>
    <w:rsid w:val="00AA275B"/>
    <w:rsid w:val="00AE0B4A"/>
    <w:rsid w:val="00B77122"/>
    <w:rsid w:val="00CA083C"/>
    <w:rsid w:val="00CD6713"/>
    <w:rsid w:val="00D00E95"/>
    <w:rsid w:val="00D55701"/>
    <w:rsid w:val="00DA05EE"/>
    <w:rsid w:val="00DC0C9F"/>
    <w:rsid w:val="00E00C30"/>
    <w:rsid w:val="00E26D1E"/>
    <w:rsid w:val="00E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334D"/>
  <w15:chartTrackingRefBased/>
  <w15:docId w15:val="{E5A9D45C-6DBF-461B-B348-3A82061F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23"/>
  </w:style>
  <w:style w:type="paragraph" w:styleId="Footer">
    <w:name w:val="footer"/>
    <w:basedOn w:val="Normal"/>
    <w:link w:val="FooterChar"/>
    <w:uiPriority w:val="99"/>
    <w:unhideWhenUsed/>
    <w:rsid w:val="00A1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Linda</dc:creator>
  <cp:keywords/>
  <dc:description/>
  <cp:lastModifiedBy>Smith, Linda</cp:lastModifiedBy>
  <cp:revision>3</cp:revision>
  <cp:lastPrinted>2018-01-09T12:57:00Z</cp:lastPrinted>
  <dcterms:created xsi:type="dcterms:W3CDTF">2018-03-19T19:36:00Z</dcterms:created>
  <dcterms:modified xsi:type="dcterms:W3CDTF">2018-03-19T19:38:00Z</dcterms:modified>
</cp:coreProperties>
</file>