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8B4" w:rsidRPr="001C08B4" w:rsidRDefault="001C08B4" w:rsidP="001C08B4">
      <w:pPr>
        <w:pStyle w:val="BodyText"/>
        <w:ind w:firstLine="720"/>
        <w:jc w:val="center"/>
        <w:rPr>
          <w:b/>
          <w:szCs w:val="22"/>
        </w:rPr>
      </w:pPr>
      <w:r w:rsidRPr="001C08B4">
        <w:rPr>
          <w:b/>
          <w:szCs w:val="22"/>
        </w:rPr>
        <w:t>NC DENR - Division of Waste Management - UST Section</w:t>
      </w:r>
    </w:p>
    <w:p w:rsidR="001C08B4" w:rsidRPr="001C08B4" w:rsidRDefault="001C08B4" w:rsidP="001C08B4">
      <w:pPr>
        <w:pStyle w:val="BodyText"/>
        <w:spacing w:before="120" w:after="120"/>
        <w:ind w:left="540" w:hanging="360"/>
        <w:jc w:val="center"/>
        <w:rPr>
          <w:b/>
          <w:sz w:val="22"/>
          <w:szCs w:val="22"/>
        </w:rPr>
      </w:pPr>
      <w:r w:rsidRPr="001C08B4">
        <w:rPr>
          <w:b/>
          <w:sz w:val="22"/>
          <w:szCs w:val="22"/>
        </w:rPr>
        <w:t>List of Allowable Task</w:t>
      </w:r>
      <w:r w:rsidR="00C03A62">
        <w:rPr>
          <w:b/>
          <w:sz w:val="22"/>
          <w:szCs w:val="22"/>
        </w:rPr>
        <w:t xml:space="preserve"> Codes for Preliminary Risk Ree</w:t>
      </w:r>
      <w:r w:rsidRPr="001C08B4">
        <w:rPr>
          <w:b/>
          <w:sz w:val="22"/>
          <w:szCs w:val="22"/>
        </w:rPr>
        <w:t>valuation following Site Prioritization</w:t>
      </w:r>
    </w:p>
    <w:p w:rsidR="001C08B4" w:rsidRPr="001C08B4" w:rsidRDefault="001C08B4" w:rsidP="001C08B4">
      <w:pPr>
        <w:pStyle w:val="BodyText"/>
        <w:jc w:val="center"/>
        <w:rPr>
          <w:i/>
          <w:sz w:val="22"/>
          <w:szCs w:val="22"/>
        </w:rPr>
      </w:pPr>
      <w:r w:rsidRPr="001C08B4">
        <w:rPr>
          <w:i/>
          <w:sz w:val="22"/>
          <w:szCs w:val="22"/>
        </w:rPr>
        <w:t>(See the 2010 Reasonable Rate Document for additional details on each task)</w:t>
      </w:r>
    </w:p>
    <w:p w:rsidR="001C08B4" w:rsidRPr="001C08B4" w:rsidRDefault="001C08B4" w:rsidP="001C08B4">
      <w:pPr>
        <w:pStyle w:val="BodyText"/>
        <w:ind w:left="540" w:hanging="360"/>
        <w:jc w:val="center"/>
        <w:rPr>
          <w:b/>
          <w:sz w:val="22"/>
          <w:szCs w:val="22"/>
        </w:rPr>
      </w:pPr>
    </w:p>
    <w:p w:rsidR="001C08B4" w:rsidRPr="001C08B4" w:rsidRDefault="001C08B4" w:rsidP="001C08B4">
      <w:pPr>
        <w:pStyle w:val="BodyText"/>
        <w:ind w:left="540" w:hanging="360"/>
        <w:jc w:val="center"/>
        <w:rPr>
          <w:b/>
          <w:sz w:val="22"/>
          <w:szCs w:val="22"/>
        </w:rPr>
      </w:pPr>
    </w:p>
    <w:p w:rsidR="001C08B4" w:rsidRPr="001C08B4" w:rsidRDefault="001C08B4" w:rsidP="001C08B4">
      <w:pPr>
        <w:jc w:val="both"/>
        <w:rPr>
          <w:sz w:val="22"/>
          <w:szCs w:val="22"/>
        </w:rPr>
      </w:pPr>
      <w:r w:rsidRPr="001C08B4">
        <w:rPr>
          <w:b/>
          <w:sz w:val="22"/>
          <w:szCs w:val="22"/>
        </w:rPr>
        <w:t>1.010</w:t>
      </w:r>
    </w:p>
    <w:p w:rsidR="001C08B4" w:rsidRPr="001C08B4" w:rsidRDefault="001C08B4" w:rsidP="001C08B4">
      <w:pPr>
        <w:pStyle w:val="BodyText"/>
        <w:rPr>
          <w:sz w:val="22"/>
          <w:szCs w:val="22"/>
        </w:rPr>
      </w:pPr>
      <w:r w:rsidRPr="001C08B4">
        <w:rPr>
          <w:b/>
          <w:sz w:val="22"/>
          <w:szCs w:val="22"/>
        </w:rPr>
        <w:t>Initial Project Review and Setup:</w:t>
      </w:r>
      <w:r w:rsidRPr="001C08B4">
        <w:rPr>
          <w:sz w:val="22"/>
          <w:szCs w:val="22"/>
        </w:rPr>
        <w:t xml:space="preserve"> This SOW includes review of existing site data, including incident information, past site history, agency requirements (NOV, NORR, etc.), previous assessments and remediation (closure reports, CSA, CAP, etc.).  SOW assumes client will provide consultant with all available information plus all reimbursement documentation.  SOW will also include one visit to the appropriate Regional Office to copy and review any needed documentation.  SOW includes file-copying costs, consultant mileage and travel time. This task is allowable only when a new primary consultant begins work at a site where an Initial Abatement Action Report has been generated by a prior consultant.  Subcontractors are not eligible for reimbursement of this task.  This task is not repeatable.  Responsible parties who contract with Environmental Service Providers and then change providers for whatever reason, will be responsible for this task after the initial payment. This task does not apply for changes in project managers within a firm, contracts maintained by the same project manager when changing firms, the reactivation of years-dormant sites by the same firm responsible for the prior work, or for internal reorganization following a merger or takeover of one firm by another.</w:t>
      </w:r>
    </w:p>
    <w:p w:rsidR="001C08B4" w:rsidRPr="001C08B4" w:rsidRDefault="001C08B4" w:rsidP="001C08B4">
      <w:pPr>
        <w:pStyle w:val="BodyText"/>
        <w:rPr>
          <w:sz w:val="22"/>
          <w:szCs w:val="22"/>
        </w:rPr>
      </w:pPr>
    </w:p>
    <w:p w:rsidR="001C08B4" w:rsidRPr="001C08B4" w:rsidRDefault="001C08B4" w:rsidP="001C08B4">
      <w:pPr>
        <w:jc w:val="both"/>
        <w:rPr>
          <w:b/>
          <w:sz w:val="22"/>
          <w:szCs w:val="22"/>
        </w:rPr>
      </w:pPr>
      <w:r w:rsidRPr="001C08B4">
        <w:rPr>
          <w:b/>
          <w:sz w:val="22"/>
          <w:szCs w:val="22"/>
        </w:rPr>
        <w:t xml:space="preserve">1.025 </w:t>
      </w:r>
    </w:p>
    <w:p w:rsidR="001C08B4" w:rsidRPr="001C08B4" w:rsidRDefault="001C08B4" w:rsidP="001C08B4">
      <w:pPr>
        <w:jc w:val="both"/>
        <w:rPr>
          <w:sz w:val="22"/>
          <w:szCs w:val="22"/>
        </w:rPr>
      </w:pPr>
      <w:r w:rsidRPr="001C08B4">
        <w:rPr>
          <w:b/>
          <w:sz w:val="22"/>
          <w:szCs w:val="22"/>
        </w:rPr>
        <w:t>Site Reconnaissance and Receptor Survey Update:</w:t>
      </w:r>
      <w:r w:rsidRPr="001C08B4">
        <w:rPr>
          <w:sz w:val="22"/>
          <w:szCs w:val="22"/>
        </w:rPr>
        <w:t xml:space="preserve"> This task is to be conducted when specifically requested by the Regional Office and pre-approved by the Division.  Pre-approval of this task should not exceed one receptor survey per every five years unless other site-specific information determines a need for the update.  The RP is expected (by rule and guideline) to review the status of potential receptors continuously, providing updates of the status with every report submitted.  Such a review does not demand a full survey.  The scope of this task is similar to that of Task 1.020 [in the 2010 Reasonable Rate Document (2010 RRD)].  The consultant is expected to review the current site reconnaissance/survey report on file and to update the well user information and/or waterline information.  The report should consist of an updated table of the well users in the area and an updated map. SOW includes data review, evaluation, reporting (client, property owners, Regional Office), consultant mileage and per diems and the purchase of required maps.  If a previous consultant has already completed this task, it should not be duplicated unless requested and pre-approved by the Regional Office. </w:t>
      </w:r>
    </w:p>
    <w:p w:rsidR="001C08B4" w:rsidRPr="001C08B4" w:rsidRDefault="001C08B4" w:rsidP="001C08B4">
      <w:pPr>
        <w:pStyle w:val="BodyText"/>
        <w:rPr>
          <w:i/>
          <w:strike/>
          <w:sz w:val="22"/>
          <w:szCs w:val="22"/>
        </w:rPr>
      </w:pPr>
    </w:p>
    <w:p w:rsidR="001C08B4" w:rsidRPr="001C08B4" w:rsidRDefault="001C08B4" w:rsidP="001C08B4">
      <w:pPr>
        <w:pStyle w:val="BodyText"/>
        <w:ind w:left="360" w:hanging="360"/>
        <w:jc w:val="both"/>
        <w:rPr>
          <w:b/>
          <w:sz w:val="22"/>
          <w:szCs w:val="22"/>
        </w:rPr>
      </w:pPr>
      <w:r w:rsidRPr="001C08B4">
        <w:rPr>
          <w:b/>
          <w:sz w:val="22"/>
          <w:szCs w:val="22"/>
        </w:rPr>
        <w:t>1.040</w:t>
      </w:r>
      <w:r w:rsidRPr="001C08B4">
        <w:rPr>
          <w:b/>
          <w:sz w:val="22"/>
          <w:szCs w:val="22"/>
        </w:rPr>
        <w:tab/>
        <w:t>Health &amp; Safety Plan</w:t>
      </w:r>
    </w:p>
    <w:p w:rsidR="006C52F0" w:rsidRPr="006C52F0" w:rsidRDefault="006C52F0" w:rsidP="006C52F0">
      <w:pPr>
        <w:jc w:val="both"/>
        <w:rPr>
          <w:sz w:val="22"/>
          <w:szCs w:val="24"/>
        </w:rPr>
      </w:pPr>
      <w:r w:rsidRPr="006C52F0">
        <w:rPr>
          <w:sz w:val="22"/>
          <w:szCs w:val="24"/>
        </w:rPr>
        <w:t>The SOW includes preparation of a health and safety plan for all planned activities at the site which includes drilling</w:t>
      </w:r>
      <w:r>
        <w:rPr>
          <w:sz w:val="22"/>
          <w:szCs w:val="24"/>
        </w:rPr>
        <w:t xml:space="preserve"> or</w:t>
      </w:r>
      <w:r w:rsidRPr="006C52F0">
        <w:rPr>
          <w:sz w:val="22"/>
          <w:szCs w:val="24"/>
        </w:rPr>
        <w:t xml:space="preserve"> any other</w:t>
      </w:r>
      <w:r>
        <w:rPr>
          <w:sz w:val="22"/>
          <w:szCs w:val="24"/>
        </w:rPr>
        <w:t xml:space="preserve"> approved</w:t>
      </w:r>
      <w:r w:rsidRPr="006C52F0">
        <w:rPr>
          <w:sz w:val="22"/>
          <w:szCs w:val="24"/>
        </w:rPr>
        <w:t xml:space="preserve"> activit</w:t>
      </w:r>
      <w:r>
        <w:rPr>
          <w:sz w:val="22"/>
          <w:szCs w:val="24"/>
        </w:rPr>
        <w:t>y</w:t>
      </w:r>
      <w:r w:rsidRPr="006C52F0">
        <w:rPr>
          <w:sz w:val="22"/>
          <w:szCs w:val="24"/>
        </w:rPr>
        <w:t xml:space="preserve"> that requires heavy or mobile equipment.  Plan should be generated from data gathered in Task 1.020 and 1.025 (if applicable) and should be in accordance with OSHA regulations (29 CFR 1910.120). The Regional Office, prior to requesting reimbursement for this task, must have received the Health and Safety Plan or no reimbursement will be approved.  This task is </w:t>
      </w:r>
      <w:r>
        <w:rPr>
          <w:sz w:val="22"/>
          <w:szCs w:val="24"/>
        </w:rPr>
        <w:t>available</w:t>
      </w:r>
      <w:r w:rsidRPr="006C52F0">
        <w:rPr>
          <w:sz w:val="22"/>
          <w:szCs w:val="24"/>
        </w:rPr>
        <w:t xml:space="preserve"> only if there </w:t>
      </w:r>
      <w:r>
        <w:rPr>
          <w:sz w:val="22"/>
          <w:szCs w:val="24"/>
        </w:rPr>
        <w:t>has been</w:t>
      </w:r>
      <w:r w:rsidRPr="006C52F0">
        <w:rPr>
          <w:sz w:val="22"/>
          <w:szCs w:val="24"/>
        </w:rPr>
        <w:t xml:space="preserve"> a change in the primary consultant at the site</w:t>
      </w:r>
      <w:r>
        <w:rPr>
          <w:sz w:val="22"/>
          <w:szCs w:val="24"/>
        </w:rPr>
        <w:t xml:space="preserve"> since any prior work was completed</w:t>
      </w:r>
      <w:r w:rsidRPr="006C52F0">
        <w:rPr>
          <w:sz w:val="22"/>
          <w:szCs w:val="24"/>
        </w:rPr>
        <w:t>.</w:t>
      </w:r>
    </w:p>
    <w:p w:rsidR="001C08B4" w:rsidRPr="001C08B4" w:rsidRDefault="001C08B4" w:rsidP="001C08B4">
      <w:pPr>
        <w:rPr>
          <w:sz w:val="22"/>
          <w:szCs w:val="22"/>
        </w:rPr>
      </w:pPr>
    </w:p>
    <w:p w:rsidR="001C08B4" w:rsidRPr="001C08B4" w:rsidRDefault="001C08B4" w:rsidP="001C08B4">
      <w:pPr>
        <w:jc w:val="both"/>
        <w:rPr>
          <w:sz w:val="22"/>
          <w:szCs w:val="22"/>
        </w:rPr>
      </w:pPr>
      <w:r w:rsidRPr="001C08B4">
        <w:rPr>
          <w:b/>
          <w:sz w:val="22"/>
          <w:szCs w:val="22"/>
        </w:rPr>
        <w:t>3.101</w:t>
      </w:r>
    </w:p>
    <w:p w:rsidR="001C08B4" w:rsidRPr="001C08B4" w:rsidRDefault="001C08B4" w:rsidP="001C08B4">
      <w:pPr>
        <w:jc w:val="both"/>
        <w:rPr>
          <w:sz w:val="22"/>
          <w:szCs w:val="22"/>
        </w:rPr>
      </w:pPr>
      <w:r w:rsidRPr="001C08B4">
        <w:rPr>
          <w:b/>
          <w:sz w:val="22"/>
          <w:szCs w:val="22"/>
        </w:rPr>
        <w:t>Consultant Supervision of Drilling:</w:t>
      </w:r>
      <w:r w:rsidRPr="001C08B4">
        <w:rPr>
          <w:sz w:val="22"/>
          <w:szCs w:val="22"/>
        </w:rPr>
        <w:t xml:space="preserve"> [This SOW is only valid if soil sampling is required and the location cannot be accessed with hand augers, or where a grab groundwater sam</w:t>
      </w:r>
      <w:bookmarkStart w:id="0" w:name="_GoBack"/>
      <w:bookmarkEnd w:id="0"/>
      <w:r w:rsidRPr="001C08B4">
        <w:rPr>
          <w:sz w:val="22"/>
          <w:szCs w:val="22"/>
        </w:rPr>
        <w:t xml:space="preserve">ple is necessary in an area without an existing well.] This SOW includes all field personnel, travel, and necessary equipment to supervise and manage drilling activities. Included in the SOW, the consultant is required to ensure completion of all boring logs, well construction records, and retrieve all necessary soil samples. Supervisory time shall not exceed drilling time and may not be claimed if the driller is the supervisor.  It is the responsibility of the consultant to keep detailed records of when the drilling began (groundbreaking) and when drilling ended (installation of the sand pack). This task is not applicable for supervision of soil borings installed by hand- </w:t>
      </w:r>
      <w:r w:rsidRPr="001C08B4">
        <w:rPr>
          <w:sz w:val="22"/>
          <w:szCs w:val="22"/>
        </w:rPr>
        <w:lastRenderedPageBreak/>
        <w:t xml:space="preserve">or power-auger, but may be used if wells are being installed by these methods as a N.C. Certified Well Driller is required for all well installation.  </w:t>
      </w:r>
    </w:p>
    <w:p w:rsidR="001C08B4" w:rsidRPr="001C08B4" w:rsidRDefault="001C08B4" w:rsidP="001C08B4">
      <w:pPr>
        <w:jc w:val="both"/>
        <w:rPr>
          <w:sz w:val="22"/>
          <w:szCs w:val="22"/>
        </w:rPr>
      </w:pPr>
    </w:p>
    <w:p w:rsidR="001C08B4" w:rsidRPr="001C08B4" w:rsidRDefault="001C08B4" w:rsidP="001C08B4">
      <w:pPr>
        <w:jc w:val="both"/>
        <w:rPr>
          <w:sz w:val="22"/>
          <w:szCs w:val="22"/>
        </w:rPr>
      </w:pPr>
      <w:r w:rsidRPr="001C08B4">
        <w:rPr>
          <w:sz w:val="22"/>
          <w:szCs w:val="22"/>
        </w:rPr>
        <w:t xml:space="preserve">The maximum reimbursable cost for this task is $10 per foot of total depth for soil boring and Type II well installations (1”-, 2”-, and 4”-diameter wells), and $15 per foot for Type III telescoping well installations.  Where compelling evidence is provided to show extreme difficulty in the installation of wells in competent bedrock, the $15 per foot rate may also be preapproved for only the rock portion of the total boring, at the discretion of Division personnel.  In all cases, total eligible well depth may not exceed the measured depth to water by more than 10 feet (unless otherwise authorized by the Division for deep and/or bedrock wells.) Please complete and attach Secondary Form Sec-F.  </w:t>
      </w:r>
    </w:p>
    <w:p w:rsidR="001C08B4" w:rsidRPr="001C08B4" w:rsidRDefault="001C08B4" w:rsidP="001C08B4">
      <w:pPr>
        <w:rPr>
          <w:sz w:val="22"/>
          <w:szCs w:val="22"/>
        </w:rPr>
      </w:pPr>
    </w:p>
    <w:p w:rsidR="001C08B4" w:rsidRPr="001C08B4" w:rsidRDefault="001C08B4" w:rsidP="001C08B4">
      <w:pPr>
        <w:jc w:val="both"/>
        <w:rPr>
          <w:sz w:val="22"/>
          <w:szCs w:val="22"/>
        </w:rPr>
      </w:pPr>
      <w:r w:rsidRPr="001C08B4">
        <w:rPr>
          <w:b/>
          <w:sz w:val="22"/>
          <w:szCs w:val="22"/>
        </w:rPr>
        <w:t>3.111</w:t>
      </w:r>
    </w:p>
    <w:p w:rsidR="001C08B4" w:rsidRPr="001C08B4" w:rsidRDefault="001C08B4" w:rsidP="001C08B4">
      <w:pPr>
        <w:jc w:val="both"/>
        <w:rPr>
          <w:sz w:val="22"/>
          <w:szCs w:val="22"/>
        </w:rPr>
      </w:pPr>
      <w:r w:rsidRPr="001C08B4">
        <w:rPr>
          <w:b/>
          <w:sz w:val="22"/>
          <w:szCs w:val="22"/>
        </w:rPr>
        <w:t>Cost for Soil Boring (Code HA or SB):</w:t>
      </w:r>
      <w:r w:rsidRPr="001C08B4">
        <w:rPr>
          <w:sz w:val="22"/>
          <w:szCs w:val="22"/>
        </w:rPr>
        <w:t xml:space="preserve"> Maximum rate includes all drilling costs including boring abandonment. Field supervision costs (Task 3.101) for hand- and power-augered borings are not reimbursable.  Please complete and attach Secondary Form Sec-F.  Price is per foot.</w:t>
      </w:r>
    </w:p>
    <w:p w:rsidR="001C08B4" w:rsidRPr="001C08B4" w:rsidRDefault="001C08B4" w:rsidP="001C08B4">
      <w:pPr>
        <w:jc w:val="both"/>
        <w:rPr>
          <w:sz w:val="22"/>
          <w:szCs w:val="22"/>
        </w:rPr>
      </w:pPr>
    </w:p>
    <w:p w:rsidR="001C08B4" w:rsidRPr="001C08B4" w:rsidRDefault="001C08B4" w:rsidP="001C08B4">
      <w:pPr>
        <w:jc w:val="both"/>
        <w:rPr>
          <w:b/>
          <w:sz w:val="22"/>
          <w:szCs w:val="22"/>
        </w:rPr>
      </w:pPr>
      <w:r w:rsidRPr="001C08B4">
        <w:rPr>
          <w:b/>
          <w:sz w:val="22"/>
          <w:szCs w:val="22"/>
        </w:rPr>
        <w:t xml:space="preserve">3.398 </w:t>
      </w:r>
    </w:p>
    <w:p w:rsidR="001C08B4" w:rsidRPr="001C08B4" w:rsidRDefault="001C08B4" w:rsidP="001C08B4">
      <w:pPr>
        <w:jc w:val="both"/>
        <w:rPr>
          <w:sz w:val="22"/>
          <w:szCs w:val="22"/>
        </w:rPr>
      </w:pPr>
      <w:r w:rsidRPr="001C08B4">
        <w:rPr>
          <w:b/>
          <w:sz w:val="22"/>
          <w:szCs w:val="22"/>
        </w:rPr>
        <w:t xml:space="preserve">Cost for Drilling Rig/Equipment Mobilization: </w:t>
      </w:r>
      <w:r w:rsidRPr="001C08B4">
        <w:rPr>
          <w:sz w:val="22"/>
          <w:szCs w:val="22"/>
        </w:rPr>
        <w:t xml:space="preserve">[This SOW is only valid if soil sampling is required and the location cannot be accessed with hand augers, or where a grab groundwater sample is necessary in an area without an existing well.] SOW includes mobilization of all drilling equipment and personnel to and from the site.  This task is limited to </w:t>
      </w:r>
      <w:r w:rsidRPr="001C08B4">
        <w:rPr>
          <w:sz w:val="22"/>
          <w:szCs w:val="22"/>
          <w:u w:val="single"/>
        </w:rPr>
        <w:t>drill rigs</w:t>
      </w:r>
      <w:r w:rsidRPr="001C08B4">
        <w:rPr>
          <w:sz w:val="22"/>
          <w:szCs w:val="22"/>
        </w:rPr>
        <w:t xml:space="preserve"> only.  Drill rigs are defined as such equipment that are self-propelled and require a driver or permanently mounted equipment on trucks or vans that cannot be moved by hand.  Equipment capable of being moved by hand is not considered to be a drill rig.  This task is not allowed for hand augurs, power augurs or other equipment not meeting this definition.  If a </w:t>
      </w:r>
      <w:r w:rsidRPr="001C08B4">
        <w:rPr>
          <w:sz w:val="22"/>
          <w:szCs w:val="22"/>
          <w:u w:val="single"/>
        </w:rPr>
        <w:t>well</w:t>
      </w:r>
      <w:r w:rsidRPr="001C08B4">
        <w:rPr>
          <w:sz w:val="22"/>
          <w:szCs w:val="22"/>
        </w:rPr>
        <w:t xml:space="preserve"> is installed with a hand auger, power auger or other non-drill rig equipment, the, subcontracted Certified Well Driller installing this well may use Task 12.010 for travel to and from the site. This task is limited to once per drilling event, regardless of the number of support vehicles or drilling rig types included in the event.  If it is necessary to re-mob to a site due to the inability of the initially selected drilling technology to successfully advance the boring (e.g., to get access under a canopy, hit bedrock with an auger rig, or soft ground causing a big rig to sink) this task may not be requested for reimbursement for the additional trips.  Please complete and attach Secondary Form Sec-F.  </w:t>
      </w:r>
    </w:p>
    <w:p w:rsidR="001C08B4" w:rsidRPr="001C08B4" w:rsidRDefault="001C08B4" w:rsidP="001C08B4">
      <w:pPr>
        <w:jc w:val="both"/>
        <w:rPr>
          <w:strike/>
          <w:sz w:val="22"/>
          <w:szCs w:val="22"/>
        </w:rPr>
      </w:pPr>
    </w:p>
    <w:p w:rsidR="001C08B4" w:rsidRPr="001C08B4" w:rsidRDefault="001C08B4" w:rsidP="001C08B4">
      <w:pPr>
        <w:rPr>
          <w:sz w:val="22"/>
          <w:szCs w:val="22"/>
        </w:rPr>
      </w:pPr>
    </w:p>
    <w:p w:rsidR="001C08B4" w:rsidRPr="001C08B4" w:rsidRDefault="001C08B4" w:rsidP="001C08B4">
      <w:pPr>
        <w:jc w:val="both"/>
        <w:rPr>
          <w:i/>
          <w:sz w:val="22"/>
          <w:szCs w:val="22"/>
        </w:rPr>
      </w:pPr>
      <w:r w:rsidRPr="001C08B4">
        <w:rPr>
          <w:b/>
          <w:i/>
          <w:sz w:val="22"/>
          <w:szCs w:val="22"/>
        </w:rPr>
        <w:t>Please Note:</w:t>
      </w:r>
      <w:r w:rsidRPr="001C08B4">
        <w:rPr>
          <w:i/>
          <w:sz w:val="22"/>
          <w:szCs w:val="22"/>
        </w:rPr>
        <w:t xml:space="preserve"> Cost per foot includes boring and drilling costs, complete well construction, all required labor, well development, equipment use and well materials (i.e. well covers, above ground protectors, well I.D. plates, lockable well caps, solid casing, slotted screen casing, concrete pad, filter sand pack, Bentonite pellets, grout, etc.). Cost per foot also covers any repairs necessary to the wells. Cost for installing wells also includes split spoon </w:t>
      </w:r>
      <w:r w:rsidR="004B4372">
        <w:rPr>
          <w:i/>
          <w:sz w:val="22"/>
          <w:szCs w:val="22"/>
        </w:rPr>
        <w:t xml:space="preserve">soil </w:t>
      </w:r>
      <w:r w:rsidRPr="001C08B4">
        <w:rPr>
          <w:i/>
          <w:sz w:val="22"/>
          <w:szCs w:val="22"/>
        </w:rPr>
        <w:t>samples taken at 5-foot intervals, decontamination of all equipment and all setup charges.</w:t>
      </w:r>
    </w:p>
    <w:p w:rsidR="001C08B4" w:rsidRPr="001C08B4" w:rsidRDefault="001C08B4" w:rsidP="001C08B4">
      <w:pPr>
        <w:jc w:val="both"/>
        <w:rPr>
          <w:i/>
          <w:sz w:val="22"/>
          <w:szCs w:val="22"/>
        </w:rPr>
      </w:pPr>
    </w:p>
    <w:p w:rsidR="001C08B4" w:rsidRPr="001C08B4" w:rsidRDefault="001C08B4" w:rsidP="001C08B4">
      <w:pPr>
        <w:jc w:val="both"/>
        <w:rPr>
          <w:i/>
          <w:sz w:val="22"/>
          <w:szCs w:val="22"/>
        </w:rPr>
      </w:pPr>
      <w:r w:rsidRPr="001C08B4">
        <w:rPr>
          <w:b/>
          <w:i/>
          <w:sz w:val="22"/>
          <w:szCs w:val="22"/>
          <w:u w:val="single"/>
        </w:rPr>
        <w:t>Reimbursement is not allowed for the replacement of wells that have been destroyed</w:t>
      </w:r>
      <w:r w:rsidRPr="001C08B4">
        <w:rPr>
          <w:i/>
          <w:sz w:val="22"/>
          <w:szCs w:val="22"/>
        </w:rPr>
        <w:t xml:space="preserve"> unless the destruction was necessary due to the excavation of soil performed under an approved soil cleanup or corrective action plan.  Costs for the following tasks are not reimbursable if the wells were not installed in accordance with the N.C. well construction standards (15A NCAC 2C).  Any issuance of a NOV for an installed well due to improper construction standards, location (ROW) or well maintenance that results in an order to replace the well will result in denial of reimbursement for all costs associated with the new well and any and all required sampling and reporting from the new well.  For dry wells that could not have been anticipated, reimbursement of drilling is allowed at the same per foot rate as a soil boring.</w:t>
      </w:r>
    </w:p>
    <w:p w:rsidR="001C08B4" w:rsidRPr="001C08B4" w:rsidRDefault="001C08B4" w:rsidP="001C08B4">
      <w:pPr>
        <w:jc w:val="both"/>
        <w:rPr>
          <w:i/>
          <w:sz w:val="22"/>
          <w:szCs w:val="22"/>
        </w:rPr>
      </w:pPr>
    </w:p>
    <w:p w:rsidR="001C08B4" w:rsidRPr="001C08B4" w:rsidRDefault="001C08B4" w:rsidP="001C08B4">
      <w:pPr>
        <w:jc w:val="both"/>
        <w:rPr>
          <w:i/>
          <w:sz w:val="22"/>
          <w:szCs w:val="22"/>
        </w:rPr>
      </w:pPr>
      <w:r w:rsidRPr="001C08B4">
        <w:rPr>
          <w:i/>
          <w:sz w:val="22"/>
          <w:szCs w:val="22"/>
        </w:rPr>
        <w:t>Temporary or direct push wells will be reimbursed according to the diameter of the well and in accordance with the scope of work corresponding to the diameter of the well.</w:t>
      </w:r>
    </w:p>
    <w:p w:rsidR="001C08B4" w:rsidRPr="001C08B4" w:rsidRDefault="001C08B4" w:rsidP="001C08B4">
      <w:pPr>
        <w:rPr>
          <w:sz w:val="22"/>
          <w:szCs w:val="22"/>
        </w:rPr>
      </w:pPr>
    </w:p>
    <w:p w:rsidR="001C08B4" w:rsidRPr="001C08B4" w:rsidRDefault="001C08B4" w:rsidP="001C08B4">
      <w:pPr>
        <w:jc w:val="both"/>
        <w:rPr>
          <w:sz w:val="22"/>
          <w:szCs w:val="22"/>
        </w:rPr>
      </w:pPr>
      <w:r w:rsidRPr="001C08B4">
        <w:rPr>
          <w:b/>
          <w:sz w:val="22"/>
          <w:szCs w:val="22"/>
        </w:rPr>
        <w:lastRenderedPageBreak/>
        <w:t>4.031</w:t>
      </w:r>
    </w:p>
    <w:p w:rsidR="001C08B4" w:rsidRPr="001C08B4" w:rsidRDefault="001C08B4" w:rsidP="001C08B4">
      <w:pPr>
        <w:jc w:val="both"/>
        <w:rPr>
          <w:sz w:val="22"/>
          <w:szCs w:val="22"/>
        </w:rPr>
      </w:pPr>
      <w:r w:rsidRPr="001C08B4">
        <w:rPr>
          <w:b/>
          <w:sz w:val="22"/>
          <w:szCs w:val="22"/>
        </w:rPr>
        <w:t xml:space="preserve">Cost for Sampling a Monitoring Well: </w:t>
      </w:r>
      <w:r w:rsidRPr="001C08B4">
        <w:rPr>
          <w:sz w:val="22"/>
          <w:szCs w:val="22"/>
        </w:rPr>
        <w:t xml:space="preserve"> SOW assumes sampling of monitoring wells of any depth or diameter. SOW includes all necessary expendables, equipment, personnel, sample prep, sample shipping and travel to perform required well gauging, sampling, and water level measurements conducted as part of sampling, purging, calculations, and groundwater sampling.  SOW also includes performing field measurements such as: dissolved oxygen, pH, specific conductivity, temperature, ORP and CO2 as required.  Please complete and attach Secondary Form Sec-G.  Price is per well.  </w:t>
      </w:r>
    </w:p>
    <w:p w:rsidR="001C08B4" w:rsidRPr="001C08B4" w:rsidRDefault="001C08B4" w:rsidP="001C08B4">
      <w:pPr>
        <w:rPr>
          <w:sz w:val="22"/>
          <w:szCs w:val="22"/>
        </w:rPr>
      </w:pPr>
    </w:p>
    <w:p w:rsidR="001C08B4" w:rsidRPr="001C08B4" w:rsidRDefault="001C08B4" w:rsidP="001C08B4">
      <w:pPr>
        <w:jc w:val="both"/>
        <w:rPr>
          <w:sz w:val="22"/>
          <w:szCs w:val="22"/>
        </w:rPr>
      </w:pPr>
      <w:r w:rsidRPr="001C08B4">
        <w:rPr>
          <w:b/>
          <w:sz w:val="22"/>
          <w:szCs w:val="22"/>
        </w:rPr>
        <w:t>4.041</w:t>
      </w:r>
    </w:p>
    <w:p w:rsidR="001C08B4" w:rsidRPr="001C08B4" w:rsidRDefault="001C08B4" w:rsidP="001C08B4">
      <w:pPr>
        <w:jc w:val="both"/>
        <w:rPr>
          <w:sz w:val="22"/>
          <w:szCs w:val="22"/>
        </w:rPr>
      </w:pPr>
      <w:r w:rsidRPr="001C08B4">
        <w:rPr>
          <w:b/>
          <w:sz w:val="22"/>
          <w:szCs w:val="22"/>
        </w:rPr>
        <w:t xml:space="preserve">Cost for Sampling Water Supply Wells: </w:t>
      </w:r>
      <w:r w:rsidRPr="001C08B4">
        <w:rPr>
          <w:sz w:val="22"/>
          <w:szCs w:val="22"/>
        </w:rPr>
        <w:t>SOW assumes sampling of an off-site, non-responsible party, supply well and/or an initial on-site, responsible party owned supply well (i.e. indoor or outdoor spigot).</w:t>
      </w:r>
      <w:r w:rsidR="004B4372">
        <w:rPr>
          <w:sz w:val="22"/>
          <w:szCs w:val="22"/>
        </w:rPr>
        <w:t xml:space="preserve">  S</w:t>
      </w:r>
      <w:r w:rsidR="004B4372" w:rsidRPr="001C08B4">
        <w:rPr>
          <w:sz w:val="22"/>
          <w:szCs w:val="22"/>
        </w:rPr>
        <w:t>ubsequent RP wells samples will not be reimbursed</w:t>
      </w:r>
      <w:r w:rsidR="004B4372">
        <w:rPr>
          <w:sz w:val="22"/>
          <w:szCs w:val="22"/>
        </w:rPr>
        <w:t>;</w:t>
      </w:r>
      <w:r w:rsidR="004B4372" w:rsidRPr="001C08B4">
        <w:rPr>
          <w:sz w:val="22"/>
          <w:szCs w:val="22"/>
        </w:rPr>
        <w:t xml:space="preserve"> it is the responsibility of the RP </w:t>
      </w:r>
      <w:r w:rsidR="004B4372">
        <w:rPr>
          <w:sz w:val="22"/>
          <w:szCs w:val="22"/>
        </w:rPr>
        <w:t>to check their own supply wells for loss of unrestricted use.</w:t>
      </w:r>
      <w:r w:rsidR="004B4372" w:rsidRPr="001C08B4">
        <w:rPr>
          <w:sz w:val="22"/>
          <w:szCs w:val="22"/>
        </w:rPr>
        <w:t xml:space="preserve"> </w:t>
      </w:r>
      <w:r w:rsidRPr="001C08B4">
        <w:rPr>
          <w:sz w:val="22"/>
          <w:szCs w:val="22"/>
        </w:rPr>
        <w:t xml:space="preserve"> Prior to sampling water supply wells not immediately adjacent to the site of the contamination or where there is no documented groundwater contamination, pre-approval must be received by the Regional Office.  SOW includes all necessary equipment; personnel, sample prep, and sample shipping to perform well purging followed by sampling. SOW also includes performing field measurements such as: pH, dissolved oxygen and specific conductivity as required. Please complete and attach Secondary Form Sec-G.  Price is per well.</w:t>
      </w:r>
    </w:p>
    <w:p w:rsidR="001C08B4" w:rsidRPr="001C08B4" w:rsidRDefault="001C08B4" w:rsidP="001C08B4">
      <w:pPr>
        <w:rPr>
          <w:sz w:val="22"/>
          <w:szCs w:val="22"/>
        </w:rPr>
      </w:pPr>
    </w:p>
    <w:p w:rsidR="001C08B4" w:rsidRPr="001C08B4" w:rsidRDefault="001C08B4" w:rsidP="001C08B4">
      <w:pPr>
        <w:jc w:val="both"/>
        <w:rPr>
          <w:sz w:val="22"/>
          <w:szCs w:val="22"/>
        </w:rPr>
      </w:pPr>
      <w:r w:rsidRPr="001C08B4">
        <w:rPr>
          <w:b/>
          <w:sz w:val="22"/>
          <w:szCs w:val="22"/>
        </w:rPr>
        <w:t>4.090</w:t>
      </w:r>
    </w:p>
    <w:p w:rsidR="001C08B4" w:rsidRPr="001C08B4" w:rsidRDefault="001C08B4" w:rsidP="001C08B4">
      <w:pPr>
        <w:jc w:val="both"/>
        <w:rPr>
          <w:sz w:val="22"/>
          <w:szCs w:val="22"/>
        </w:rPr>
      </w:pPr>
      <w:r w:rsidRPr="001C08B4">
        <w:rPr>
          <w:b/>
          <w:sz w:val="22"/>
          <w:szCs w:val="22"/>
        </w:rPr>
        <w:t>Costs for Analytical and Shipping:</w:t>
      </w:r>
      <w:r w:rsidRPr="001C08B4">
        <w:rPr>
          <w:sz w:val="22"/>
          <w:szCs w:val="22"/>
        </w:rPr>
        <w:t xml:space="preserve"> SOW includes laboratory and shipping costs associated with all sampling of soil, water and air. The lab must be North Carolina certified and must be certified to perform the recommended sample methods as outlined in the </w:t>
      </w:r>
      <w:r w:rsidRPr="001C08B4">
        <w:rPr>
          <w:i/>
          <w:sz w:val="22"/>
          <w:szCs w:val="22"/>
        </w:rPr>
        <w:t>UST Section Guidelines for Site Checks, Tank Closure, and Initial Response and Abatement</w:t>
      </w:r>
      <w:r w:rsidRPr="001C08B4">
        <w:rPr>
          <w:sz w:val="22"/>
          <w:szCs w:val="22"/>
        </w:rPr>
        <w:t xml:space="preserve">, the </w:t>
      </w:r>
      <w:r w:rsidRPr="001C08B4">
        <w:rPr>
          <w:i/>
          <w:sz w:val="22"/>
          <w:szCs w:val="22"/>
        </w:rPr>
        <w:t xml:space="preserve">Guidelines for Assessment and Corrective Action, </w:t>
      </w:r>
      <w:r w:rsidRPr="001C08B4">
        <w:rPr>
          <w:sz w:val="22"/>
          <w:szCs w:val="22"/>
        </w:rPr>
        <w:t>and the</w:t>
      </w:r>
      <w:r w:rsidRPr="001C08B4">
        <w:rPr>
          <w:i/>
          <w:sz w:val="22"/>
          <w:szCs w:val="22"/>
        </w:rPr>
        <w:t xml:space="preserve"> Guidelines for Sampling </w:t>
      </w:r>
      <w:r w:rsidRPr="001C08B4">
        <w:rPr>
          <w:sz w:val="22"/>
          <w:szCs w:val="22"/>
        </w:rPr>
        <w:t>at the time of sampling</w:t>
      </w:r>
      <w:r w:rsidRPr="001C08B4">
        <w:rPr>
          <w:i/>
          <w:sz w:val="22"/>
          <w:szCs w:val="22"/>
        </w:rPr>
        <w:t>.</w:t>
      </w:r>
      <w:r w:rsidRPr="001C08B4">
        <w:rPr>
          <w:sz w:val="22"/>
          <w:szCs w:val="22"/>
        </w:rPr>
        <w:t xml:space="preserve">  Consultant must attach the laboratory and shipping invoice to the completed Secondary Form Sec-H.  Lab analytical rates are not to exceed the Analytical Rate Table rates listed below.  Bidding is not required for this task. </w:t>
      </w:r>
      <w:r>
        <w:rPr>
          <w:sz w:val="22"/>
          <w:szCs w:val="22"/>
        </w:rPr>
        <w:t xml:space="preserve">[The selected analyses should reflect the release type, per Tables 2 and 3 in the UST Section’s </w:t>
      </w:r>
      <w:r w:rsidRPr="001C08B4">
        <w:rPr>
          <w:i/>
          <w:sz w:val="22"/>
          <w:szCs w:val="22"/>
        </w:rPr>
        <w:t>Guidelines for Sampling</w:t>
      </w:r>
      <w:r>
        <w:rPr>
          <w:sz w:val="22"/>
          <w:szCs w:val="22"/>
        </w:rPr>
        <w:t xml:space="preserve"> if no prior testing was done, or target the specific constituents of concern that were present during earlier testing, where appropriate.]</w:t>
      </w:r>
    </w:p>
    <w:p w:rsidR="001C08B4" w:rsidRPr="001C08B4" w:rsidRDefault="001C08B4" w:rsidP="001C08B4">
      <w:pPr>
        <w:rPr>
          <w:sz w:val="22"/>
          <w:szCs w:val="22"/>
        </w:rPr>
      </w:pPr>
    </w:p>
    <w:p w:rsidR="001C08B4" w:rsidRPr="001C08B4" w:rsidRDefault="001C08B4" w:rsidP="001C08B4">
      <w:pPr>
        <w:tabs>
          <w:tab w:val="left" w:pos="900"/>
          <w:tab w:val="left" w:pos="7560"/>
        </w:tabs>
        <w:jc w:val="both"/>
        <w:rPr>
          <w:b/>
          <w:sz w:val="22"/>
          <w:szCs w:val="22"/>
        </w:rPr>
      </w:pPr>
      <w:r w:rsidRPr="001C08B4">
        <w:rPr>
          <w:b/>
          <w:sz w:val="22"/>
          <w:szCs w:val="22"/>
        </w:rPr>
        <w:t xml:space="preserve">6.190 </w:t>
      </w:r>
    </w:p>
    <w:p w:rsidR="001C08B4" w:rsidRPr="001C08B4" w:rsidRDefault="001C08B4" w:rsidP="001C08B4">
      <w:pPr>
        <w:tabs>
          <w:tab w:val="left" w:pos="900"/>
          <w:tab w:val="left" w:pos="7560"/>
        </w:tabs>
        <w:jc w:val="both"/>
        <w:rPr>
          <w:sz w:val="22"/>
          <w:szCs w:val="22"/>
        </w:rPr>
      </w:pPr>
      <w:r w:rsidRPr="001C08B4">
        <w:rPr>
          <w:b/>
          <w:sz w:val="22"/>
          <w:szCs w:val="22"/>
        </w:rPr>
        <w:t>Miscellaneous Letter Report:</w:t>
      </w:r>
      <w:r w:rsidRPr="001C08B4">
        <w:rPr>
          <w:sz w:val="22"/>
          <w:szCs w:val="22"/>
        </w:rPr>
        <w:t xml:space="preserve"> SOW includes the preparation of a simple letter report, without historical tables o</w:t>
      </w:r>
      <w:r w:rsidR="004B4372">
        <w:rPr>
          <w:sz w:val="22"/>
          <w:szCs w:val="22"/>
        </w:rPr>
        <w:t>r historical figures or graphs, which</w:t>
      </w:r>
      <w:r w:rsidRPr="001C08B4">
        <w:rPr>
          <w:sz w:val="22"/>
          <w:szCs w:val="22"/>
        </w:rPr>
        <w:t xml:space="preserve"> outlines the activities that have been requested at the written pre-approval of the incident manager.  This task is to be used in lieu of other reports if the incident manager determines that the level of work being requested does not justify the preparation of one of the above reports. [For example, monitoring of a 1-3 monitoring well(</w:t>
      </w:r>
      <w:r w:rsidR="004B4372">
        <w:rPr>
          <w:sz w:val="22"/>
          <w:szCs w:val="22"/>
        </w:rPr>
        <w:t>s) or WSW(s), 1-3 soil sample</w:t>
      </w:r>
      <w:r w:rsidRPr="001C08B4">
        <w:rPr>
          <w:sz w:val="22"/>
          <w:szCs w:val="22"/>
        </w:rPr>
        <w:t>s being collected, etc.]  Price is per report.</w:t>
      </w:r>
    </w:p>
    <w:p w:rsidR="001C08B4" w:rsidRPr="001C08B4" w:rsidRDefault="001C08B4" w:rsidP="001C08B4">
      <w:pPr>
        <w:rPr>
          <w:sz w:val="22"/>
          <w:szCs w:val="22"/>
        </w:rPr>
      </w:pPr>
    </w:p>
    <w:sectPr w:rsidR="001C08B4" w:rsidRPr="001C08B4" w:rsidSect="001C08B4">
      <w:pgSz w:w="12240" w:h="15840"/>
      <w:pgMar w:top="10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EF" w:rsidRDefault="00F132EF" w:rsidP="001C08B4">
      <w:r>
        <w:separator/>
      </w:r>
    </w:p>
  </w:endnote>
  <w:endnote w:type="continuationSeparator" w:id="0">
    <w:p w:rsidR="00F132EF" w:rsidRDefault="00F132EF" w:rsidP="001C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EF" w:rsidRDefault="00F132EF" w:rsidP="001C08B4">
      <w:r>
        <w:separator/>
      </w:r>
    </w:p>
  </w:footnote>
  <w:footnote w:type="continuationSeparator" w:id="0">
    <w:p w:rsidR="00F132EF" w:rsidRDefault="00F132EF" w:rsidP="001C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B4"/>
    <w:rsid w:val="001C08B4"/>
    <w:rsid w:val="004B4372"/>
    <w:rsid w:val="006C52F0"/>
    <w:rsid w:val="00715CB0"/>
    <w:rsid w:val="00756E74"/>
    <w:rsid w:val="00871A7B"/>
    <w:rsid w:val="00BD7573"/>
    <w:rsid w:val="00C03A62"/>
    <w:rsid w:val="00DD7773"/>
    <w:rsid w:val="00F1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9DBE40-6BE9-4565-AEF5-BC9D2867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B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08B4"/>
    <w:rPr>
      <w:sz w:val="24"/>
    </w:rPr>
  </w:style>
  <w:style w:type="character" w:customStyle="1" w:styleId="BodyTextChar">
    <w:name w:val="Body Text Char"/>
    <w:basedOn w:val="DefaultParagraphFont"/>
    <w:link w:val="BodyText"/>
    <w:rsid w:val="001C08B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C08B4"/>
    <w:pPr>
      <w:tabs>
        <w:tab w:val="center" w:pos="4680"/>
        <w:tab w:val="right" w:pos="9360"/>
      </w:tabs>
    </w:pPr>
  </w:style>
  <w:style w:type="character" w:customStyle="1" w:styleId="HeaderChar">
    <w:name w:val="Header Char"/>
    <w:basedOn w:val="DefaultParagraphFont"/>
    <w:link w:val="Header"/>
    <w:uiPriority w:val="99"/>
    <w:rsid w:val="001C08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08B4"/>
    <w:pPr>
      <w:tabs>
        <w:tab w:val="center" w:pos="4680"/>
        <w:tab w:val="right" w:pos="9360"/>
      </w:tabs>
    </w:pPr>
  </w:style>
  <w:style w:type="character" w:customStyle="1" w:styleId="FooterChar">
    <w:name w:val="Footer Char"/>
    <w:basedOn w:val="DefaultParagraphFont"/>
    <w:link w:val="Footer"/>
    <w:uiPriority w:val="99"/>
    <w:rsid w:val="001C08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6783">
      <w:bodyDiv w:val="1"/>
      <w:marLeft w:val="0"/>
      <w:marRight w:val="0"/>
      <w:marTop w:val="0"/>
      <w:marBottom w:val="0"/>
      <w:divBdr>
        <w:top w:val="none" w:sz="0" w:space="0" w:color="auto"/>
        <w:left w:val="none" w:sz="0" w:space="0" w:color="auto"/>
        <w:bottom w:val="none" w:sz="0" w:space="0" w:color="auto"/>
        <w:right w:val="none" w:sz="0" w:space="0" w:color="auto"/>
      </w:divBdr>
    </w:div>
    <w:div w:id="545066251">
      <w:bodyDiv w:val="1"/>
      <w:marLeft w:val="0"/>
      <w:marRight w:val="0"/>
      <w:marTop w:val="0"/>
      <w:marBottom w:val="0"/>
      <w:divBdr>
        <w:top w:val="none" w:sz="0" w:space="0" w:color="auto"/>
        <w:left w:val="none" w:sz="0" w:space="0" w:color="auto"/>
        <w:bottom w:val="none" w:sz="0" w:space="0" w:color="auto"/>
        <w:right w:val="none" w:sz="0" w:space="0" w:color="auto"/>
      </w:divBdr>
    </w:div>
    <w:div w:id="683440711">
      <w:bodyDiv w:val="1"/>
      <w:marLeft w:val="0"/>
      <w:marRight w:val="0"/>
      <w:marTop w:val="0"/>
      <w:marBottom w:val="0"/>
      <w:divBdr>
        <w:top w:val="none" w:sz="0" w:space="0" w:color="auto"/>
        <w:left w:val="none" w:sz="0" w:space="0" w:color="auto"/>
        <w:bottom w:val="none" w:sz="0" w:space="0" w:color="auto"/>
        <w:right w:val="none" w:sz="0" w:space="0" w:color="auto"/>
      </w:divBdr>
    </w:div>
    <w:div w:id="706223350">
      <w:bodyDiv w:val="1"/>
      <w:marLeft w:val="0"/>
      <w:marRight w:val="0"/>
      <w:marTop w:val="0"/>
      <w:marBottom w:val="0"/>
      <w:divBdr>
        <w:top w:val="none" w:sz="0" w:space="0" w:color="auto"/>
        <w:left w:val="none" w:sz="0" w:space="0" w:color="auto"/>
        <w:bottom w:val="none" w:sz="0" w:space="0" w:color="auto"/>
        <w:right w:val="none" w:sz="0" w:space="0" w:color="auto"/>
      </w:divBdr>
    </w:div>
    <w:div w:id="759373261">
      <w:bodyDiv w:val="1"/>
      <w:marLeft w:val="0"/>
      <w:marRight w:val="0"/>
      <w:marTop w:val="0"/>
      <w:marBottom w:val="0"/>
      <w:divBdr>
        <w:top w:val="none" w:sz="0" w:space="0" w:color="auto"/>
        <w:left w:val="none" w:sz="0" w:space="0" w:color="auto"/>
        <w:bottom w:val="none" w:sz="0" w:space="0" w:color="auto"/>
        <w:right w:val="none" w:sz="0" w:space="0" w:color="auto"/>
      </w:divBdr>
    </w:div>
    <w:div w:id="1252083066">
      <w:bodyDiv w:val="1"/>
      <w:marLeft w:val="0"/>
      <w:marRight w:val="0"/>
      <w:marTop w:val="0"/>
      <w:marBottom w:val="0"/>
      <w:divBdr>
        <w:top w:val="none" w:sz="0" w:space="0" w:color="auto"/>
        <w:left w:val="none" w:sz="0" w:space="0" w:color="auto"/>
        <w:bottom w:val="none" w:sz="0" w:space="0" w:color="auto"/>
        <w:right w:val="none" w:sz="0" w:space="0" w:color="auto"/>
      </w:divBdr>
    </w:div>
    <w:div w:id="1276673384">
      <w:bodyDiv w:val="1"/>
      <w:marLeft w:val="0"/>
      <w:marRight w:val="0"/>
      <w:marTop w:val="0"/>
      <w:marBottom w:val="0"/>
      <w:divBdr>
        <w:top w:val="none" w:sz="0" w:space="0" w:color="auto"/>
        <w:left w:val="none" w:sz="0" w:space="0" w:color="auto"/>
        <w:bottom w:val="none" w:sz="0" w:space="0" w:color="auto"/>
        <w:right w:val="none" w:sz="0" w:space="0" w:color="auto"/>
      </w:divBdr>
    </w:div>
    <w:div w:id="1380980649">
      <w:bodyDiv w:val="1"/>
      <w:marLeft w:val="0"/>
      <w:marRight w:val="0"/>
      <w:marTop w:val="0"/>
      <w:marBottom w:val="0"/>
      <w:divBdr>
        <w:top w:val="none" w:sz="0" w:space="0" w:color="auto"/>
        <w:left w:val="none" w:sz="0" w:space="0" w:color="auto"/>
        <w:bottom w:val="none" w:sz="0" w:space="0" w:color="auto"/>
        <w:right w:val="none" w:sz="0" w:space="0" w:color="auto"/>
      </w:divBdr>
    </w:div>
    <w:div w:id="1539705101">
      <w:bodyDiv w:val="1"/>
      <w:marLeft w:val="0"/>
      <w:marRight w:val="0"/>
      <w:marTop w:val="0"/>
      <w:marBottom w:val="0"/>
      <w:divBdr>
        <w:top w:val="none" w:sz="0" w:space="0" w:color="auto"/>
        <w:left w:val="none" w:sz="0" w:space="0" w:color="auto"/>
        <w:bottom w:val="none" w:sz="0" w:space="0" w:color="auto"/>
        <w:right w:val="none" w:sz="0" w:space="0" w:color="auto"/>
      </w:divBdr>
    </w:div>
    <w:div w:id="1653291287">
      <w:bodyDiv w:val="1"/>
      <w:marLeft w:val="0"/>
      <w:marRight w:val="0"/>
      <w:marTop w:val="0"/>
      <w:marBottom w:val="0"/>
      <w:divBdr>
        <w:top w:val="none" w:sz="0" w:space="0" w:color="auto"/>
        <w:left w:val="none" w:sz="0" w:space="0" w:color="auto"/>
        <w:bottom w:val="none" w:sz="0" w:space="0" w:color="auto"/>
        <w:right w:val="none" w:sz="0" w:space="0" w:color="auto"/>
      </w:divBdr>
    </w:div>
    <w:div w:id="17032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Jared</dc:creator>
  <cp:keywords/>
  <dc:description/>
  <cp:lastModifiedBy>Edwards, Jared</cp:lastModifiedBy>
  <cp:revision>4</cp:revision>
  <dcterms:created xsi:type="dcterms:W3CDTF">2015-12-29T18:41:00Z</dcterms:created>
  <dcterms:modified xsi:type="dcterms:W3CDTF">2016-02-02T19:58:00Z</dcterms:modified>
</cp:coreProperties>
</file>