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F26F0" w14:textId="77777777" w:rsidR="00171065" w:rsidRPr="002359D5" w:rsidRDefault="00171065" w:rsidP="0085191A">
      <w:pPr>
        <w:numPr>
          <w:ilvl w:val="0"/>
          <w:numId w:val="1"/>
        </w:numPr>
        <w:spacing w:line="240" w:lineRule="auto"/>
        <w:ind w:left="360"/>
        <w:jc w:val="left"/>
        <w:rPr>
          <w:b/>
          <w:sz w:val="24"/>
          <w:szCs w:val="24"/>
        </w:rPr>
      </w:pPr>
      <w:r w:rsidRPr="002359D5">
        <w:rPr>
          <w:b/>
          <w:sz w:val="24"/>
          <w:szCs w:val="24"/>
        </w:rPr>
        <w:t>Citizen Participation</w:t>
      </w:r>
    </w:p>
    <w:p w14:paraId="16257DFC" w14:textId="77777777" w:rsidR="00171065" w:rsidRPr="002359D5" w:rsidRDefault="00171065" w:rsidP="00171065">
      <w:pPr>
        <w:spacing w:line="240" w:lineRule="auto"/>
        <w:jc w:val="left"/>
        <w:rPr>
          <w:b/>
          <w:sz w:val="24"/>
          <w:szCs w:val="24"/>
        </w:rPr>
      </w:pPr>
    </w:p>
    <w:p w14:paraId="375EFA40" w14:textId="50C97ED5" w:rsidR="00171065" w:rsidRPr="00810307" w:rsidRDefault="000A01E2" w:rsidP="00171065">
      <w:pPr>
        <w:spacing w:line="240" w:lineRule="auto"/>
        <w:jc w:val="left"/>
        <w:rPr>
          <w:color w:val="FF0000"/>
        </w:rPr>
      </w:pPr>
      <w:r w:rsidRPr="000A01E2">
        <w:rPr>
          <w:color w:val="FF0000"/>
        </w:rPr>
        <w:t xml:space="preserve">If awarded, the local government </w:t>
      </w:r>
      <w:r w:rsidR="00171065" w:rsidRPr="002359D5">
        <w:t>will have documentation on file of compliance with citizen participation requirements in the application process</w:t>
      </w:r>
      <w:r w:rsidR="00A968ED">
        <w:t xml:space="preserve"> </w:t>
      </w:r>
      <w:r w:rsidR="00A968ED" w:rsidRPr="00A968ED">
        <w:rPr>
          <w:color w:val="FF0000"/>
        </w:rPr>
        <w:t>(see Appendix B Public Hearing</w:t>
      </w:r>
      <w:r w:rsidR="00A968ED">
        <w:rPr>
          <w:color w:val="FF0000"/>
        </w:rPr>
        <w:t>s</w:t>
      </w:r>
      <w:r w:rsidR="00A968ED" w:rsidRPr="00A968ED">
        <w:rPr>
          <w:color w:val="FF0000"/>
        </w:rPr>
        <w:t>)</w:t>
      </w:r>
      <w:r w:rsidR="00A968ED">
        <w:rPr>
          <w:color w:val="FF0000"/>
        </w:rPr>
        <w:t>:</w:t>
      </w:r>
      <w:r w:rsidR="00A968ED" w:rsidRPr="00A968ED">
        <w:rPr>
          <w:color w:val="FF0000"/>
        </w:rPr>
        <w:t xml:space="preserve"> </w:t>
      </w:r>
      <w:r w:rsidR="00171065" w:rsidRPr="002359D5">
        <w:t xml:space="preserve"> publisher’s affidavits of notices for and minutes signed by the town</w:t>
      </w:r>
      <w:r w:rsidR="00BA6232">
        <w:t xml:space="preserve">/city/county clerk of the </w:t>
      </w:r>
      <w:r w:rsidR="00BA6232" w:rsidRPr="002359D5">
        <w:t>required</w:t>
      </w:r>
      <w:r w:rsidR="00171065" w:rsidRPr="002359D5">
        <w:t xml:space="preserve"> public hearing</w:t>
      </w:r>
      <w:r w:rsidR="00810307">
        <w:t xml:space="preserve"> </w:t>
      </w:r>
      <w:r w:rsidR="00810307" w:rsidRPr="00810307">
        <w:rPr>
          <w:color w:val="FF0000"/>
        </w:rPr>
        <w:t xml:space="preserve"> (at least one is required</w:t>
      </w:r>
      <w:r w:rsidR="00A968ED">
        <w:rPr>
          <w:color w:val="FF0000"/>
        </w:rPr>
        <w:t>)</w:t>
      </w:r>
      <w:r w:rsidR="00171065" w:rsidRPr="00810307">
        <w:rPr>
          <w:color w:val="FF0000"/>
        </w:rPr>
        <w:t>.</w:t>
      </w:r>
    </w:p>
    <w:p w14:paraId="51B32A96" w14:textId="77777777" w:rsidR="00171065" w:rsidRPr="002359D5" w:rsidRDefault="00171065" w:rsidP="00171065">
      <w:pPr>
        <w:tabs>
          <w:tab w:val="left" w:pos="0"/>
        </w:tabs>
        <w:spacing w:line="240" w:lineRule="auto"/>
        <w:jc w:val="left"/>
      </w:pPr>
    </w:p>
    <w:p w14:paraId="6175A551" w14:textId="78A95A89" w:rsidR="00171065" w:rsidRPr="00A968ED" w:rsidRDefault="00A968ED" w:rsidP="0085191A">
      <w:pPr>
        <w:numPr>
          <w:ilvl w:val="0"/>
          <w:numId w:val="1"/>
        </w:numPr>
        <w:tabs>
          <w:tab w:val="left" w:pos="0"/>
        </w:tabs>
        <w:spacing w:line="240" w:lineRule="auto"/>
        <w:ind w:left="360"/>
        <w:jc w:val="left"/>
        <w:rPr>
          <w:b/>
          <w:color w:val="FF0000"/>
          <w:sz w:val="24"/>
          <w:szCs w:val="24"/>
        </w:rPr>
      </w:pPr>
      <w:r w:rsidRPr="00A968ED">
        <w:rPr>
          <w:b/>
          <w:color w:val="FF0000"/>
          <w:sz w:val="24"/>
          <w:szCs w:val="24"/>
        </w:rPr>
        <w:t>Project Administration</w:t>
      </w:r>
    </w:p>
    <w:p w14:paraId="7953F2AF" w14:textId="77777777" w:rsidR="00171065" w:rsidRPr="002359D5" w:rsidRDefault="00171065" w:rsidP="00171065">
      <w:pPr>
        <w:tabs>
          <w:tab w:val="left" w:pos="0"/>
        </w:tabs>
        <w:spacing w:line="240" w:lineRule="auto"/>
        <w:jc w:val="left"/>
        <w:rPr>
          <w:sz w:val="24"/>
          <w:szCs w:val="24"/>
        </w:rPr>
      </w:pPr>
    </w:p>
    <w:p w14:paraId="74651BFD" w14:textId="69803F81" w:rsidR="00A968ED" w:rsidRDefault="000A01E2" w:rsidP="00171065">
      <w:pPr>
        <w:tabs>
          <w:tab w:val="left" w:pos="0"/>
        </w:tabs>
        <w:spacing w:line="240" w:lineRule="auto"/>
        <w:jc w:val="left"/>
        <w:rPr>
          <w:color w:val="FF0000"/>
        </w:rPr>
      </w:pPr>
      <w:r w:rsidRPr="000A01E2">
        <w:rPr>
          <w:color w:val="FF0000"/>
        </w:rPr>
        <w:t>If awarded, the local governme</w:t>
      </w:r>
      <w:r w:rsidR="005176EC">
        <w:rPr>
          <w:color w:val="FF0000"/>
        </w:rPr>
        <w:t xml:space="preserve">nt </w:t>
      </w:r>
      <w:r w:rsidR="00171065" w:rsidRPr="000A01E2">
        <w:rPr>
          <w:color w:val="FF0000"/>
        </w:rPr>
        <w:t xml:space="preserve">will </w:t>
      </w:r>
      <w:r w:rsidR="00A968ED">
        <w:rPr>
          <w:color w:val="FF0000"/>
        </w:rPr>
        <w:t xml:space="preserve">be responsible for the following: </w:t>
      </w:r>
    </w:p>
    <w:p w14:paraId="12993BE4" w14:textId="77777777" w:rsidR="00171065" w:rsidRPr="002359D5" w:rsidRDefault="00171065" w:rsidP="00171065">
      <w:pPr>
        <w:tabs>
          <w:tab w:val="left" w:pos="0"/>
        </w:tabs>
        <w:spacing w:line="240" w:lineRule="auto"/>
        <w:ind w:left="720" w:hanging="720"/>
        <w:jc w:val="left"/>
      </w:pPr>
    </w:p>
    <w:p w14:paraId="4A18714B" w14:textId="7D8EA010" w:rsidR="008A2263" w:rsidRPr="008A2263"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 xml:space="preserve">Management and Oversight. </w:t>
      </w:r>
      <w:r w:rsidRPr="008A2263">
        <w:rPr>
          <w:color w:val="FF0000"/>
        </w:rPr>
        <w:t xml:space="preserve">The elected officials and authorized representative(s) are legally, financially, contractually, and programmatically responsible for the CDBG-I project and all third-party contractors (e.g., grant administrator, project engineer, construction contractor(s), etc.).  Procuring and contracting with a third-party does not remove the responsibility of meeting the program requirements and milestones outlined in the grant agreement.  </w:t>
      </w:r>
      <w:r w:rsidRPr="008A2263">
        <w:rPr>
          <w:color w:val="FF0000"/>
        </w:rPr>
        <w:t>T</w:t>
      </w:r>
      <w:r w:rsidRPr="008A2263">
        <w:rPr>
          <w:color w:val="FF0000"/>
        </w:rPr>
        <w:t xml:space="preserve">he local government is responsible to the State of North Carolina and the Federal government in ensuring implementing the activities funded even if they have a grant administrator or a sub-recipient relationship with a single purpose unit of government. </w:t>
      </w:r>
    </w:p>
    <w:p w14:paraId="19D62250" w14:textId="77777777" w:rsidR="008A2263" w:rsidRPr="008A2263" w:rsidRDefault="008A2263" w:rsidP="008B7FC6">
      <w:pPr>
        <w:pStyle w:val="ListParagraph"/>
        <w:tabs>
          <w:tab w:val="left" w:pos="0"/>
        </w:tabs>
        <w:spacing w:line="240" w:lineRule="auto"/>
        <w:ind w:left="810" w:hanging="450"/>
        <w:jc w:val="left"/>
        <w:rPr>
          <w:color w:val="FF0000"/>
        </w:rPr>
      </w:pPr>
    </w:p>
    <w:p w14:paraId="26BF2476" w14:textId="77777777" w:rsidR="008A2263"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Financial Management.</w:t>
      </w:r>
      <w:r w:rsidRPr="008A2263">
        <w:rPr>
          <w:color w:val="FF0000"/>
        </w:rPr>
        <w:t xml:space="preserve"> The local government and its staff must ensure proper accounting of all funds in the projects.  This includes accurate identification of project costs, project balances, proper internal controls, inclusion of grant funds in annual audits, and timely expenditure of funds.</w:t>
      </w:r>
    </w:p>
    <w:p w14:paraId="4036812E" w14:textId="77777777" w:rsidR="008A2263" w:rsidRPr="008A2263" w:rsidRDefault="008A2263" w:rsidP="008B7FC6">
      <w:pPr>
        <w:tabs>
          <w:tab w:val="left" w:pos="0"/>
        </w:tabs>
        <w:spacing w:line="240" w:lineRule="auto"/>
        <w:ind w:left="810" w:hanging="450"/>
        <w:jc w:val="left"/>
        <w:rPr>
          <w:color w:val="FF0000"/>
        </w:rPr>
      </w:pPr>
    </w:p>
    <w:p w14:paraId="61563199" w14:textId="204D4E51" w:rsidR="008A2263"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Continuous Communication</w:t>
      </w:r>
      <w:r w:rsidR="008B7FC6" w:rsidRPr="008B7FC6">
        <w:rPr>
          <w:color w:val="FF0000"/>
          <w:u w:val="single"/>
        </w:rPr>
        <w:t xml:space="preserve"> and Participation</w:t>
      </w:r>
      <w:r w:rsidRPr="008B7FC6">
        <w:rPr>
          <w:color w:val="FF0000"/>
          <w:u w:val="single"/>
        </w:rPr>
        <w:t xml:space="preserve">. </w:t>
      </w:r>
      <w:r w:rsidRPr="008A2263">
        <w:rPr>
          <w:color w:val="FF0000"/>
        </w:rPr>
        <w:t xml:space="preserve">The local government must ensure continuous communication amongst all parties involved in the CDBG-I funded project (e.g., </w:t>
      </w:r>
      <w:r w:rsidR="008B7FC6">
        <w:rPr>
          <w:color w:val="FF0000"/>
        </w:rPr>
        <w:t xml:space="preserve">elected board, citizens, </w:t>
      </w:r>
      <w:r w:rsidRPr="008A2263">
        <w:rPr>
          <w:color w:val="FF0000"/>
        </w:rPr>
        <w:t xml:space="preserve">grant administrator, project engineer, CDBG-I staff, etc.).  </w:t>
      </w:r>
      <w:r w:rsidR="008B7FC6">
        <w:rPr>
          <w:color w:val="FF0000"/>
        </w:rPr>
        <w:t xml:space="preserve">In addition, the local government must attend and participate in all project related meetings (in-person, virtual, and /or hybrid). </w:t>
      </w:r>
    </w:p>
    <w:p w14:paraId="19FB3A23" w14:textId="77777777" w:rsidR="008A2263" w:rsidRPr="008A2263" w:rsidRDefault="008A2263" w:rsidP="008B7FC6">
      <w:pPr>
        <w:tabs>
          <w:tab w:val="left" w:pos="0"/>
        </w:tabs>
        <w:spacing w:line="240" w:lineRule="auto"/>
        <w:ind w:left="810" w:hanging="450"/>
        <w:jc w:val="left"/>
        <w:rPr>
          <w:color w:val="FF0000"/>
        </w:rPr>
      </w:pPr>
    </w:p>
    <w:p w14:paraId="42B9B10B" w14:textId="3C5EC8F1" w:rsidR="008A2263"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Grant Contract</w:t>
      </w:r>
      <w:r w:rsidRPr="008A2263">
        <w:rPr>
          <w:color w:val="FF0000"/>
        </w:rPr>
        <w:t xml:space="preserve">. </w:t>
      </w:r>
      <w:r w:rsidR="008B7FC6">
        <w:rPr>
          <w:color w:val="FF0000"/>
        </w:rPr>
        <w:t>T</w:t>
      </w:r>
      <w:r w:rsidRPr="008A2263">
        <w:rPr>
          <w:color w:val="FF0000"/>
        </w:rPr>
        <w:t>he local government will receive a grant agreement and funding approval from the NCDEQ.  These documents are contractually binding and cannot be changed without NCDEQ approval.</w:t>
      </w:r>
    </w:p>
    <w:p w14:paraId="16630CC2" w14:textId="77777777" w:rsidR="008A2263" w:rsidRPr="008A2263" w:rsidRDefault="008A2263" w:rsidP="008B7FC6">
      <w:pPr>
        <w:tabs>
          <w:tab w:val="left" w:pos="0"/>
        </w:tabs>
        <w:spacing w:line="240" w:lineRule="auto"/>
        <w:ind w:left="810" w:hanging="450"/>
        <w:jc w:val="left"/>
        <w:rPr>
          <w:color w:val="FF0000"/>
        </w:rPr>
      </w:pPr>
    </w:p>
    <w:p w14:paraId="7C78E934" w14:textId="0ECCC994" w:rsidR="008A2263"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 xml:space="preserve">Project Milestones. </w:t>
      </w:r>
      <w:r>
        <w:rPr>
          <w:color w:val="FF0000"/>
        </w:rPr>
        <w:t xml:space="preserve"> </w:t>
      </w:r>
      <w:r w:rsidR="008B7FC6">
        <w:rPr>
          <w:color w:val="FF0000"/>
        </w:rPr>
        <w:t xml:space="preserve">The authorized representative(s) must ensure all project milestones, outlined in the Grant Contract and Notice of Intent to Fund letter.  </w:t>
      </w:r>
    </w:p>
    <w:p w14:paraId="45977796" w14:textId="77777777" w:rsidR="008A2263" w:rsidRPr="008A2263" w:rsidRDefault="008A2263" w:rsidP="008B7FC6">
      <w:pPr>
        <w:pStyle w:val="ListParagraph"/>
        <w:ind w:left="810" w:hanging="450"/>
        <w:rPr>
          <w:color w:val="FF0000"/>
        </w:rPr>
      </w:pPr>
    </w:p>
    <w:p w14:paraId="00BD4F69" w14:textId="40846232" w:rsidR="008B7FC6" w:rsidRDefault="008A2263"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Training</w:t>
      </w:r>
      <w:r w:rsidR="008B7FC6">
        <w:rPr>
          <w:color w:val="FF0000"/>
          <w:u w:val="single"/>
        </w:rPr>
        <w:t>.</w:t>
      </w:r>
      <w:r w:rsidRPr="008A2263">
        <w:rPr>
          <w:color w:val="FF0000"/>
        </w:rPr>
        <w:t xml:space="preserve"> </w:t>
      </w:r>
      <w:r w:rsidR="008B7FC6">
        <w:rPr>
          <w:color w:val="FF0000"/>
        </w:rPr>
        <w:t>T</w:t>
      </w:r>
      <w:r w:rsidRPr="008A2263">
        <w:rPr>
          <w:color w:val="FF0000"/>
        </w:rPr>
        <w:t>he local government must attend mandatory training</w:t>
      </w:r>
      <w:r>
        <w:rPr>
          <w:color w:val="FF0000"/>
        </w:rPr>
        <w:t xml:space="preserve"> workshops that covers procurement, compliance and environmental responsibilities.</w:t>
      </w:r>
    </w:p>
    <w:p w14:paraId="799C2D7B" w14:textId="77777777" w:rsidR="008B7FC6" w:rsidRDefault="008B7FC6" w:rsidP="008B7FC6">
      <w:pPr>
        <w:pStyle w:val="ListParagraph"/>
        <w:ind w:left="810" w:hanging="450"/>
      </w:pPr>
    </w:p>
    <w:p w14:paraId="4F5CD25A" w14:textId="5E9660DE" w:rsidR="00171065" w:rsidRPr="008B7FC6" w:rsidRDefault="008B7FC6" w:rsidP="008B7FC6">
      <w:pPr>
        <w:pStyle w:val="ListParagraph"/>
        <w:numPr>
          <w:ilvl w:val="0"/>
          <w:numId w:val="2"/>
        </w:numPr>
        <w:tabs>
          <w:tab w:val="left" w:pos="0"/>
        </w:tabs>
        <w:spacing w:line="240" w:lineRule="auto"/>
        <w:ind w:left="810" w:hanging="450"/>
        <w:jc w:val="left"/>
        <w:rPr>
          <w:color w:val="FF0000"/>
        </w:rPr>
      </w:pPr>
      <w:r w:rsidRPr="008B7FC6">
        <w:rPr>
          <w:color w:val="FF0000"/>
          <w:u w:val="single"/>
        </w:rPr>
        <w:t>Project Files.</w:t>
      </w:r>
      <w:r w:rsidRPr="008B7FC6">
        <w:rPr>
          <w:color w:val="FF0000"/>
        </w:rPr>
        <w:t xml:space="preserve">  The local government must maintain complete and accurate project files and documentation at the </w:t>
      </w:r>
      <w:r w:rsidR="005176EC" w:rsidRPr="008B7FC6">
        <w:rPr>
          <w:color w:val="FF0000"/>
        </w:rPr>
        <w:t xml:space="preserve">local government office and make them available to citizens, state and federal agencies during regular business hours. </w:t>
      </w:r>
    </w:p>
    <w:p w14:paraId="36FEB36B" w14:textId="31B800B1" w:rsidR="008B7FC6" w:rsidRDefault="008B7FC6">
      <w:pPr>
        <w:spacing w:after="200"/>
        <w:jc w:val="left"/>
        <w:rPr>
          <w:sz w:val="24"/>
          <w:szCs w:val="24"/>
        </w:rPr>
      </w:pPr>
      <w:r>
        <w:rPr>
          <w:sz w:val="24"/>
          <w:szCs w:val="24"/>
        </w:rPr>
        <w:br w:type="page"/>
      </w:r>
    </w:p>
    <w:p w14:paraId="6435D8D9" w14:textId="3C00D083" w:rsidR="00171065" w:rsidRPr="002359D5" w:rsidRDefault="00171065" w:rsidP="0085191A">
      <w:pPr>
        <w:numPr>
          <w:ilvl w:val="0"/>
          <w:numId w:val="1"/>
        </w:numPr>
        <w:tabs>
          <w:tab w:val="left" w:pos="0"/>
        </w:tabs>
        <w:spacing w:line="240" w:lineRule="auto"/>
        <w:ind w:left="360"/>
        <w:jc w:val="left"/>
        <w:rPr>
          <w:b/>
          <w:sz w:val="24"/>
          <w:szCs w:val="24"/>
        </w:rPr>
      </w:pPr>
      <w:r w:rsidRPr="002359D5">
        <w:rPr>
          <w:b/>
          <w:sz w:val="24"/>
          <w:szCs w:val="24"/>
        </w:rPr>
        <w:lastRenderedPageBreak/>
        <w:t>Audits</w:t>
      </w:r>
      <w:r w:rsidR="000A01E2">
        <w:rPr>
          <w:b/>
          <w:sz w:val="24"/>
          <w:szCs w:val="24"/>
        </w:rPr>
        <w:t xml:space="preserve"> </w:t>
      </w:r>
      <w:r w:rsidRPr="002359D5">
        <w:rPr>
          <w:b/>
          <w:sz w:val="24"/>
          <w:szCs w:val="24"/>
        </w:rPr>
        <w:t>/</w:t>
      </w:r>
      <w:r w:rsidR="000A01E2">
        <w:rPr>
          <w:b/>
          <w:sz w:val="24"/>
          <w:szCs w:val="24"/>
        </w:rPr>
        <w:t xml:space="preserve"> </w:t>
      </w:r>
      <w:r w:rsidRPr="002359D5">
        <w:rPr>
          <w:b/>
          <w:sz w:val="24"/>
          <w:szCs w:val="24"/>
        </w:rPr>
        <w:t>Compliance</w:t>
      </w:r>
    </w:p>
    <w:p w14:paraId="00CCF9E4" w14:textId="77777777" w:rsidR="00171065" w:rsidRPr="002359D5" w:rsidRDefault="00171065" w:rsidP="00171065">
      <w:pPr>
        <w:tabs>
          <w:tab w:val="left" w:pos="0"/>
        </w:tabs>
        <w:spacing w:line="240" w:lineRule="auto"/>
        <w:jc w:val="left"/>
        <w:rPr>
          <w:sz w:val="24"/>
          <w:szCs w:val="24"/>
        </w:rPr>
      </w:pPr>
    </w:p>
    <w:p w14:paraId="529B595F" w14:textId="1C0923A3" w:rsidR="00171065" w:rsidRPr="009F5A73" w:rsidRDefault="009F5A73" w:rsidP="00171065">
      <w:pPr>
        <w:tabs>
          <w:tab w:val="left" w:pos="0"/>
        </w:tabs>
        <w:spacing w:line="240" w:lineRule="auto"/>
        <w:jc w:val="left"/>
        <w:rPr>
          <w:color w:val="FF0000"/>
        </w:rPr>
      </w:pPr>
      <w:r>
        <w:rPr>
          <w:color w:val="FF0000"/>
        </w:rPr>
        <w:t xml:space="preserve">At time of application, the applicant must </w:t>
      </w:r>
      <w:proofErr w:type="gramStart"/>
      <w:r>
        <w:rPr>
          <w:color w:val="FF0000"/>
        </w:rPr>
        <w:t>be in compliance with</w:t>
      </w:r>
      <w:proofErr w:type="gramEnd"/>
      <w:r>
        <w:rPr>
          <w:color w:val="FF0000"/>
        </w:rPr>
        <w:t xml:space="preserve"> audit reporting to be eligible for a grant award.  I</w:t>
      </w:r>
      <w:r w:rsidR="000A01E2" w:rsidRPr="009F5A73">
        <w:rPr>
          <w:color w:val="FF0000"/>
        </w:rPr>
        <w:t>f awarded, the local government</w:t>
      </w:r>
      <w:r>
        <w:rPr>
          <w:color w:val="FF0000"/>
        </w:rPr>
        <w:t xml:space="preserve">s </w:t>
      </w:r>
      <w:r w:rsidR="005176EC" w:rsidRPr="009F5A73">
        <w:rPr>
          <w:color w:val="FF0000"/>
        </w:rPr>
        <w:t xml:space="preserve">must continue to </w:t>
      </w:r>
      <w:proofErr w:type="gramStart"/>
      <w:r w:rsidR="005176EC" w:rsidRPr="009F5A73">
        <w:rPr>
          <w:color w:val="FF0000"/>
        </w:rPr>
        <w:t>be in compliance with</w:t>
      </w:r>
      <w:proofErr w:type="gramEnd"/>
      <w:r w:rsidR="005176EC" w:rsidRPr="009F5A73">
        <w:rPr>
          <w:color w:val="FF0000"/>
        </w:rPr>
        <w:t xml:space="preserve"> their fiscal audit responsibilities per 2 CFR 200, Subpart, during the life of their CDBG-I grant.  </w:t>
      </w:r>
      <w:r w:rsidR="005176EC" w:rsidRPr="009F5A73">
        <w:rPr>
          <w:color w:val="FF0000"/>
          <w:szCs w:val="24"/>
        </w:rPr>
        <w:t xml:space="preserve">Failure to submit the required audit reporting by the above-mentioned due dates, the DEQ will, per 2 CFR 200.505 (200.339), suspend the draw-down of grant funds for active open grants and suspend review and/or acceptance of applications until the Subrecipient is current on their audit reporting requirements (200.339).  If during the life of the grant, the </w:t>
      </w:r>
      <w:r w:rsidRPr="009F5A73">
        <w:rPr>
          <w:color w:val="FF0000"/>
          <w:szCs w:val="24"/>
        </w:rPr>
        <w:t>subr</w:t>
      </w:r>
      <w:r w:rsidR="005176EC" w:rsidRPr="009F5A73">
        <w:rPr>
          <w:color w:val="FF0000"/>
          <w:szCs w:val="24"/>
        </w:rPr>
        <w:t>ecipient continues to fail to comply with the audit reporting requirement, DEQ will impose stricter sanctions allowed per in 2 CFR 200.505 (200.339).</w:t>
      </w:r>
    </w:p>
    <w:p w14:paraId="2CC07E89" w14:textId="77777777" w:rsidR="00171065" w:rsidRPr="002359D5" w:rsidRDefault="00171065" w:rsidP="00171065">
      <w:pPr>
        <w:tabs>
          <w:tab w:val="left" w:pos="-90"/>
        </w:tabs>
        <w:spacing w:line="240" w:lineRule="auto"/>
        <w:jc w:val="left"/>
      </w:pPr>
    </w:p>
    <w:p w14:paraId="035084A8" w14:textId="3E170376" w:rsidR="00FA079B" w:rsidRPr="00FA079B" w:rsidRDefault="00FA079B" w:rsidP="0085191A">
      <w:pPr>
        <w:numPr>
          <w:ilvl w:val="0"/>
          <w:numId w:val="1"/>
        </w:numPr>
        <w:tabs>
          <w:tab w:val="left" w:pos="360"/>
        </w:tabs>
        <w:spacing w:line="240" w:lineRule="auto"/>
        <w:ind w:left="270" w:hanging="270"/>
        <w:jc w:val="left"/>
        <w:rPr>
          <w:b/>
          <w:bCs/>
          <w:color w:val="FF0000"/>
          <w:sz w:val="24"/>
          <w:szCs w:val="24"/>
        </w:rPr>
      </w:pPr>
      <w:r w:rsidRPr="00FA079B">
        <w:rPr>
          <w:b/>
          <w:bCs/>
          <w:color w:val="FF0000"/>
          <w:sz w:val="24"/>
          <w:szCs w:val="24"/>
        </w:rPr>
        <w:t>Procurement</w:t>
      </w:r>
    </w:p>
    <w:p w14:paraId="779CBA1B" w14:textId="77777777" w:rsidR="00FA079B" w:rsidRPr="00FA079B" w:rsidRDefault="00FA079B" w:rsidP="00FA079B">
      <w:pPr>
        <w:tabs>
          <w:tab w:val="left" w:pos="360"/>
        </w:tabs>
        <w:spacing w:line="240" w:lineRule="auto"/>
        <w:jc w:val="left"/>
        <w:rPr>
          <w:color w:val="FF0000"/>
          <w:sz w:val="24"/>
          <w:szCs w:val="24"/>
        </w:rPr>
      </w:pPr>
    </w:p>
    <w:p w14:paraId="211E7643" w14:textId="7405552C" w:rsidR="00FA079B" w:rsidRPr="00FA079B" w:rsidRDefault="00FA079B" w:rsidP="00FA079B">
      <w:pPr>
        <w:tabs>
          <w:tab w:val="left" w:pos="360"/>
        </w:tabs>
        <w:spacing w:line="240" w:lineRule="auto"/>
        <w:jc w:val="left"/>
        <w:rPr>
          <w:color w:val="FF0000"/>
          <w:sz w:val="24"/>
          <w:szCs w:val="24"/>
        </w:rPr>
      </w:pPr>
      <w:r w:rsidRPr="00FA079B">
        <w:rPr>
          <w:color w:val="FF0000"/>
          <w:sz w:val="24"/>
          <w:szCs w:val="24"/>
        </w:rPr>
        <w:t>If awarded, the local government must follow the</w:t>
      </w:r>
      <w:hyperlink r:id="rId7" w:anchor="Tab-Procurement-1831" w:history="1">
        <w:r w:rsidRPr="001E4F17">
          <w:rPr>
            <w:rStyle w:val="Hyperlink"/>
            <w:sz w:val="24"/>
            <w:szCs w:val="24"/>
          </w:rPr>
          <w:t xml:space="preserve"> CDBG-I Program Procurement Policy.  </w:t>
        </w:r>
      </w:hyperlink>
    </w:p>
    <w:p w14:paraId="42A1E88E" w14:textId="77777777" w:rsidR="00FA079B" w:rsidRPr="00FA079B" w:rsidRDefault="00FA079B" w:rsidP="00FA079B">
      <w:pPr>
        <w:tabs>
          <w:tab w:val="left" w:pos="360"/>
        </w:tabs>
        <w:spacing w:line="240" w:lineRule="auto"/>
        <w:jc w:val="left"/>
        <w:rPr>
          <w:sz w:val="24"/>
          <w:szCs w:val="24"/>
        </w:rPr>
      </w:pPr>
    </w:p>
    <w:p w14:paraId="6FC317B9" w14:textId="42FDE3F1" w:rsidR="00171065" w:rsidRPr="002359D5" w:rsidRDefault="00171065" w:rsidP="0085191A">
      <w:pPr>
        <w:numPr>
          <w:ilvl w:val="0"/>
          <w:numId w:val="1"/>
        </w:numPr>
        <w:tabs>
          <w:tab w:val="left" w:pos="360"/>
        </w:tabs>
        <w:spacing w:line="240" w:lineRule="auto"/>
        <w:ind w:left="270" w:hanging="270"/>
        <w:jc w:val="left"/>
        <w:rPr>
          <w:sz w:val="24"/>
          <w:szCs w:val="24"/>
        </w:rPr>
      </w:pPr>
      <w:r w:rsidRPr="002359D5">
        <w:rPr>
          <w:b/>
          <w:sz w:val="24"/>
          <w:szCs w:val="24"/>
        </w:rPr>
        <w:t xml:space="preserve">Water and Wastewater </w:t>
      </w:r>
    </w:p>
    <w:p w14:paraId="2A71F8C3" w14:textId="77777777" w:rsidR="00171065" w:rsidRPr="002359D5" w:rsidRDefault="00171065" w:rsidP="00171065">
      <w:pPr>
        <w:tabs>
          <w:tab w:val="left" w:pos="720"/>
        </w:tabs>
        <w:spacing w:line="240" w:lineRule="auto"/>
        <w:jc w:val="left"/>
        <w:rPr>
          <w:sz w:val="24"/>
          <w:szCs w:val="24"/>
        </w:rPr>
      </w:pPr>
    </w:p>
    <w:p w14:paraId="716121AF" w14:textId="6837E462" w:rsidR="00171065" w:rsidRPr="002359D5" w:rsidRDefault="00171065" w:rsidP="00171065">
      <w:pPr>
        <w:tabs>
          <w:tab w:val="left" w:pos="720"/>
        </w:tabs>
        <w:spacing w:line="240" w:lineRule="auto"/>
        <w:jc w:val="left"/>
        <w:rPr>
          <w:b/>
          <w:i/>
        </w:rPr>
      </w:pPr>
      <w:r w:rsidRPr="000A01E2">
        <w:rPr>
          <w:color w:val="FF0000"/>
        </w:rPr>
        <w:t xml:space="preserve">If </w:t>
      </w:r>
      <w:r w:rsidR="000A01E2" w:rsidRPr="000A01E2">
        <w:rPr>
          <w:color w:val="FF0000"/>
        </w:rPr>
        <w:t>awarded, the</w:t>
      </w:r>
      <w:r w:rsidRPr="000A01E2">
        <w:rPr>
          <w:color w:val="FF0000"/>
        </w:rPr>
        <w:t xml:space="preserve"> </w:t>
      </w:r>
      <w:r w:rsidR="000A01E2" w:rsidRPr="000A01E2">
        <w:rPr>
          <w:color w:val="FF0000"/>
        </w:rPr>
        <w:t>local government</w:t>
      </w:r>
      <w:r w:rsidRPr="000A01E2">
        <w:rPr>
          <w:color w:val="FF0000"/>
        </w:rPr>
        <w:t xml:space="preserve"> </w:t>
      </w:r>
      <w:r w:rsidRPr="002359D5">
        <w:t>will adhere to the following:</w:t>
      </w:r>
    </w:p>
    <w:p w14:paraId="36563667" w14:textId="77777777" w:rsidR="00171065" w:rsidRPr="002359D5" w:rsidRDefault="00171065" w:rsidP="00A56682">
      <w:pPr>
        <w:spacing w:line="240" w:lineRule="auto"/>
        <w:jc w:val="left"/>
      </w:pPr>
    </w:p>
    <w:p w14:paraId="7C2EF6B8" w14:textId="77777777" w:rsidR="008B7FC6" w:rsidRDefault="00171065" w:rsidP="008B7FC6">
      <w:pPr>
        <w:pStyle w:val="ListParagraph"/>
        <w:numPr>
          <w:ilvl w:val="0"/>
          <w:numId w:val="3"/>
        </w:numPr>
        <w:spacing w:line="240" w:lineRule="auto"/>
        <w:ind w:left="810" w:hanging="450"/>
        <w:jc w:val="left"/>
      </w:pPr>
      <w:r w:rsidRPr="002359D5">
        <w:t>The CDBG</w:t>
      </w:r>
      <w:r w:rsidR="008B7FC6">
        <w:t>-I</w:t>
      </w:r>
      <w:r w:rsidRPr="002359D5">
        <w:t xml:space="preserve"> Program does not permit a local government to charge low and moderate-income beneficiaries tap fees, assessments, or impact fees for water or sewer improvements.</w:t>
      </w:r>
    </w:p>
    <w:p w14:paraId="777359F7" w14:textId="77777777" w:rsidR="008B7FC6" w:rsidRDefault="008B7FC6" w:rsidP="008B7FC6">
      <w:pPr>
        <w:pStyle w:val="ListParagraph"/>
        <w:spacing w:line="240" w:lineRule="auto"/>
        <w:ind w:left="810"/>
        <w:jc w:val="left"/>
      </w:pPr>
    </w:p>
    <w:p w14:paraId="3FF45317" w14:textId="77777777" w:rsidR="008B7FC6" w:rsidRDefault="008B7FC6" w:rsidP="00171065">
      <w:pPr>
        <w:tabs>
          <w:tab w:val="left" w:pos="720"/>
        </w:tabs>
        <w:spacing w:line="240" w:lineRule="auto"/>
        <w:jc w:val="left"/>
        <w:rPr>
          <w:b/>
        </w:rPr>
      </w:pPr>
    </w:p>
    <w:p w14:paraId="26455944" w14:textId="5E674DBA" w:rsidR="00171065" w:rsidRPr="002359D5" w:rsidRDefault="00171065" w:rsidP="00171065">
      <w:pPr>
        <w:tabs>
          <w:tab w:val="left" w:pos="720"/>
        </w:tabs>
        <w:spacing w:line="240" w:lineRule="auto"/>
        <w:jc w:val="left"/>
        <w:rPr>
          <w:b/>
        </w:rPr>
      </w:pPr>
      <w:r w:rsidRPr="002359D5">
        <w:rPr>
          <w:b/>
        </w:rPr>
        <w:t xml:space="preserve">The applicant hereby assures and certifies that by his/her signature, its duly authorized official has read and understands the State </w:t>
      </w:r>
      <w:r w:rsidRPr="000A01E2">
        <w:rPr>
          <w:b/>
          <w:color w:val="FF0000"/>
        </w:rPr>
        <w:t>CDBG</w:t>
      </w:r>
      <w:r w:rsidR="008B7FC6">
        <w:rPr>
          <w:b/>
          <w:color w:val="FF0000"/>
        </w:rPr>
        <w:t>-I</w:t>
      </w:r>
      <w:r w:rsidRPr="000A01E2">
        <w:rPr>
          <w:b/>
          <w:color w:val="FF0000"/>
        </w:rPr>
        <w:t xml:space="preserve"> Program </w:t>
      </w:r>
      <w:r w:rsidR="000A01E2" w:rsidRPr="000A01E2">
        <w:rPr>
          <w:b/>
          <w:color w:val="FF0000"/>
        </w:rPr>
        <w:t xml:space="preserve">Policies and Regulations </w:t>
      </w:r>
      <w:r w:rsidRPr="000A01E2">
        <w:rPr>
          <w:b/>
          <w:color w:val="FF0000"/>
        </w:rPr>
        <w:t xml:space="preserve">and, if </w:t>
      </w:r>
      <w:r w:rsidR="000A01E2" w:rsidRPr="000A01E2">
        <w:rPr>
          <w:b/>
          <w:color w:val="FF0000"/>
        </w:rPr>
        <w:t>awarded</w:t>
      </w:r>
      <w:r w:rsidRPr="000A01E2">
        <w:rPr>
          <w:b/>
          <w:color w:val="FF0000"/>
        </w:rPr>
        <w:t>,</w:t>
      </w:r>
      <w:r w:rsidRPr="002359D5">
        <w:rPr>
          <w:b/>
        </w:rPr>
        <w:t xml:space="preserve"> will adhere to </w:t>
      </w:r>
      <w:r w:rsidRPr="000A01E2">
        <w:rPr>
          <w:b/>
          <w:color w:val="FF0000"/>
        </w:rPr>
        <w:t xml:space="preserve">all </w:t>
      </w:r>
      <w:r w:rsidR="000A01E2" w:rsidRPr="000A01E2">
        <w:rPr>
          <w:b/>
          <w:color w:val="FF0000"/>
        </w:rPr>
        <w:t xml:space="preserve">requirements </w:t>
      </w:r>
      <w:r w:rsidR="000A01E2">
        <w:rPr>
          <w:b/>
        </w:rPr>
        <w:t>a</w:t>
      </w:r>
      <w:r w:rsidRPr="002359D5">
        <w:rPr>
          <w:b/>
        </w:rPr>
        <w:t>pplicable to the funded project.</w:t>
      </w:r>
    </w:p>
    <w:p w14:paraId="4D7E5ABF" w14:textId="77777777" w:rsidR="00171065" w:rsidRPr="002359D5" w:rsidRDefault="00171065" w:rsidP="00171065">
      <w:pPr>
        <w:tabs>
          <w:tab w:val="left" w:pos="720"/>
        </w:tabs>
        <w:spacing w:line="240" w:lineRule="auto"/>
        <w:jc w:val="left"/>
        <w:rPr>
          <w:b/>
        </w:rPr>
      </w:pPr>
    </w:p>
    <w:p w14:paraId="036C3173" w14:textId="77777777" w:rsidR="00171065" w:rsidRPr="002359D5" w:rsidRDefault="00171065" w:rsidP="00171065">
      <w:pPr>
        <w:tabs>
          <w:tab w:val="left" w:pos="720"/>
        </w:tabs>
        <w:spacing w:line="240" w:lineRule="auto"/>
        <w:jc w:val="left"/>
        <w:rPr>
          <w:b/>
          <w:sz w:val="24"/>
          <w:szCs w:val="24"/>
        </w:rPr>
      </w:pPr>
    </w:p>
    <w:tbl>
      <w:tblPr>
        <w:tblW w:w="0" w:type="auto"/>
        <w:tblLook w:val="04A0" w:firstRow="1" w:lastRow="0" w:firstColumn="1" w:lastColumn="0" w:noHBand="0" w:noVBand="1"/>
      </w:tblPr>
      <w:tblGrid>
        <w:gridCol w:w="2638"/>
        <w:gridCol w:w="6722"/>
      </w:tblGrid>
      <w:tr w:rsidR="00171065" w:rsidRPr="002359D5" w14:paraId="539B6490" w14:textId="77777777" w:rsidTr="00F10A36">
        <w:tc>
          <w:tcPr>
            <w:tcW w:w="3258" w:type="dxa"/>
          </w:tcPr>
          <w:p w14:paraId="68B1B702" w14:textId="44F9A482" w:rsidR="00171065" w:rsidRPr="002359D5" w:rsidRDefault="00171065" w:rsidP="00F10A36">
            <w:pPr>
              <w:spacing w:before="240" w:line="240" w:lineRule="auto"/>
              <w:jc w:val="left"/>
              <w:rPr>
                <w:b/>
                <w:u w:val="single"/>
              </w:rPr>
            </w:pPr>
            <w:r w:rsidRPr="000A01E2">
              <w:rPr>
                <w:b/>
                <w:color w:val="FF0000"/>
              </w:rPr>
              <w:t xml:space="preserve">Name of </w:t>
            </w:r>
            <w:r w:rsidR="000A01E2" w:rsidRPr="000A01E2">
              <w:rPr>
                <w:b/>
                <w:color w:val="FF0000"/>
              </w:rPr>
              <w:t>Authorized Representative</w:t>
            </w:r>
          </w:p>
        </w:tc>
        <w:tc>
          <w:tcPr>
            <w:tcW w:w="7758" w:type="dxa"/>
          </w:tcPr>
          <w:p w14:paraId="04C6A458" w14:textId="77777777" w:rsidR="00171065" w:rsidRPr="002359D5" w:rsidRDefault="00171065" w:rsidP="00F10A36">
            <w:pPr>
              <w:spacing w:before="240" w:line="240" w:lineRule="auto"/>
              <w:jc w:val="left"/>
              <w:rPr>
                <w:sz w:val="24"/>
                <w:szCs w:val="24"/>
              </w:rPr>
            </w:pPr>
            <w:r w:rsidRPr="002359D5">
              <w:rPr>
                <w:sz w:val="24"/>
                <w:szCs w:val="24"/>
              </w:rPr>
              <w:t>________________________________________</w:t>
            </w:r>
          </w:p>
        </w:tc>
      </w:tr>
      <w:tr w:rsidR="00171065" w:rsidRPr="002359D5" w14:paraId="795EADBA" w14:textId="77777777" w:rsidTr="00F10A36">
        <w:tc>
          <w:tcPr>
            <w:tcW w:w="3258" w:type="dxa"/>
          </w:tcPr>
          <w:p w14:paraId="0B6DC2AE" w14:textId="77777777" w:rsidR="00171065" w:rsidRPr="002359D5" w:rsidRDefault="00171065" w:rsidP="00F10A36">
            <w:pPr>
              <w:spacing w:before="240" w:line="240" w:lineRule="auto"/>
              <w:jc w:val="left"/>
              <w:rPr>
                <w:b/>
                <w:u w:val="single"/>
              </w:rPr>
            </w:pPr>
            <w:r w:rsidRPr="002359D5">
              <w:rPr>
                <w:b/>
              </w:rPr>
              <w:t>Title</w:t>
            </w:r>
          </w:p>
        </w:tc>
        <w:tc>
          <w:tcPr>
            <w:tcW w:w="7758" w:type="dxa"/>
          </w:tcPr>
          <w:p w14:paraId="0CD242F0" w14:textId="77777777" w:rsidR="00171065" w:rsidRPr="002359D5" w:rsidRDefault="00171065" w:rsidP="00F10A36">
            <w:pPr>
              <w:spacing w:before="240" w:line="240" w:lineRule="auto"/>
              <w:jc w:val="left"/>
              <w:rPr>
                <w:sz w:val="24"/>
                <w:szCs w:val="24"/>
              </w:rPr>
            </w:pPr>
            <w:r w:rsidRPr="002359D5">
              <w:rPr>
                <w:sz w:val="24"/>
                <w:szCs w:val="24"/>
              </w:rPr>
              <w:t>________________________________________</w:t>
            </w:r>
          </w:p>
        </w:tc>
      </w:tr>
      <w:tr w:rsidR="00171065" w:rsidRPr="002359D5" w14:paraId="64DE0B53" w14:textId="77777777" w:rsidTr="00F10A36">
        <w:tc>
          <w:tcPr>
            <w:tcW w:w="3258" w:type="dxa"/>
          </w:tcPr>
          <w:p w14:paraId="403BAFC8" w14:textId="77777777" w:rsidR="00171065" w:rsidRPr="002359D5" w:rsidRDefault="00171065" w:rsidP="00F10A36">
            <w:pPr>
              <w:spacing w:before="240" w:line="240" w:lineRule="auto"/>
              <w:jc w:val="left"/>
              <w:rPr>
                <w:b/>
                <w:u w:val="single"/>
              </w:rPr>
            </w:pPr>
            <w:r w:rsidRPr="002359D5">
              <w:rPr>
                <w:b/>
              </w:rPr>
              <w:t>Signature</w:t>
            </w:r>
          </w:p>
        </w:tc>
        <w:tc>
          <w:tcPr>
            <w:tcW w:w="7758" w:type="dxa"/>
          </w:tcPr>
          <w:p w14:paraId="4CD36532" w14:textId="77777777" w:rsidR="00171065" w:rsidRPr="002359D5" w:rsidRDefault="00171065" w:rsidP="00F10A36">
            <w:pPr>
              <w:spacing w:before="240" w:line="240" w:lineRule="auto"/>
              <w:jc w:val="left"/>
              <w:rPr>
                <w:sz w:val="24"/>
                <w:szCs w:val="24"/>
              </w:rPr>
            </w:pPr>
            <w:r w:rsidRPr="002359D5">
              <w:rPr>
                <w:sz w:val="24"/>
                <w:szCs w:val="24"/>
              </w:rPr>
              <w:t>________________________________________</w:t>
            </w:r>
          </w:p>
        </w:tc>
      </w:tr>
      <w:tr w:rsidR="00171065" w:rsidRPr="002359D5" w14:paraId="239CE6E8" w14:textId="77777777" w:rsidTr="00F10A36">
        <w:tc>
          <w:tcPr>
            <w:tcW w:w="3258" w:type="dxa"/>
          </w:tcPr>
          <w:p w14:paraId="35655907" w14:textId="77777777" w:rsidR="00171065" w:rsidRPr="002359D5" w:rsidRDefault="00171065" w:rsidP="00F10A36">
            <w:pPr>
              <w:spacing w:before="240" w:line="240" w:lineRule="auto"/>
              <w:jc w:val="left"/>
              <w:rPr>
                <w:b/>
                <w:u w:val="single"/>
              </w:rPr>
            </w:pPr>
            <w:r w:rsidRPr="002359D5">
              <w:rPr>
                <w:b/>
              </w:rPr>
              <w:t>Date</w:t>
            </w:r>
          </w:p>
        </w:tc>
        <w:tc>
          <w:tcPr>
            <w:tcW w:w="7758" w:type="dxa"/>
          </w:tcPr>
          <w:p w14:paraId="0C152E46" w14:textId="77777777" w:rsidR="00171065" w:rsidRPr="002359D5" w:rsidRDefault="00171065" w:rsidP="00F10A36">
            <w:pPr>
              <w:spacing w:before="240" w:line="240" w:lineRule="auto"/>
              <w:jc w:val="left"/>
              <w:rPr>
                <w:sz w:val="24"/>
                <w:szCs w:val="24"/>
              </w:rPr>
            </w:pPr>
            <w:r w:rsidRPr="002359D5">
              <w:rPr>
                <w:sz w:val="24"/>
                <w:szCs w:val="24"/>
              </w:rPr>
              <w:t>________________________________________</w:t>
            </w:r>
          </w:p>
        </w:tc>
      </w:tr>
    </w:tbl>
    <w:p w14:paraId="555323F4" w14:textId="77777777" w:rsidR="00171065" w:rsidRPr="002359D5" w:rsidRDefault="00171065" w:rsidP="00171065">
      <w:pPr>
        <w:tabs>
          <w:tab w:val="left" w:pos="720"/>
        </w:tabs>
        <w:spacing w:line="240" w:lineRule="auto"/>
        <w:jc w:val="left"/>
        <w:rPr>
          <w:b/>
          <w:sz w:val="24"/>
          <w:szCs w:val="24"/>
        </w:rPr>
      </w:pPr>
    </w:p>
    <w:p w14:paraId="71972107" w14:textId="77777777" w:rsidR="00171065" w:rsidRPr="002359D5" w:rsidRDefault="00171065" w:rsidP="00171065">
      <w:pPr>
        <w:tabs>
          <w:tab w:val="left" w:pos="720"/>
        </w:tabs>
        <w:spacing w:line="240" w:lineRule="auto"/>
        <w:jc w:val="left"/>
        <w:rPr>
          <w:b/>
          <w:sz w:val="24"/>
          <w:szCs w:val="24"/>
        </w:rPr>
      </w:pPr>
    </w:p>
    <w:p w14:paraId="4DDAFE22" w14:textId="77777777" w:rsidR="00171065" w:rsidRPr="002359D5" w:rsidRDefault="00171065" w:rsidP="00171065">
      <w:pPr>
        <w:tabs>
          <w:tab w:val="left" w:pos="720"/>
        </w:tabs>
        <w:spacing w:line="240" w:lineRule="auto"/>
        <w:jc w:val="left"/>
        <w:rPr>
          <w:b/>
          <w:sz w:val="24"/>
          <w:szCs w:val="24"/>
        </w:rPr>
      </w:pPr>
    </w:p>
    <w:p w14:paraId="65542A1A" w14:textId="77777777" w:rsidR="000A01E2" w:rsidRPr="002359D5" w:rsidRDefault="000A01E2"/>
    <w:sectPr w:rsidR="000A01E2" w:rsidRPr="002359D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EC37FE" w14:textId="77777777" w:rsidR="002359D5" w:rsidRDefault="002359D5" w:rsidP="002359D5">
      <w:pPr>
        <w:spacing w:line="240" w:lineRule="auto"/>
      </w:pPr>
      <w:r>
        <w:separator/>
      </w:r>
    </w:p>
  </w:endnote>
  <w:endnote w:type="continuationSeparator" w:id="0">
    <w:p w14:paraId="4B3E911F" w14:textId="77777777" w:rsidR="002359D5" w:rsidRDefault="002359D5" w:rsidP="002359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33CCFB" w14:textId="77777777" w:rsidR="002359D5" w:rsidRPr="000A01E2" w:rsidRDefault="002359D5" w:rsidP="000A01E2">
    <w:pPr>
      <w:pStyle w:val="Footer"/>
      <w:pBdr>
        <w:top w:val="single" w:sz="4" w:space="1" w:color="auto"/>
      </w:pBdr>
      <w:rPr>
        <w:rFonts w:eastAsiaTheme="majorEastAsia" w:cstheme="minorHAnsi"/>
        <w:sz w:val="20"/>
        <w:szCs w:val="20"/>
      </w:rPr>
    </w:pPr>
    <w:r w:rsidRPr="000A01E2">
      <w:rPr>
        <w:rFonts w:eastAsiaTheme="majorEastAsia" w:cstheme="minorHAnsi"/>
        <w:sz w:val="20"/>
        <w:szCs w:val="20"/>
      </w:rPr>
      <w:t>CDBG-I</w:t>
    </w:r>
    <w:r w:rsidRPr="000A01E2">
      <w:rPr>
        <w:rFonts w:eastAsiaTheme="majorEastAsia" w:cstheme="minorHAnsi"/>
        <w:sz w:val="20"/>
        <w:szCs w:val="20"/>
      </w:rPr>
      <w:ptab w:relativeTo="margin" w:alignment="right" w:leader="none"/>
    </w:r>
    <w:r w:rsidRPr="000A01E2">
      <w:rPr>
        <w:rFonts w:eastAsiaTheme="majorEastAsia" w:cstheme="minorHAnsi"/>
        <w:sz w:val="20"/>
        <w:szCs w:val="20"/>
      </w:rPr>
      <w:t xml:space="preserve">Page </w:t>
    </w:r>
    <w:r w:rsidRPr="000A01E2">
      <w:rPr>
        <w:rFonts w:eastAsiaTheme="minorEastAsia" w:cstheme="minorHAnsi"/>
        <w:sz w:val="20"/>
        <w:szCs w:val="20"/>
      </w:rPr>
      <w:fldChar w:fldCharType="begin"/>
    </w:r>
    <w:r w:rsidRPr="000A01E2">
      <w:rPr>
        <w:rFonts w:cstheme="minorHAnsi"/>
        <w:sz w:val="20"/>
        <w:szCs w:val="20"/>
      </w:rPr>
      <w:instrText xml:space="preserve"> PAGE   \* MERGEFORMAT </w:instrText>
    </w:r>
    <w:r w:rsidRPr="000A01E2">
      <w:rPr>
        <w:rFonts w:eastAsiaTheme="minorEastAsia" w:cstheme="minorHAnsi"/>
        <w:sz w:val="20"/>
        <w:szCs w:val="20"/>
      </w:rPr>
      <w:fldChar w:fldCharType="separate"/>
    </w:r>
    <w:r w:rsidR="009E6AEE" w:rsidRPr="000A01E2">
      <w:rPr>
        <w:rFonts w:eastAsiaTheme="majorEastAsia" w:cstheme="minorHAnsi"/>
        <w:noProof/>
        <w:sz w:val="20"/>
        <w:szCs w:val="20"/>
      </w:rPr>
      <w:t>2</w:t>
    </w:r>
    <w:r w:rsidRPr="000A01E2">
      <w:rPr>
        <w:rFonts w:eastAsiaTheme="majorEastAsia" w:cstheme="minorHAnsi"/>
        <w:noProof/>
        <w:sz w:val="20"/>
        <w:szCs w:val="20"/>
      </w:rPr>
      <w:fldChar w:fldCharType="end"/>
    </w:r>
  </w:p>
  <w:p w14:paraId="0D4BA529" w14:textId="77777777" w:rsidR="002359D5" w:rsidRPr="000A01E2" w:rsidRDefault="002359D5">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A14E6" w14:textId="77777777" w:rsidR="002359D5" w:rsidRDefault="002359D5" w:rsidP="002359D5">
      <w:pPr>
        <w:spacing w:line="240" w:lineRule="auto"/>
      </w:pPr>
      <w:r>
        <w:separator/>
      </w:r>
    </w:p>
  </w:footnote>
  <w:footnote w:type="continuationSeparator" w:id="0">
    <w:p w14:paraId="1533BC55" w14:textId="77777777" w:rsidR="002359D5" w:rsidRDefault="002359D5" w:rsidP="002359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DC08" w14:textId="77777777" w:rsidR="0085191A" w:rsidRPr="002359D5" w:rsidRDefault="0085191A" w:rsidP="0085191A">
    <w:pPr>
      <w:spacing w:line="240" w:lineRule="auto"/>
      <w:ind w:left="720"/>
      <w:rPr>
        <w:b/>
        <w:caps/>
      </w:rPr>
    </w:pPr>
    <w:r w:rsidRPr="002359D5">
      <w:rPr>
        <w:b/>
        <w:caps/>
      </w:rPr>
      <w:t xml:space="preserve">Local Government Certification of </w:t>
    </w:r>
  </w:p>
  <w:p w14:paraId="18E5F18E" w14:textId="77777777" w:rsidR="0085191A" w:rsidRPr="002359D5" w:rsidRDefault="0085191A" w:rsidP="0085191A">
    <w:pPr>
      <w:spacing w:line="240" w:lineRule="auto"/>
      <w:ind w:left="720"/>
      <w:rPr>
        <w:b/>
        <w:caps/>
      </w:rPr>
    </w:pPr>
    <w:r w:rsidRPr="002359D5">
      <w:rPr>
        <w:b/>
        <w:caps/>
      </w:rPr>
      <w:t xml:space="preserve">Understanding of the Roles and RESPONSIBILITIES </w:t>
    </w:r>
  </w:p>
  <w:p w14:paraId="48709579" w14:textId="77777777" w:rsidR="0085191A" w:rsidRPr="002359D5" w:rsidRDefault="0085191A" w:rsidP="008B7FC6">
    <w:pPr>
      <w:pBdr>
        <w:bottom w:val="single" w:sz="4" w:space="1" w:color="auto"/>
      </w:pBdr>
      <w:spacing w:line="240" w:lineRule="auto"/>
      <w:rPr>
        <w:b/>
      </w:rPr>
    </w:pPr>
    <w:r w:rsidRPr="002359D5">
      <w:rPr>
        <w:b/>
        <w:caps/>
      </w:rPr>
      <w:t>under the</w:t>
    </w:r>
    <w:r w:rsidRPr="002359D5">
      <w:rPr>
        <w:b/>
      </w:rPr>
      <w:t xml:space="preserve"> HUD STATE COMMUNITY DEVELOPMENT BLOCK GRANT (CDBG) REGULATIONS</w:t>
    </w:r>
    <w:r>
      <w:rPr>
        <w:b/>
      </w:rPr>
      <w:t xml:space="preserve"> </w:t>
    </w:r>
    <w:r w:rsidRPr="0085191A">
      <w:rPr>
        <w:b/>
        <w:color w:val="FF0000"/>
      </w:rPr>
      <w:t>AND CDBG-INFRASTRUCTURE PROGRAM</w:t>
    </w:r>
  </w:p>
  <w:p w14:paraId="7A2F9F3D" w14:textId="77777777" w:rsidR="0085191A" w:rsidRDefault="008519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CA76C8"/>
    <w:multiLevelType w:val="hybridMultilevel"/>
    <w:tmpl w:val="BA76EC4E"/>
    <w:lvl w:ilvl="0" w:tplc="0F42D546">
      <w:start w:val="1"/>
      <w:numFmt w:val="upperLetter"/>
      <w:lvlText w:val="%1."/>
      <w:lvlJc w:val="left"/>
      <w:pPr>
        <w:ind w:left="720" w:hanging="360"/>
      </w:pPr>
      <w:rPr>
        <w:rFonts w:asciiTheme="minorHAnsi" w:hAnsiTheme="minorHAnsi"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64E05"/>
    <w:multiLevelType w:val="hybridMultilevel"/>
    <w:tmpl w:val="741CDF3E"/>
    <w:lvl w:ilvl="0" w:tplc="01F6AF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482727"/>
    <w:multiLevelType w:val="hybridMultilevel"/>
    <w:tmpl w:val="963E47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54420069">
    <w:abstractNumId w:val="0"/>
  </w:num>
  <w:num w:numId="2" w16cid:durableId="305203930">
    <w:abstractNumId w:val="2"/>
  </w:num>
  <w:num w:numId="3" w16cid:durableId="524707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065"/>
    <w:rsid w:val="00044FE3"/>
    <w:rsid w:val="000A01E2"/>
    <w:rsid w:val="00171065"/>
    <w:rsid w:val="001E4F17"/>
    <w:rsid w:val="002359D5"/>
    <w:rsid w:val="005176EC"/>
    <w:rsid w:val="00663165"/>
    <w:rsid w:val="00810307"/>
    <w:rsid w:val="0085191A"/>
    <w:rsid w:val="008A2263"/>
    <w:rsid w:val="008B7FC6"/>
    <w:rsid w:val="009E6AEE"/>
    <w:rsid w:val="009F5A73"/>
    <w:rsid w:val="00A56682"/>
    <w:rsid w:val="00A968ED"/>
    <w:rsid w:val="00BA6232"/>
    <w:rsid w:val="00DA006D"/>
    <w:rsid w:val="00DD586B"/>
    <w:rsid w:val="00E94922"/>
    <w:rsid w:val="00FA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6A819"/>
  <w15:docId w15:val="{9DF84348-780F-4E2C-8CB9-41754E05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065"/>
    <w:pPr>
      <w:spacing w:after="0"/>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59D5"/>
    <w:pPr>
      <w:tabs>
        <w:tab w:val="center" w:pos="4680"/>
        <w:tab w:val="right" w:pos="9360"/>
      </w:tabs>
      <w:spacing w:line="240" w:lineRule="auto"/>
    </w:pPr>
  </w:style>
  <w:style w:type="character" w:customStyle="1" w:styleId="HeaderChar">
    <w:name w:val="Header Char"/>
    <w:basedOn w:val="DefaultParagraphFont"/>
    <w:link w:val="Header"/>
    <w:uiPriority w:val="99"/>
    <w:rsid w:val="002359D5"/>
  </w:style>
  <w:style w:type="paragraph" w:styleId="Footer">
    <w:name w:val="footer"/>
    <w:basedOn w:val="Normal"/>
    <w:link w:val="FooterChar"/>
    <w:uiPriority w:val="99"/>
    <w:unhideWhenUsed/>
    <w:rsid w:val="002359D5"/>
    <w:pPr>
      <w:tabs>
        <w:tab w:val="center" w:pos="4680"/>
        <w:tab w:val="right" w:pos="9360"/>
      </w:tabs>
      <w:spacing w:line="240" w:lineRule="auto"/>
    </w:pPr>
  </w:style>
  <w:style w:type="character" w:customStyle="1" w:styleId="FooterChar">
    <w:name w:val="Footer Char"/>
    <w:basedOn w:val="DefaultParagraphFont"/>
    <w:link w:val="Footer"/>
    <w:uiPriority w:val="99"/>
    <w:rsid w:val="002359D5"/>
  </w:style>
  <w:style w:type="paragraph" w:styleId="BalloonText">
    <w:name w:val="Balloon Text"/>
    <w:basedOn w:val="Normal"/>
    <w:link w:val="BalloonTextChar"/>
    <w:uiPriority w:val="99"/>
    <w:semiHidden/>
    <w:unhideWhenUsed/>
    <w:rsid w:val="002359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9D5"/>
    <w:rPr>
      <w:rFonts w:ascii="Tahoma" w:hAnsi="Tahoma" w:cs="Tahoma"/>
      <w:sz w:val="16"/>
      <w:szCs w:val="16"/>
    </w:rPr>
  </w:style>
  <w:style w:type="paragraph" w:styleId="ListParagraph">
    <w:name w:val="List Paragraph"/>
    <w:basedOn w:val="Normal"/>
    <w:uiPriority w:val="34"/>
    <w:qFormat/>
    <w:rsid w:val="00BA6232"/>
    <w:pPr>
      <w:ind w:left="720"/>
      <w:contextualSpacing/>
    </w:pPr>
  </w:style>
  <w:style w:type="character" w:styleId="Hyperlink">
    <w:name w:val="Hyperlink"/>
    <w:basedOn w:val="DefaultParagraphFont"/>
    <w:uiPriority w:val="99"/>
    <w:unhideWhenUsed/>
    <w:rsid w:val="001E4F17"/>
    <w:rPr>
      <w:color w:val="0000FF" w:themeColor="hyperlink"/>
      <w:u w:val="single"/>
    </w:rPr>
  </w:style>
  <w:style w:type="character" w:styleId="UnresolvedMention">
    <w:name w:val="Unresolved Mention"/>
    <w:basedOn w:val="DefaultParagraphFont"/>
    <w:uiPriority w:val="99"/>
    <w:semiHidden/>
    <w:unhideWhenUsed/>
    <w:rsid w:val="001E4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q.nc.gov/about/divisions/water-infrastructure/i-have-funding/cdbg-i-compliance-and-reporting-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Liney Marcela Vargas</dc:creator>
  <cp:lastModifiedBy>Simmons, Colleen M</cp:lastModifiedBy>
  <cp:revision>7</cp:revision>
  <cp:lastPrinted>2015-08-21T18:35:00Z</cp:lastPrinted>
  <dcterms:created xsi:type="dcterms:W3CDTF">2017-02-23T21:35:00Z</dcterms:created>
  <dcterms:modified xsi:type="dcterms:W3CDTF">2024-12-09T15:04:00Z</dcterms:modified>
</cp:coreProperties>
</file>