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9B445" w14:textId="77777777" w:rsidR="00F2202D" w:rsidRPr="006732BB" w:rsidRDefault="00F2202D" w:rsidP="00F2202D">
      <w:pPr>
        <w:pStyle w:val="Header"/>
        <w:jc w:val="center"/>
        <w:rPr>
          <w:rFonts w:ascii="Calibri" w:hAnsi="Calibri"/>
          <w:b/>
        </w:rPr>
      </w:pPr>
      <w:r w:rsidRPr="006732BB">
        <w:rPr>
          <w:rFonts w:ascii="Calibri" w:hAnsi="Calibri"/>
          <w:b/>
        </w:rPr>
        <w:t>North Carolina</w:t>
      </w:r>
      <w:r>
        <w:rPr>
          <w:rFonts w:ascii="Calibri" w:hAnsi="Calibri"/>
          <w:b/>
        </w:rPr>
        <w:t xml:space="preserve"> </w:t>
      </w:r>
      <w:r w:rsidRPr="006732BB">
        <w:rPr>
          <w:rFonts w:ascii="Calibri" w:hAnsi="Calibri"/>
          <w:b/>
        </w:rPr>
        <w:t>Department of Environment</w:t>
      </w:r>
      <w:r>
        <w:rPr>
          <w:rFonts w:ascii="Calibri" w:hAnsi="Calibri"/>
          <w:b/>
        </w:rPr>
        <w:t>al Quality</w:t>
      </w:r>
    </w:p>
    <w:p w14:paraId="74C59F8B" w14:textId="77777777" w:rsidR="00F2202D" w:rsidRPr="00AD4B54" w:rsidRDefault="00F2202D" w:rsidP="00F2202D">
      <w:pPr>
        <w:pStyle w:val="Header"/>
        <w:spacing w:after="120"/>
        <w:jc w:val="center"/>
        <w:rPr>
          <w:rFonts w:ascii="Calibri" w:hAnsi="Calibri"/>
          <w:b/>
        </w:rPr>
      </w:pPr>
      <w:r w:rsidRPr="006732BB">
        <w:rPr>
          <w:rFonts w:ascii="Calibri" w:hAnsi="Calibri"/>
          <w:b/>
        </w:rPr>
        <w:t xml:space="preserve">Division of Water </w:t>
      </w:r>
      <w:r>
        <w:rPr>
          <w:rFonts w:ascii="Calibri" w:hAnsi="Calibri"/>
          <w:b/>
        </w:rPr>
        <w:t>Infrastructure</w:t>
      </w:r>
    </w:p>
    <w:p w14:paraId="5C868796" w14:textId="0D94EBBA" w:rsidR="00F2202D" w:rsidRDefault="00F2202D" w:rsidP="00F2202D">
      <w:pPr>
        <w:pStyle w:val="Header"/>
        <w:jc w:val="center"/>
        <w:rPr>
          <w:rFonts w:ascii="Calibri" w:hAnsi="Calibri"/>
          <w:b/>
          <w:caps/>
          <w:szCs w:val="24"/>
        </w:rPr>
      </w:pPr>
      <w:r>
        <w:rPr>
          <w:rFonts w:ascii="Calibri" w:hAnsi="Calibri"/>
          <w:b/>
          <w:caps/>
          <w:szCs w:val="24"/>
        </w:rPr>
        <w:t>Bid and Design Document preparation Guida</w:t>
      </w:r>
      <w:r w:rsidR="00ED3B7A">
        <w:rPr>
          <w:rFonts w:ascii="Calibri" w:hAnsi="Calibri"/>
          <w:b/>
          <w:caps/>
          <w:szCs w:val="24"/>
        </w:rPr>
        <w:t>NC</w:t>
      </w:r>
      <w:r>
        <w:rPr>
          <w:rFonts w:ascii="Calibri" w:hAnsi="Calibri"/>
          <w:b/>
          <w:caps/>
          <w:szCs w:val="24"/>
        </w:rPr>
        <w:t>e Policy</w:t>
      </w:r>
    </w:p>
    <w:p w14:paraId="1E25A8D6" w14:textId="6DC8676C" w:rsidR="00F2202D" w:rsidRDefault="00F2202D" w:rsidP="00F2202D">
      <w:pPr>
        <w:pStyle w:val="Header"/>
        <w:jc w:val="center"/>
        <w:rPr>
          <w:rFonts w:ascii="Calibri" w:hAnsi="Calibri"/>
          <w:b/>
          <w:caps/>
          <w:szCs w:val="24"/>
        </w:rPr>
      </w:pPr>
      <w:r>
        <w:rPr>
          <w:rFonts w:ascii="Calibri" w:hAnsi="Calibri"/>
          <w:b/>
          <w:caps/>
          <w:szCs w:val="24"/>
        </w:rPr>
        <w:t>for DWI Funded Projects</w:t>
      </w:r>
    </w:p>
    <w:p w14:paraId="300C7B81" w14:textId="0BB47EA1" w:rsidR="00F2202D" w:rsidRPr="00221CC7" w:rsidRDefault="00F2202D" w:rsidP="00F2202D">
      <w:pPr>
        <w:pStyle w:val="Header"/>
        <w:jc w:val="center"/>
        <w:rPr>
          <w:rFonts w:ascii="Calibri" w:hAnsi="Calibri"/>
          <w:bCs/>
          <w:caps/>
          <w:szCs w:val="24"/>
        </w:rPr>
      </w:pPr>
      <w:r w:rsidRPr="00221CC7">
        <w:rPr>
          <w:rFonts w:ascii="Calibri" w:hAnsi="Calibri"/>
          <w:bCs/>
          <w:caps/>
          <w:szCs w:val="24"/>
        </w:rPr>
        <w:t xml:space="preserve">Updated </w:t>
      </w:r>
      <w:r w:rsidR="00163A2B">
        <w:rPr>
          <w:rFonts w:ascii="Calibri" w:hAnsi="Calibri"/>
          <w:bCs/>
          <w:caps/>
          <w:szCs w:val="24"/>
        </w:rPr>
        <w:t>October 2025</w:t>
      </w:r>
    </w:p>
    <w:p w14:paraId="1601E194" w14:textId="6137971F" w:rsidR="00F2202D" w:rsidRDefault="001A1797">
      <w:r>
        <w:pict w14:anchorId="2CAD6E7C">
          <v:rect id="_x0000_i1025" style="width:0;height:1.5pt" o:hralign="center" o:hrstd="t" o:hr="t" fillcolor="#a0a0a0" stroked="f"/>
        </w:pict>
      </w:r>
    </w:p>
    <w:p w14:paraId="4309B140" w14:textId="4668E5A5" w:rsidR="00F2202D" w:rsidRDefault="002A496B" w:rsidP="00521D74">
      <w:pPr>
        <w:pStyle w:val="ListParagraph"/>
        <w:numPr>
          <w:ilvl w:val="0"/>
          <w:numId w:val="1"/>
        </w:numPr>
        <w:ind w:right="-187"/>
        <w:rPr>
          <w:rStyle w:val="normaltextrun"/>
        </w:rPr>
      </w:pPr>
      <w:r>
        <w:rPr>
          <w:rStyle w:val="normaltextrun"/>
        </w:rPr>
        <w:t xml:space="preserve">A Completed Submittal package including all items listed in the </w:t>
      </w:r>
      <w:r w:rsidRPr="002D70A5">
        <w:rPr>
          <w:rStyle w:val="normaltextrun"/>
          <w:u w:val="single"/>
        </w:rPr>
        <w:t>Submittal Checklist</w:t>
      </w:r>
      <w:r w:rsidRPr="002D70A5">
        <w:rPr>
          <w:rStyle w:val="normaltextrun"/>
        </w:rPr>
        <w:t xml:space="preserve"> </w:t>
      </w:r>
      <w:r>
        <w:rPr>
          <w:rStyle w:val="normaltextrun"/>
        </w:rPr>
        <w:t>is required prior to review by t</w:t>
      </w:r>
      <w:r w:rsidR="00F2202D" w:rsidRPr="00F2202D">
        <w:rPr>
          <w:rStyle w:val="normaltextrun"/>
        </w:rPr>
        <w:t xml:space="preserve">he Division of Water Infrastructure </w:t>
      </w:r>
      <w:r>
        <w:rPr>
          <w:rStyle w:val="normaltextrun"/>
        </w:rPr>
        <w:t xml:space="preserve">staff. </w:t>
      </w:r>
      <w:r w:rsidRPr="002A496B">
        <w:t xml:space="preserve">Failure to submit all the required items may result in an inability to meet funding deadlines and subsequent loss of funding assurance. Please check with your project manager first if you </w:t>
      </w:r>
      <w:r w:rsidR="002D70A5">
        <w:t>must</w:t>
      </w:r>
      <w:r w:rsidRPr="002A496B">
        <w:t xml:space="preserve"> submit a partial submittal.</w:t>
      </w:r>
    </w:p>
    <w:p w14:paraId="0275E923" w14:textId="77777777" w:rsidR="002A496B" w:rsidRPr="00F2202D" w:rsidRDefault="002A496B" w:rsidP="002A496B">
      <w:pPr>
        <w:pStyle w:val="ListParagraph"/>
        <w:ind w:left="360" w:right="-187"/>
        <w:rPr>
          <w:rStyle w:val="normaltextrun"/>
        </w:rPr>
      </w:pPr>
    </w:p>
    <w:p w14:paraId="4BABFF8C" w14:textId="21267FF1" w:rsidR="00F2202D" w:rsidRPr="00F2202D" w:rsidRDefault="00F2202D" w:rsidP="00F2202D">
      <w:pPr>
        <w:pStyle w:val="ListParagraph"/>
        <w:numPr>
          <w:ilvl w:val="0"/>
          <w:numId w:val="1"/>
        </w:numPr>
        <w:ind w:right="-187"/>
        <w:rPr>
          <w:rStyle w:val="normaltextrun"/>
          <w:rFonts w:ascii="Calibri" w:hAnsi="Calibri"/>
          <w:sz w:val="20"/>
        </w:rPr>
      </w:pPr>
      <w:r>
        <w:rPr>
          <w:rStyle w:val="normaltextrun"/>
        </w:rPr>
        <w:t xml:space="preserve">Submit Plans and Specifications via the new Online Supporting Documentation Submittal Form located at </w:t>
      </w:r>
      <w:hyperlink r:id="rId7" w:tgtFrame="_blank" w:history="1">
        <w:r>
          <w:rPr>
            <w:rStyle w:val="normaltextrun"/>
            <w:color w:val="0000FF"/>
            <w:u w:val="single"/>
          </w:rPr>
          <w:t>https://edocs.deq.nc.gov/Forms/DW-Document-Upload-Form</w:t>
        </w:r>
      </w:hyperlink>
      <w:r>
        <w:rPr>
          <w:rStyle w:val="normaltextrun"/>
        </w:rPr>
        <w:t xml:space="preserve">. The link to the online submittal form and a list of frequently asked questions can also be accessed from the Division’s “I Have Funding” page, </w:t>
      </w:r>
      <w:hyperlink r:id="rId8" w:tgtFrame="_blank" w:history="1">
        <w:r>
          <w:rPr>
            <w:rStyle w:val="normaltextrun"/>
            <w:color w:val="0000FF"/>
            <w:u w:val="single"/>
          </w:rPr>
          <w:t>https://www.deq.nc.gov/about/divisions/water-infrastructure/i-have-funding</w:t>
        </w:r>
      </w:hyperlink>
      <w:r>
        <w:rPr>
          <w:rStyle w:val="normaltextrun"/>
        </w:rPr>
        <w:t>.</w:t>
      </w:r>
    </w:p>
    <w:p w14:paraId="16CF619E" w14:textId="77777777" w:rsidR="00F2202D" w:rsidRPr="00F2202D" w:rsidRDefault="00F2202D" w:rsidP="00F2202D">
      <w:pPr>
        <w:pStyle w:val="ListParagraph"/>
        <w:rPr>
          <w:rStyle w:val="normaltextrun"/>
          <w:rFonts w:ascii="Calibri" w:hAnsi="Calibri"/>
          <w:sz w:val="20"/>
        </w:rPr>
      </w:pPr>
    </w:p>
    <w:p w14:paraId="3BA728A7" w14:textId="787C9850" w:rsidR="00F2202D" w:rsidRDefault="00F2202D" w:rsidP="00F2202D">
      <w:pPr>
        <w:pStyle w:val="ListParagraph"/>
        <w:numPr>
          <w:ilvl w:val="0"/>
          <w:numId w:val="1"/>
        </w:numPr>
        <w:ind w:right="-187"/>
        <w:rPr>
          <w:rStyle w:val="normaltextrun"/>
        </w:rPr>
      </w:pPr>
      <w:r w:rsidRPr="00F2202D">
        <w:rPr>
          <w:rStyle w:val="normaltextrun"/>
        </w:rPr>
        <w:t xml:space="preserve">Do not include </w:t>
      </w:r>
      <w:r>
        <w:rPr>
          <w:rStyle w:val="normaltextrun"/>
        </w:rPr>
        <w:t>Contingency as an allowance in the Bid Form. 5% Contingency will be added to the Contract amount in the Division</w:t>
      </w:r>
      <w:r w:rsidR="002D70A5">
        <w:rPr>
          <w:rStyle w:val="normaltextrun"/>
        </w:rPr>
        <w:t>-</w:t>
      </w:r>
      <w:r>
        <w:rPr>
          <w:rStyle w:val="normaltextrun"/>
        </w:rPr>
        <w:t xml:space="preserve">issued Authority to Award </w:t>
      </w:r>
      <w:r w:rsidR="00DB2594">
        <w:rPr>
          <w:rStyle w:val="normaltextrun"/>
        </w:rPr>
        <w:t xml:space="preserve">(ATA) </w:t>
      </w:r>
      <w:r w:rsidR="002D70A5">
        <w:rPr>
          <w:rStyle w:val="normaltextrun"/>
        </w:rPr>
        <w:t>l</w:t>
      </w:r>
      <w:r>
        <w:rPr>
          <w:rStyle w:val="normaltextrun"/>
        </w:rPr>
        <w:t xml:space="preserve">etter. </w:t>
      </w:r>
      <w:r w:rsidR="00DB2594">
        <w:rPr>
          <w:rStyle w:val="normaltextrun"/>
        </w:rPr>
        <w:t xml:space="preserve">Only costs approved in a </w:t>
      </w:r>
      <w:r>
        <w:rPr>
          <w:rStyle w:val="normaltextrun"/>
        </w:rPr>
        <w:t>change order</w:t>
      </w:r>
      <w:r w:rsidR="00DB2594">
        <w:rPr>
          <w:rStyle w:val="normaltextrun"/>
        </w:rPr>
        <w:t xml:space="preserve"> and eligible for funding can be used </w:t>
      </w:r>
      <w:r w:rsidR="00CE7E8C">
        <w:rPr>
          <w:rStyle w:val="normaltextrun"/>
        </w:rPr>
        <w:t>to</w:t>
      </w:r>
      <w:r>
        <w:rPr>
          <w:rStyle w:val="normaltextrun"/>
        </w:rPr>
        <w:t xml:space="preserve"> claim the Contingency.</w:t>
      </w:r>
    </w:p>
    <w:p w14:paraId="44487D42" w14:textId="77777777" w:rsidR="00F2202D" w:rsidRDefault="00F2202D" w:rsidP="00F2202D">
      <w:pPr>
        <w:pStyle w:val="ListParagraph"/>
        <w:rPr>
          <w:rStyle w:val="normaltextrun"/>
        </w:rPr>
      </w:pPr>
    </w:p>
    <w:p w14:paraId="4E6BCB5B" w14:textId="3C212DCD" w:rsidR="005A05D4" w:rsidRDefault="00F2202D" w:rsidP="00665B77">
      <w:pPr>
        <w:pStyle w:val="ListParagraph"/>
        <w:numPr>
          <w:ilvl w:val="0"/>
          <w:numId w:val="1"/>
        </w:numPr>
        <w:ind w:right="-187"/>
        <w:rPr>
          <w:rStyle w:val="normaltextrun"/>
        </w:rPr>
      </w:pPr>
      <w:r>
        <w:rPr>
          <w:rStyle w:val="normaltextrun"/>
        </w:rPr>
        <w:t xml:space="preserve">Bid Documents should be prepared </w:t>
      </w:r>
      <w:r w:rsidR="00FE367F">
        <w:rPr>
          <w:rStyle w:val="normaltextrun"/>
        </w:rPr>
        <w:t>for</w:t>
      </w:r>
      <w:r>
        <w:rPr>
          <w:rStyle w:val="normaltextrun"/>
        </w:rPr>
        <w:t xml:space="preserve"> Competitive Bidding</w:t>
      </w:r>
      <w:r w:rsidR="005A05D4">
        <w:rPr>
          <w:rStyle w:val="normaltextrun"/>
        </w:rPr>
        <w:t xml:space="preserve"> in accordance with </w:t>
      </w:r>
      <w:r w:rsidR="005A05D4" w:rsidRPr="00867EE8">
        <w:rPr>
          <w:rStyle w:val="normaltextrun"/>
        </w:rPr>
        <w:t>2 C.F.R. § 200.320(c)</w:t>
      </w:r>
      <w:r w:rsidR="005A05D4">
        <w:rPr>
          <w:rStyle w:val="normaltextrun"/>
        </w:rPr>
        <w:t xml:space="preserve"> and GS </w:t>
      </w:r>
      <w:r w:rsidR="008C323A" w:rsidRPr="00867EE8">
        <w:rPr>
          <w:rStyle w:val="normaltextrun"/>
        </w:rPr>
        <w:t>§</w:t>
      </w:r>
      <w:r w:rsidR="005A05D4">
        <w:rPr>
          <w:rStyle w:val="normaltextrun"/>
        </w:rPr>
        <w:t>133-3</w:t>
      </w:r>
      <w:r>
        <w:rPr>
          <w:rStyle w:val="normaltextrun"/>
        </w:rPr>
        <w:t xml:space="preserve">. Owner preferred </w:t>
      </w:r>
      <w:r w:rsidR="002443DA">
        <w:rPr>
          <w:rStyle w:val="normaltextrun"/>
        </w:rPr>
        <w:t>equipment/services must</w:t>
      </w:r>
      <w:r>
        <w:rPr>
          <w:rStyle w:val="normaltextrun"/>
        </w:rPr>
        <w:t xml:space="preserve"> get prior approval</w:t>
      </w:r>
      <w:r w:rsidR="005A05D4">
        <w:rPr>
          <w:rStyle w:val="normaltextrun"/>
        </w:rPr>
        <w:t xml:space="preserve"> as stated by</w:t>
      </w:r>
      <w:r>
        <w:rPr>
          <w:rStyle w:val="normaltextrun"/>
        </w:rPr>
        <w:t xml:space="preserve"> </w:t>
      </w:r>
      <w:r w:rsidR="005A05D4">
        <w:rPr>
          <w:rStyle w:val="normaltextrun"/>
        </w:rPr>
        <w:t xml:space="preserve">2 </w:t>
      </w:r>
      <w:r w:rsidR="005A05D4" w:rsidRPr="00867EE8">
        <w:rPr>
          <w:rStyle w:val="normaltextrun"/>
        </w:rPr>
        <w:t>C.F.R. §200.320(c)</w:t>
      </w:r>
      <w:r w:rsidR="005A05D4">
        <w:rPr>
          <w:rStyle w:val="normaltextrun"/>
        </w:rPr>
        <w:t xml:space="preserve">(4) </w:t>
      </w:r>
      <w:r>
        <w:rPr>
          <w:rStyle w:val="normaltextrun"/>
        </w:rPr>
        <w:t>from the Division</w:t>
      </w:r>
      <w:r w:rsidR="00474F36">
        <w:rPr>
          <w:rStyle w:val="normaltextrun"/>
        </w:rPr>
        <w:t xml:space="preserve"> for projects funded by any </w:t>
      </w:r>
      <w:r w:rsidR="00474F36" w:rsidRPr="00867EE8">
        <w:rPr>
          <w:rStyle w:val="normaltextrun"/>
        </w:rPr>
        <w:t>funding program</w:t>
      </w:r>
      <w:r w:rsidR="00867EE8" w:rsidRPr="00867EE8">
        <w:rPr>
          <w:rStyle w:val="normaltextrun"/>
        </w:rPr>
        <w:t xml:space="preserve"> other than ARPA</w:t>
      </w:r>
      <w:r w:rsidR="005A05D4">
        <w:rPr>
          <w:rStyle w:val="normaltextrun"/>
        </w:rPr>
        <w:t>.</w:t>
      </w:r>
    </w:p>
    <w:p w14:paraId="1D7C8E4C" w14:textId="77777777" w:rsidR="005A05D4" w:rsidRDefault="005A05D4" w:rsidP="005A05D4">
      <w:pPr>
        <w:pStyle w:val="ListParagraph"/>
        <w:ind w:left="360" w:right="-187"/>
        <w:rPr>
          <w:rStyle w:val="normaltextrun"/>
        </w:rPr>
      </w:pPr>
    </w:p>
    <w:p w14:paraId="139234E2" w14:textId="374CF195" w:rsidR="007646ED" w:rsidRPr="00CE41A1" w:rsidRDefault="00867EE8" w:rsidP="007646ED">
      <w:pPr>
        <w:pStyle w:val="ListParagraph"/>
        <w:numPr>
          <w:ilvl w:val="0"/>
          <w:numId w:val="1"/>
        </w:numPr>
        <w:ind w:right="-187"/>
        <w:rPr>
          <w:rStyle w:val="normaltextrun"/>
        </w:rPr>
      </w:pPr>
      <w:r w:rsidRPr="00CE41A1">
        <w:rPr>
          <w:sz w:val="22"/>
          <w:szCs w:val="22"/>
        </w:rPr>
        <w:t>For all</w:t>
      </w:r>
      <w:r w:rsidRPr="00CE41A1">
        <w:rPr>
          <w:b/>
          <w:bCs/>
          <w:sz w:val="22"/>
          <w:szCs w:val="22"/>
        </w:rPr>
        <w:t xml:space="preserve"> </w:t>
      </w:r>
      <w:r w:rsidR="00014B0F" w:rsidRPr="00CE41A1">
        <w:rPr>
          <w:b/>
          <w:bCs/>
          <w:sz w:val="22"/>
          <w:szCs w:val="22"/>
          <w:u w:val="single"/>
        </w:rPr>
        <w:t xml:space="preserve">ARPA </w:t>
      </w:r>
      <w:r w:rsidRPr="00CE41A1">
        <w:rPr>
          <w:b/>
          <w:bCs/>
          <w:sz w:val="22"/>
          <w:szCs w:val="22"/>
          <w:u w:val="single"/>
        </w:rPr>
        <w:t>Funded projects</w:t>
      </w:r>
      <w:r w:rsidRPr="00CE41A1">
        <w:rPr>
          <w:sz w:val="22"/>
          <w:szCs w:val="22"/>
        </w:rPr>
        <w:t xml:space="preserve">  a</w:t>
      </w:r>
      <w:r w:rsidR="007646ED" w:rsidRPr="00CE41A1">
        <w:rPr>
          <w:sz w:val="22"/>
          <w:szCs w:val="22"/>
        </w:rPr>
        <w:t>l</w:t>
      </w:r>
      <w:r w:rsidR="007646ED" w:rsidRPr="00CE41A1">
        <w:rPr>
          <w:rStyle w:val="normaltextrun"/>
        </w:rPr>
        <w:t>l procurement transactions for property or services must be conducted in a manner providing full and open competition, consistent with standards outlined in 2 C.F.R. § 200.320(c)(1), (2), (3), and (5), which allows for non-competitive procurements only if either (1) the item is below the micro-purchase threshold; (2) the item is only available from a single source; (3) the public exigency or emergency will not permit a delay from publicizing a competitive solicitation; or (5) after solicitation of a number of sources, competition is determined inadequate.</w:t>
      </w:r>
      <w:r w:rsidR="005A05D4" w:rsidRPr="00CE41A1">
        <w:rPr>
          <w:rStyle w:val="normaltextrun"/>
        </w:rPr>
        <w:t xml:space="preserve"> </w:t>
      </w:r>
      <w:r w:rsidR="005A05D4" w:rsidRPr="00D753A8">
        <w:rPr>
          <w:rStyle w:val="normaltextrun"/>
          <w:b/>
          <w:bCs/>
        </w:rPr>
        <w:t>Please note that 2 C.F.R. § 200.320(c)(4)</w:t>
      </w:r>
      <w:r w:rsidR="003353B4" w:rsidRPr="00D753A8">
        <w:rPr>
          <w:rStyle w:val="normaltextrun"/>
          <w:b/>
          <w:bCs/>
        </w:rPr>
        <w:t xml:space="preserve"> is explicitly prohibited as a procurement circumstance.</w:t>
      </w:r>
    </w:p>
    <w:p w14:paraId="2161FE4F" w14:textId="77777777" w:rsidR="00F64B11" w:rsidRPr="008C323A" w:rsidRDefault="00F64B11" w:rsidP="008C323A">
      <w:pPr>
        <w:pStyle w:val="ListParagraph"/>
        <w:ind w:left="360" w:right="-187"/>
        <w:rPr>
          <w:rStyle w:val="normaltextrun"/>
        </w:rPr>
      </w:pPr>
    </w:p>
    <w:p w14:paraId="5A9378E3" w14:textId="79E4FCA1" w:rsidR="000665B2" w:rsidRDefault="00F64B11" w:rsidP="00F64B11">
      <w:pPr>
        <w:pStyle w:val="ListParagraph"/>
        <w:numPr>
          <w:ilvl w:val="0"/>
          <w:numId w:val="1"/>
        </w:numPr>
        <w:ind w:right="-187"/>
      </w:pPr>
      <w:r w:rsidRPr="008C323A">
        <w:rPr>
          <w:rStyle w:val="normaltextrun"/>
        </w:rPr>
        <w:t>Under North Carolina law, units of local government need not engage in a competitive bidding process for either the purchase of “apparatus, supplies, materials, or equipment” or the purchase of “construction or repair work” unless the cost of each such purchase exceeds $30,000</w:t>
      </w:r>
      <w:r w:rsidR="008C323A" w:rsidRPr="008C323A">
        <w:rPr>
          <w:rStyle w:val="normaltextrun"/>
        </w:rPr>
        <w:t xml:space="preserve"> </w:t>
      </w:r>
      <w:r w:rsidR="000665B2">
        <w:t>[G.S. 143-131(a)]</w:t>
      </w:r>
      <w:r w:rsidR="002A496B">
        <w:t>.</w:t>
      </w:r>
    </w:p>
    <w:p w14:paraId="66918CEE" w14:textId="77777777" w:rsidR="000665B2" w:rsidRDefault="000665B2" w:rsidP="000665B2">
      <w:pPr>
        <w:pStyle w:val="ListParagraph"/>
      </w:pPr>
    </w:p>
    <w:p w14:paraId="34627DCB" w14:textId="14EC0B1B" w:rsidR="009E68CE" w:rsidRPr="009E68CE" w:rsidRDefault="009E68CE" w:rsidP="009E68CE">
      <w:pPr>
        <w:pStyle w:val="ListParagraph"/>
        <w:numPr>
          <w:ilvl w:val="0"/>
          <w:numId w:val="1"/>
        </w:numPr>
        <w:ind w:right="-187"/>
        <w:rPr>
          <w:rStyle w:val="normaltextrun"/>
        </w:rPr>
      </w:pPr>
      <w:r w:rsidRPr="009E68CE">
        <w:rPr>
          <w:rStyle w:val="normaltextrun"/>
        </w:rPr>
        <w:t xml:space="preserve">To prevent potential conflict of interest, an engineering firm (or its affiliates), who is representing the Owner in construction contract management, cannot act at any time after contract execution as a subcontractor to the prime contractor.  Engineering firms wishing to perform </w:t>
      </w:r>
      <w:r w:rsidR="007E68A5">
        <w:rPr>
          <w:rStyle w:val="normaltextrun"/>
        </w:rPr>
        <w:t xml:space="preserve">functions such as </w:t>
      </w:r>
      <w:r w:rsidRPr="009E68CE">
        <w:rPr>
          <w:rStyle w:val="normaltextrun"/>
        </w:rPr>
        <w:t>land surveying</w:t>
      </w:r>
      <w:r w:rsidR="007E68A5">
        <w:rPr>
          <w:rStyle w:val="normaltextrun"/>
        </w:rPr>
        <w:t xml:space="preserve">, geotechnical evaluation, </w:t>
      </w:r>
      <w:r w:rsidR="007F134E">
        <w:rPr>
          <w:rStyle w:val="normaltextrun"/>
        </w:rPr>
        <w:t xml:space="preserve">CCTV, </w:t>
      </w:r>
      <w:r w:rsidR="007E68A5">
        <w:rPr>
          <w:rStyle w:val="normaltextrun"/>
        </w:rPr>
        <w:t xml:space="preserve">GIS document </w:t>
      </w:r>
      <w:r w:rsidR="007E68A5">
        <w:rPr>
          <w:rStyle w:val="normaltextrun"/>
        </w:rPr>
        <w:lastRenderedPageBreak/>
        <w:t xml:space="preserve">preparation etc., </w:t>
      </w:r>
      <w:r w:rsidRPr="009E68CE">
        <w:rPr>
          <w:rStyle w:val="normaltextrun"/>
        </w:rPr>
        <w:t xml:space="preserve">needed </w:t>
      </w:r>
      <w:r w:rsidR="00892703">
        <w:rPr>
          <w:rStyle w:val="normaltextrun"/>
        </w:rPr>
        <w:t>during</w:t>
      </w:r>
      <w:r w:rsidRPr="009E68CE">
        <w:rPr>
          <w:rStyle w:val="normaltextrun"/>
        </w:rPr>
        <w:t xml:space="preserve"> </w:t>
      </w:r>
      <w:r>
        <w:rPr>
          <w:rStyle w:val="normaltextrun"/>
        </w:rPr>
        <w:t xml:space="preserve">the project </w:t>
      </w:r>
      <w:r w:rsidRPr="009E68CE">
        <w:rPr>
          <w:rStyle w:val="normaltextrun"/>
        </w:rPr>
        <w:t xml:space="preserve">must do so under their Engineering Services Agreement. </w:t>
      </w:r>
    </w:p>
    <w:p w14:paraId="7EC3E3A9" w14:textId="77777777" w:rsidR="009E68CE" w:rsidRDefault="009E68CE" w:rsidP="009E68CE">
      <w:pPr>
        <w:pStyle w:val="ListParagraph"/>
        <w:ind w:left="360" w:right="-187"/>
        <w:rPr>
          <w:rStyle w:val="normaltextrun"/>
        </w:rPr>
      </w:pPr>
    </w:p>
    <w:p w14:paraId="0E9E5155" w14:textId="6A0C6E4D" w:rsidR="00F2202D" w:rsidRDefault="00F2202D" w:rsidP="00F2202D">
      <w:pPr>
        <w:pStyle w:val="ListParagraph"/>
        <w:numPr>
          <w:ilvl w:val="0"/>
          <w:numId w:val="1"/>
        </w:numPr>
        <w:ind w:right="-187"/>
        <w:rPr>
          <w:rStyle w:val="normaltextrun"/>
        </w:rPr>
      </w:pPr>
      <w:r>
        <w:rPr>
          <w:rStyle w:val="normaltextrun"/>
        </w:rPr>
        <w:t xml:space="preserve">Avoid Lump </w:t>
      </w:r>
      <w:r w:rsidR="00892703">
        <w:rPr>
          <w:rStyle w:val="normaltextrun"/>
        </w:rPr>
        <w:t>S</w:t>
      </w:r>
      <w:r>
        <w:rPr>
          <w:rStyle w:val="normaltextrun"/>
        </w:rPr>
        <w:t>um</w:t>
      </w:r>
      <w:r w:rsidR="0026533F">
        <w:rPr>
          <w:rStyle w:val="normaltextrun"/>
        </w:rPr>
        <w:t xml:space="preserve"> line items in the Bid Form </w:t>
      </w:r>
      <w:r>
        <w:rPr>
          <w:rStyle w:val="normaltextrun"/>
        </w:rPr>
        <w:t xml:space="preserve">and opt for Unit </w:t>
      </w:r>
      <w:r w:rsidR="00892703">
        <w:rPr>
          <w:rStyle w:val="normaltextrun"/>
        </w:rPr>
        <w:t>P</w:t>
      </w:r>
      <w:r>
        <w:rPr>
          <w:rStyle w:val="normaltextrun"/>
        </w:rPr>
        <w:t xml:space="preserve">rice </w:t>
      </w:r>
      <w:r w:rsidR="0026533F">
        <w:rPr>
          <w:rStyle w:val="normaltextrun"/>
        </w:rPr>
        <w:t xml:space="preserve">items </w:t>
      </w:r>
      <w:r>
        <w:rPr>
          <w:rStyle w:val="normaltextrun"/>
        </w:rPr>
        <w:t>as much as possible to enable flexibility and staging</w:t>
      </w:r>
      <w:r w:rsidR="00DB2594">
        <w:rPr>
          <w:rStyle w:val="normaltextrun"/>
        </w:rPr>
        <w:t xml:space="preserve"> (phasing)</w:t>
      </w:r>
      <w:r>
        <w:rPr>
          <w:rStyle w:val="normaltextrun"/>
        </w:rPr>
        <w:t xml:space="preserve"> of the scope</w:t>
      </w:r>
      <w:r w:rsidR="0026533F">
        <w:rPr>
          <w:rStyle w:val="normaltextrun"/>
        </w:rPr>
        <w:t xml:space="preserve"> upon </w:t>
      </w:r>
      <w:r w:rsidR="00892703">
        <w:rPr>
          <w:rStyle w:val="normaltextrun"/>
        </w:rPr>
        <w:t>b</w:t>
      </w:r>
      <w:r w:rsidR="0026533F">
        <w:rPr>
          <w:rStyle w:val="normaltextrun"/>
        </w:rPr>
        <w:t>id negotiation</w:t>
      </w:r>
      <w:r>
        <w:rPr>
          <w:rStyle w:val="normaltextrun"/>
        </w:rPr>
        <w:t>, if needed.</w:t>
      </w:r>
    </w:p>
    <w:p w14:paraId="563B0C46" w14:textId="77777777" w:rsidR="00DB2594" w:rsidRDefault="00DB2594" w:rsidP="00DB2594">
      <w:pPr>
        <w:pStyle w:val="ListParagraph"/>
        <w:rPr>
          <w:rStyle w:val="normaltextrun"/>
        </w:rPr>
      </w:pPr>
    </w:p>
    <w:p w14:paraId="54DA4FFA" w14:textId="538D732A" w:rsidR="00DB2594" w:rsidRDefault="00DB2594" w:rsidP="00F2202D">
      <w:pPr>
        <w:pStyle w:val="ListParagraph"/>
        <w:numPr>
          <w:ilvl w:val="0"/>
          <w:numId w:val="1"/>
        </w:numPr>
        <w:ind w:right="-187"/>
        <w:rPr>
          <w:rStyle w:val="normaltextrun"/>
        </w:rPr>
      </w:pPr>
      <w:r>
        <w:rPr>
          <w:rStyle w:val="normaltextrun"/>
        </w:rPr>
        <w:t xml:space="preserve">Note that </w:t>
      </w:r>
      <w:r w:rsidR="00892703">
        <w:rPr>
          <w:rStyle w:val="normaltextrun"/>
        </w:rPr>
        <w:t>Prevailing</w:t>
      </w:r>
      <w:r>
        <w:rPr>
          <w:rStyle w:val="normaltextrun"/>
        </w:rPr>
        <w:t xml:space="preserve"> Wage requirements for ARPA funded projects </w:t>
      </w:r>
      <w:r w:rsidR="00892703">
        <w:rPr>
          <w:rStyle w:val="normaltextrun"/>
        </w:rPr>
        <w:t>are</w:t>
      </w:r>
      <w:r>
        <w:rPr>
          <w:rStyle w:val="normaltextrun"/>
        </w:rPr>
        <w:t xml:space="preserve"> triggered by the </w:t>
      </w:r>
      <w:r w:rsidR="00892703" w:rsidRPr="00892703">
        <w:rPr>
          <w:rStyle w:val="normaltextrun"/>
          <w:u w:val="single"/>
        </w:rPr>
        <w:t>e</w:t>
      </w:r>
      <w:r w:rsidRPr="00892703">
        <w:rPr>
          <w:rStyle w:val="normaltextrun"/>
          <w:u w:val="single"/>
        </w:rPr>
        <w:t>stimated</w:t>
      </w:r>
      <w:r>
        <w:rPr>
          <w:rStyle w:val="normaltextrun"/>
        </w:rPr>
        <w:t xml:space="preserve"> project cost</w:t>
      </w:r>
      <w:r w:rsidR="00892703">
        <w:rPr>
          <w:rStyle w:val="normaltextrun"/>
        </w:rPr>
        <w:t>,</w:t>
      </w:r>
      <w:r>
        <w:rPr>
          <w:rStyle w:val="normaltextrun"/>
        </w:rPr>
        <w:t xml:space="preserve"> </w:t>
      </w:r>
      <w:r w:rsidR="00892703">
        <w:rPr>
          <w:rStyle w:val="normaltextrun"/>
        </w:rPr>
        <w:t xml:space="preserve">rather than the actual project cost, </w:t>
      </w:r>
      <w:r>
        <w:rPr>
          <w:rStyle w:val="normaltextrun"/>
        </w:rPr>
        <w:t>being more than $10 million.</w:t>
      </w:r>
      <w:r w:rsidR="00867EE8">
        <w:rPr>
          <w:rStyle w:val="normaltextrun"/>
        </w:rPr>
        <w:t xml:space="preserve"> This estimated cost will be determined at the time of application</w:t>
      </w:r>
      <w:r w:rsidR="002A496B">
        <w:rPr>
          <w:rStyle w:val="normaltextrun"/>
        </w:rPr>
        <w:t xml:space="preserve">. </w:t>
      </w:r>
      <w:r w:rsidR="002A496B" w:rsidRPr="002A496B">
        <w:t xml:space="preserve">The Division requires certified payrolls if the estimated project cost at the time of application is over $10 million. </w:t>
      </w:r>
      <w:r w:rsidR="00892703">
        <w:t>Prevailing</w:t>
      </w:r>
      <w:r w:rsidR="002A496B" w:rsidRPr="002A496B">
        <w:t xml:space="preserve"> wage requirements will not be applicable if the estimated project cost increases above $10 million prior to bidding or during construction if the project scope does not change.</w:t>
      </w:r>
    </w:p>
    <w:p w14:paraId="28B6C890" w14:textId="77777777" w:rsidR="00CE7E8C" w:rsidRDefault="00CE7E8C" w:rsidP="00CE7E8C">
      <w:pPr>
        <w:pStyle w:val="ListParagraph"/>
        <w:rPr>
          <w:rStyle w:val="normaltextrun"/>
        </w:rPr>
      </w:pPr>
    </w:p>
    <w:p w14:paraId="476CB218" w14:textId="1A252F47" w:rsidR="00867EE8" w:rsidRPr="00FA4B6D" w:rsidRDefault="00867EE8" w:rsidP="00867EE8">
      <w:pPr>
        <w:pStyle w:val="ListParagraph"/>
        <w:numPr>
          <w:ilvl w:val="0"/>
          <w:numId w:val="1"/>
        </w:numPr>
        <w:ind w:right="-187"/>
        <w:rPr>
          <w:rStyle w:val="normaltextrun"/>
          <w:rFonts w:eastAsia="Calibri"/>
        </w:rPr>
      </w:pPr>
      <w:r w:rsidRPr="00867EE8">
        <w:rPr>
          <w:rFonts w:ascii="Calibri" w:eastAsia="Calibri" w:hAnsi="Calibri"/>
        </w:rPr>
        <w:t>P</w:t>
      </w:r>
      <w:r w:rsidRPr="00867EE8">
        <w:rPr>
          <w:rStyle w:val="normaltextrun"/>
        </w:rPr>
        <w:t xml:space="preserve">ursuant to 2 C.F.R. § 200.216, subrecipients cannot obligate </w:t>
      </w:r>
      <w:r>
        <w:rPr>
          <w:rStyle w:val="normaltextrun"/>
        </w:rPr>
        <w:t>federal</w:t>
      </w:r>
      <w:r w:rsidRPr="00867EE8">
        <w:rPr>
          <w:rStyle w:val="normaltextrun"/>
        </w:rPr>
        <w:t xml:space="preserve"> funds to: (1) procure or obtain; (2) extend or renew a contract to procure or obtain; or (3) enter into a contract (or extend or renew a contract) to procure or obtain equipment, services, or systems that use covered telecommunications equipment or services (as described in Public Law 115-232, Section 889) as a substantial or essential component of any system, or as a critical technology as part of any system.</w:t>
      </w:r>
    </w:p>
    <w:p w14:paraId="18EF59DD" w14:textId="7DC2475C" w:rsidR="00FA4B6D" w:rsidRDefault="00FA4B6D" w:rsidP="00FA4B6D">
      <w:pPr>
        <w:pStyle w:val="ListParagraph"/>
        <w:ind w:left="360" w:right="-187"/>
      </w:pPr>
      <w:r>
        <w:t>Telecommunications or video surveillance services provided by the below entities or using their equipment is prohibited:</w:t>
      </w:r>
    </w:p>
    <w:p w14:paraId="77517A31" w14:textId="47D256B4" w:rsidR="00FA4B6D" w:rsidRDefault="00FA4B6D" w:rsidP="00FA4B6D">
      <w:pPr>
        <w:pStyle w:val="ListParagraph"/>
        <w:numPr>
          <w:ilvl w:val="2"/>
          <w:numId w:val="1"/>
        </w:numPr>
        <w:ind w:right="-187"/>
      </w:pPr>
      <w:r>
        <w:t xml:space="preserve">Huawei Technologies Company </w:t>
      </w:r>
    </w:p>
    <w:p w14:paraId="4F0242C6" w14:textId="6EC67150" w:rsidR="00FA4B6D" w:rsidRPr="00CE41A1" w:rsidRDefault="00FA4B6D" w:rsidP="00FA4B6D">
      <w:pPr>
        <w:pStyle w:val="ListParagraph"/>
        <w:numPr>
          <w:ilvl w:val="2"/>
          <w:numId w:val="1"/>
        </w:numPr>
        <w:ind w:right="-187"/>
      </w:pPr>
      <w:r w:rsidRPr="00CE41A1">
        <w:t>ZTE Corporation</w:t>
      </w:r>
    </w:p>
    <w:p w14:paraId="39DAA5C0" w14:textId="705122C4" w:rsidR="00FA4B6D" w:rsidRPr="00CE41A1" w:rsidRDefault="00FA4B6D" w:rsidP="00FA4B6D">
      <w:pPr>
        <w:pStyle w:val="ListParagraph"/>
        <w:numPr>
          <w:ilvl w:val="2"/>
          <w:numId w:val="1"/>
        </w:numPr>
        <w:ind w:right="-187"/>
      </w:pPr>
      <w:r w:rsidRPr="00CE41A1">
        <w:t xml:space="preserve">Hytera Communications Corporation </w:t>
      </w:r>
    </w:p>
    <w:p w14:paraId="17C0C068" w14:textId="73AF9BF5" w:rsidR="00FA4B6D" w:rsidRPr="00CE41A1" w:rsidRDefault="00FA4B6D" w:rsidP="00FA4B6D">
      <w:pPr>
        <w:pStyle w:val="ListParagraph"/>
        <w:numPr>
          <w:ilvl w:val="2"/>
          <w:numId w:val="1"/>
        </w:numPr>
        <w:ind w:right="-187"/>
      </w:pPr>
      <w:r w:rsidRPr="00CE41A1">
        <w:t xml:space="preserve">Hangzhou Hikvision Digital Technology Company </w:t>
      </w:r>
    </w:p>
    <w:p w14:paraId="14DD556A" w14:textId="32FEEF6E" w:rsidR="00FA4B6D" w:rsidRPr="00CE41A1" w:rsidRDefault="00FA4B6D" w:rsidP="00FA4B6D">
      <w:pPr>
        <w:pStyle w:val="ListParagraph"/>
        <w:numPr>
          <w:ilvl w:val="2"/>
          <w:numId w:val="1"/>
        </w:numPr>
        <w:ind w:right="-187"/>
      </w:pPr>
      <w:r w:rsidRPr="00CE41A1">
        <w:t>Dahua Technology Company</w:t>
      </w:r>
    </w:p>
    <w:p w14:paraId="674EEAD7" w14:textId="6297B1E1" w:rsidR="00FA4B6D" w:rsidRPr="00CE41A1" w:rsidRDefault="00FA4B6D" w:rsidP="00FA4B6D">
      <w:pPr>
        <w:pStyle w:val="ListParagraph"/>
        <w:numPr>
          <w:ilvl w:val="2"/>
          <w:numId w:val="1"/>
        </w:numPr>
        <w:ind w:right="-187"/>
        <w:rPr>
          <w:rStyle w:val="normaltextrun"/>
        </w:rPr>
      </w:pPr>
      <w:r w:rsidRPr="00CE41A1">
        <w:t>or any subsidiary or affiliate of the above</w:t>
      </w:r>
    </w:p>
    <w:p w14:paraId="41C9E391" w14:textId="77777777" w:rsidR="00867EE8" w:rsidRPr="00CE41A1" w:rsidRDefault="00867EE8" w:rsidP="00867EE8">
      <w:pPr>
        <w:pStyle w:val="ListParagraph"/>
        <w:rPr>
          <w:rStyle w:val="normaltextrun"/>
          <w:rFonts w:eastAsia="Calibri"/>
        </w:rPr>
      </w:pPr>
    </w:p>
    <w:p w14:paraId="5510952D" w14:textId="77777777" w:rsidR="00014B0F" w:rsidRDefault="00014B0F" w:rsidP="00014B0F">
      <w:pPr>
        <w:pStyle w:val="ListParagraph"/>
        <w:rPr>
          <w:rStyle w:val="normaltextrun"/>
        </w:rPr>
      </w:pPr>
    </w:p>
    <w:p w14:paraId="77B0CF60" w14:textId="77777777" w:rsidR="00014B0F" w:rsidRDefault="00014B0F" w:rsidP="00014B0F">
      <w:pPr>
        <w:pStyle w:val="ListParagraph"/>
        <w:ind w:left="360" w:right="-187"/>
        <w:rPr>
          <w:rStyle w:val="normaltextrun"/>
        </w:rPr>
      </w:pPr>
    </w:p>
    <w:p w14:paraId="3DBB029B" w14:textId="77777777" w:rsidR="00F2202D" w:rsidRDefault="00F2202D" w:rsidP="00F2202D">
      <w:pPr>
        <w:pStyle w:val="ListParagraph"/>
        <w:rPr>
          <w:rStyle w:val="normaltextrun"/>
        </w:rPr>
      </w:pPr>
    </w:p>
    <w:p w14:paraId="60B55DFA" w14:textId="77777777" w:rsidR="00F2202D" w:rsidRPr="00F2202D" w:rsidRDefault="00F2202D" w:rsidP="00DB2594">
      <w:pPr>
        <w:ind w:right="-187"/>
        <w:rPr>
          <w:rStyle w:val="normaltextrun"/>
          <w:rFonts w:ascii="Times New Roman" w:hAnsi="Times New Roman" w:cs="Times New Roman"/>
          <w:sz w:val="24"/>
          <w:szCs w:val="24"/>
        </w:rPr>
      </w:pPr>
    </w:p>
    <w:p w14:paraId="1C7D5F42" w14:textId="77777777" w:rsidR="00F2202D" w:rsidRPr="00F2202D" w:rsidRDefault="00F2202D" w:rsidP="00F2202D">
      <w:pPr>
        <w:pStyle w:val="ListParagraph"/>
      </w:pPr>
    </w:p>
    <w:sectPr w:rsidR="00F2202D" w:rsidRPr="00F2202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99B96" w14:textId="77777777" w:rsidR="00EA1239" w:rsidRDefault="00EA1239" w:rsidP="00EA1239">
      <w:pPr>
        <w:spacing w:after="0" w:line="240" w:lineRule="auto"/>
      </w:pPr>
      <w:r>
        <w:separator/>
      </w:r>
    </w:p>
  </w:endnote>
  <w:endnote w:type="continuationSeparator" w:id="0">
    <w:p w14:paraId="0AA60E12" w14:textId="77777777" w:rsidR="00EA1239" w:rsidRDefault="00EA1239" w:rsidP="00EA1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ECE1C" w14:textId="77777777" w:rsidR="00EA1239" w:rsidRDefault="00EA1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F10E" w14:textId="77777777" w:rsidR="00EA1239" w:rsidRDefault="00EA12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42736" w14:textId="77777777" w:rsidR="00EA1239" w:rsidRDefault="00EA1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F4A2A" w14:textId="77777777" w:rsidR="00EA1239" w:rsidRDefault="00EA1239" w:rsidP="00EA1239">
      <w:pPr>
        <w:spacing w:after="0" w:line="240" w:lineRule="auto"/>
      </w:pPr>
      <w:r>
        <w:separator/>
      </w:r>
    </w:p>
  </w:footnote>
  <w:footnote w:type="continuationSeparator" w:id="0">
    <w:p w14:paraId="5726DF89" w14:textId="77777777" w:rsidR="00EA1239" w:rsidRDefault="00EA1239" w:rsidP="00EA1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070FA" w14:textId="77777777" w:rsidR="00EA1239" w:rsidRDefault="00EA12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D337F" w14:textId="310B0D4B" w:rsidR="00EA1239" w:rsidRDefault="00EA12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69F0D" w14:textId="77777777" w:rsidR="00EA1239" w:rsidRDefault="00EA12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40310"/>
    <w:multiLevelType w:val="hybridMultilevel"/>
    <w:tmpl w:val="50206C60"/>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1" w15:restartNumberingAfterBreak="0">
    <w:nsid w:val="3D2C77C0"/>
    <w:multiLevelType w:val="hybridMultilevel"/>
    <w:tmpl w:val="C8E235B0"/>
    <w:lvl w:ilvl="0" w:tplc="04090017">
      <w:start w:val="1"/>
      <w:numFmt w:val="lowerLetter"/>
      <w:lvlText w:val="%1)"/>
      <w:lvlJc w:val="left"/>
      <w:pPr>
        <w:ind w:left="1440" w:hanging="360"/>
      </w:pPr>
      <w:rPr>
        <w:rFonts w:hint="default"/>
        <w:b/>
        <w:color w:val="auto"/>
        <w:sz w:val="20"/>
      </w:rPr>
    </w:lvl>
    <w:lvl w:ilvl="1" w:tplc="FFFFFFFF">
      <w:numFmt w:val="bullet"/>
      <w:lvlText w:val="–"/>
      <w:lvlJc w:val="left"/>
      <w:pPr>
        <w:ind w:left="2160" w:hanging="360"/>
      </w:pPr>
      <w:rPr>
        <w:rFonts w:ascii="Calibri" w:eastAsia="Times New Roman" w:hAnsi="Calibri" w:cs="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4A0F5C92"/>
    <w:multiLevelType w:val="hybridMultilevel"/>
    <w:tmpl w:val="18D86418"/>
    <w:lvl w:ilvl="0" w:tplc="913E74FE">
      <w:start w:val="2"/>
      <w:numFmt w:val="decimal"/>
      <w:lvlText w:val="%1."/>
      <w:lvlJc w:val="left"/>
      <w:pPr>
        <w:ind w:left="99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9D01D7"/>
    <w:multiLevelType w:val="hybridMultilevel"/>
    <w:tmpl w:val="8BEC5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F1246"/>
    <w:multiLevelType w:val="hybridMultilevel"/>
    <w:tmpl w:val="6C7C5E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F00BBA"/>
    <w:multiLevelType w:val="hybridMultilevel"/>
    <w:tmpl w:val="EB18911C"/>
    <w:lvl w:ilvl="0" w:tplc="20A26E3C">
      <w:start w:val="1"/>
      <w:numFmt w:val="upperLetter"/>
      <w:lvlText w:val="%1."/>
      <w:lvlJc w:val="left"/>
      <w:pPr>
        <w:ind w:left="360" w:hanging="360"/>
      </w:pPr>
      <w:rPr>
        <w:rFonts w:hint="default"/>
        <w:b/>
        <w:color w:val="auto"/>
        <w:sz w:val="20"/>
      </w:rPr>
    </w:lvl>
    <w:lvl w:ilvl="1" w:tplc="39725AD6">
      <w:numFmt w:val="bullet"/>
      <w:lvlText w:val="–"/>
      <w:lvlJc w:val="left"/>
      <w:pPr>
        <w:ind w:left="1080" w:hanging="360"/>
      </w:pPr>
      <w:rPr>
        <w:rFonts w:ascii="Calibri" w:eastAsia="Times New Roman" w:hAnsi="Calibri" w:cs="Times New Roman" w:hint="default"/>
      </w:rPr>
    </w:lvl>
    <w:lvl w:ilvl="2" w:tplc="689473EE">
      <w:numFmt w:val="bullet"/>
      <w:lvlText w:val="•"/>
      <w:lvlJc w:val="left"/>
      <w:pPr>
        <w:ind w:left="1800" w:hanging="360"/>
      </w:pPr>
      <w:rPr>
        <w:rFonts w:ascii="Times New Roman" w:eastAsia="Times New Roman"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60063826">
    <w:abstractNumId w:val="5"/>
  </w:num>
  <w:num w:numId="2" w16cid:durableId="1608999250">
    <w:abstractNumId w:val="2"/>
  </w:num>
  <w:num w:numId="3" w16cid:durableId="738018607">
    <w:abstractNumId w:val="4"/>
  </w:num>
  <w:num w:numId="4" w16cid:durableId="1188451312">
    <w:abstractNumId w:val="1"/>
  </w:num>
  <w:num w:numId="5" w16cid:durableId="137769893">
    <w:abstractNumId w:val="0"/>
  </w:num>
  <w:num w:numId="6" w16cid:durableId="16591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2D"/>
    <w:rsid w:val="00014B0F"/>
    <w:rsid w:val="000476B6"/>
    <w:rsid w:val="000566E9"/>
    <w:rsid w:val="000665B2"/>
    <w:rsid w:val="00083ABA"/>
    <w:rsid w:val="00163A2B"/>
    <w:rsid w:val="001664AA"/>
    <w:rsid w:val="001A1797"/>
    <w:rsid w:val="001F2821"/>
    <w:rsid w:val="002443DA"/>
    <w:rsid w:val="0026533F"/>
    <w:rsid w:val="002A496B"/>
    <w:rsid w:val="002B446F"/>
    <w:rsid w:val="002D70A5"/>
    <w:rsid w:val="003353B4"/>
    <w:rsid w:val="00370868"/>
    <w:rsid w:val="003A2867"/>
    <w:rsid w:val="00415602"/>
    <w:rsid w:val="00474F36"/>
    <w:rsid w:val="005A05D4"/>
    <w:rsid w:val="005A39B2"/>
    <w:rsid w:val="005F5C00"/>
    <w:rsid w:val="0060067D"/>
    <w:rsid w:val="007646ED"/>
    <w:rsid w:val="0076645E"/>
    <w:rsid w:val="00796AD7"/>
    <w:rsid w:val="007E68A5"/>
    <w:rsid w:val="007F134E"/>
    <w:rsid w:val="007F5434"/>
    <w:rsid w:val="008312AE"/>
    <w:rsid w:val="00867EE8"/>
    <w:rsid w:val="00892703"/>
    <w:rsid w:val="008C323A"/>
    <w:rsid w:val="009E68CE"/>
    <w:rsid w:val="00A10CDF"/>
    <w:rsid w:val="00AE44E7"/>
    <w:rsid w:val="00B747DA"/>
    <w:rsid w:val="00C75BD7"/>
    <w:rsid w:val="00C802E6"/>
    <w:rsid w:val="00CE41A1"/>
    <w:rsid w:val="00CE7E8C"/>
    <w:rsid w:val="00D33ADE"/>
    <w:rsid w:val="00D63DDE"/>
    <w:rsid w:val="00D753A8"/>
    <w:rsid w:val="00DB2594"/>
    <w:rsid w:val="00EA1239"/>
    <w:rsid w:val="00EC0812"/>
    <w:rsid w:val="00ED3B7A"/>
    <w:rsid w:val="00ED5D1A"/>
    <w:rsid w:val="00F2202D"/>
    <w:rsid w:val="00F64B11"/>
    <w:rsid w:val="00FA4B6D"/>
    <w:rsid w:val="00FE110F"/>
    <w:rsid w:val="00FE3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2FD1F8"/>
  <w15:chartTrackingRefBased/>
  <w15:docId w15:val="{DE837BC5-6FBA-4CA0-9239-DC3E883FE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2202D"/>
    <w:pPr>
      <w:tabs>
        <w:tab w:val="center" w:pos="4320"/>
        <w:tab w:val="right" w:pos="8640"/>
      </w:tabs>
      <w:spacing w:after="0" w:line="240" w:lineRule="auto"/>
    </w:pPr>
    <w:rPr>
      <w:rFonts w:ascii="Times" w:eastAsia="Times New Roman" w:hAnsi="Times" w:cs="Times New Roman"/>
      <w:kern w:val="0"/>
      <w:sz w:val="24"/>
      <w:szCs w:val="20"/>
      <w14:ligatures w14:val="none"/>
    </w:rPr>
  </w:style>
  <w:style w:type="character" w:customStyle="1" w:styleId="HeaderChar">
    <w:name w:val="Header Char"/>
    <w:basedOn w:val="DefaultParagraphFont"/>
    <w:link w:val="Header"/>
    <w:rsid w:val="00F2202D"/>
    <w:rPr>
      <w:rFonts w:ascii="Times" w:eastAsia="Times New Roman" w:hAnsi="Times" w:cs="Times New Roman"/>
      <w:kern w:val="0"/>
      <w:sz w:val="24"/>
      <w:szCs w:val="20"/>
      <w14:ligatures w14:val="none"/>
    </w:rPr>
  </w:style>
  <w:style w:type="paragraph" w:styleId="ListParagraph">
    <w:name w:val="List Paragraph"/>
    <w:basedOn w:val="Normal"/>
    <w:uiPriority w:val="34"/>
    <w:qFormat/>
    <w:rsid w:val="00F2202D"/>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F2202D"/>
  </w:style>
  <w:style w:type="character" w:customStyle="1" w:styleId="eop">
    <w:name w:val="eop"/>
    <w:basedOn w:val="DefaultParagraphFont"/>
    <w:rsid w:val="00F2202D"/>
  </w:style>
  <w:style w:type="paragraph" w:styleId="Footer">
    <w:name w:val="footer"/>
    <w:basedOn w:val="Normal"/>
    <w:link w:val="FooterChar"/>
    <w:uiPriority w:val="99"/>
    <w:unhideWhenUsed/>
    <w:rsid w:val="00EA12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239"/>
  </w:style>
  <w:style w:type="paragraph" w:customStyle="1" w:styleId="Default">
    <w:name w:val="Default"/>
    <w:basedOn w:val="Normal"/>
    <w:rsid w:val="007646ED"/>
    <w:pPr>
      <w:autoSpaceDE w:val="0"/>
      <w:autoSpaceDN w:val="0"/>
      <w:spacing w:after="0" w:line="240" w:lineRule="auto"/>
    </w:pPr>
    <w:rPr>
      <w:rFonts w:ascii="Times New Roman" w:hAnsi="Times New Roman" w:cs="Times New Roman"/>
      <w:color w:val="000000"/>
      <w:kern w:val="0"/>
      <w:sz w:val="24"/>
      <w:szCs w:val="24"/>
      <w14:ligatures w14:val="none"/>
    </w:rPr>
  </w:style>
  <w:style w:type="paragraph" w:styleId="NormalWeb">
    <w:name w:val="Normal (Web)"/>
    <w:basedOn w:val="Normal"/>
    <w:uiPriority w:val="99"/>
    <w:semiHidden/>
    <w:unhideWhenUsed/>
    <w:rsid w:val="00F64B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s4817da29">
    <w:name w:val="cs4817da29"/>
    <w:basedOn w:val="Normal"/>
    <w:rsid w:val="00F64B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s9d249ccb">
    <w:name w:val="cs9d249ccb"/>
    <w:basedOn w:val="DefaultParagraphFont"/>
    <w:rsid w:val="00F64B11"/>
  </w:style>
  <w:style w:type="character" w:styleId="Hyperlink">
    <w:name w:val="Hyperlink"/>
    <w:basedOn w:val="DefaultParagraphFont"/>
    <w:uiPriority w:val="99"/>
    <w:unhideWhenUsed/>
    <w:rsid w:val="00415602"/>
    <w:rPr>
      <w:color w:val="0563C1" w:themeColor="hyperlink"/>
      <w:u w:val="single"/>
    </w:rPr>
  </w:style>
  <w:style w:type="character" w:styleId="UnresolvedMention">
    <w:name w:val="Unresolved Mention"/>
    <w:basedOn w:val="DefaultParagraphFont"/>
    <w:uiPriority w:val="99"/>
    <w:semiHidden/>
    <w:unhideWhenUsed/>
    <w:rsid w:val="00415602"/>
    <w:rPr>
      <w:color w:val="605E5C"/>
      <w:shd w:val="clear" w:color="auto" w:fill="E1DFDD"/>
    </w:rPr>
  </w:style>
  <w:style w:type="character" w:styleId="FollowedHyperlink">
    <w:name w:val="FollowedHyperlink"/>
    <w:basedOn w:val="DefaultParagraphFont"/>
    <w:uiPriority w:val="99"/>
    <w:semiHidden/>
    <w:unhideWhenUsed/>
    <w:rsid w:val="008927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7027">
      <w:bodyDiv w:val="1"/>
      <w:marLeft w:val="0"/>
      <w:marRight w:val="0"/>
      <w:marTop w:val="0"/>
      <w:marBottom w:val="0"/>
      <w:divBdr>
        <w:top w:val="none" w:sz="0" w:space="0" w:color="auto"/>
        <w:left w:val="none" w:sz="0" w:space="0" w:color="auto"/>
        <w:bottom w:val="none" w:sz="0" w:space="0" w:color="auto"/>
        <w:right w:val="none" w:sz="0" w:space="0" w:color="auto"/>
      </w:divBdr>
    </w:div>
    <w:div w:id="1006902883">
      <w:bodyDiv w:val="1"/>
      <w:marLeft w:val="0"/>
      <w:marRight w:val="0"/>
      <w:marTop w:val="0"/>
      <w:marBottom w:val="0"/>
      <w:divBdr>
        <w:top w:val="none" w:sz="0" w:space="0" w:color="auto"/>
        <w:left w:val="none" w:sz="0" w:space="0" w:color="auto"/>
        <w:bottom w:val="none" w:sz="0" w:space="0" w:color="auto"/>
        <w:right w:val="none" w:sz="0" w:space="0" w:color="auto"/>
      </w:divBdr>
    </w:div>
    <w:div w:id="1060666304">
      <w:bodyDiv w:val="1"/>
      <w:marLeft w:val="0"/>
      <w:marRight w:val="0"/>
      <w:marTop w:val="0"/>
      <w:marBottom w:val="0"/>
      <w:divBdr>
        <w:top w:val="none" w:sz="0" w:space="0" w:color="auto"/>
        <w:left w:val="none" w:sz="0" w:space="0" w:color="auto"/>
        <w:bottom w:val="none" w:sz="0" w:space="0" w:color="auto"/>
        <w:right w:val="none" w:sz="0" w:space="0" w:color="auto"/>
      </w:divBdr>
    </w:div>
    <w:div w:id="157393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q.nc.gov/about/divisions/water-infrastructure/i-have-fundin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edocs.deq.nc.gov/Forms/DW-Document-Upload-For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Ambikadevi, Kavitha</dc:creator>
  <cp:keywords/>
  <dc:description/>
  <cp:lastModifiedBy>Ambikadevi, Kavitha</cp:lastModifiedBy>
  <cp:revision>5</cp:revision>
  <cp:lastPrinted>2024-06-03T13:14:00Z</cp:lastPrinted>
  <dcterms:created xsi:type="dcterms:W3CDTF">2025-10-13T18:11:00Z</dcterms:created>
  <dcterms:modified xsi:type="dcterms:W3CDTF">2025-10-13T19:34:00Z</dcterms:modified>
</cp:coreProperties>
</file>