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72086B" w14:paraId="0CD0350A" w14:textId="77777777" w:rsidTr="0072086B">
        <w:tc>
          <w:tcPr>
            <w:tcW w:w="1705" w:type="dxa"/>
            <w:vMerge w:val="restart"/>
            <w:vAlign w:val="center"/>
            <w:hideMark/>
          </w:tcPr>
          <w:p w14:paraId="3E5D79B5" w14:textId="523C654B" w:rsidR="0072086B" w:rsidRDefault="0072086B">
            <w:pPr>
              <w:spacing w:before="20" w:after="20"/>
              <w:jc w:val="center"/>
              <w:rPr>
                <w:rFonts w:ascii="Arial" w:hAnsi="Arial" w:cs="Arial"/>
                <w:b/>
                <w:sz w:val="32"/>
              </w:rPr>
            </w:pPr>
            <w:r>
              <w:rPr>
                <w:noProof/>
              </w:rPr>
              <w:drawing>
                <wp:inline distT="0" distB="0" distL="0" distR="0" wp14:anchorId="67AE836B" wp14:editId="46FC25A1">
                  <wp:extent cx="944880" cy="368300"/>
                  <wp:effectExtent l="0" t="0" r="762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2312DD96" w14:textId="77777777" w:rsidR="0072086B" w:rsidRDefault="0072086B">
            <w:pPr>
              <w:spacing w:before="20" w:after="20"/>
              <w:jc w:val="center"/>
              <w:rPr>
                <w:rFonts w:ascii="Arial" w:hAnsi="Arial" w:cs="Arial"/>
                <w:b/>
                <w:sz w:val="28"/>
              </w:rPr>
            </w:pPr>
            <w:r>
              <w:rPr>
                <w:rFonts w:ascii="Arial" w:hAnsi="Arial" w:cs="Arial"/>
                <w:b/>
                <w:sz w:val="24"/>
                <w:szCs w:val="18"/>
              </w:rPr>
              <w:t>North Carolina Department of Environmental Quality</w:t>
            </w:r>
          </w:p>
        </w:tc>
        <w:tc>
          <w:tcPr>
            <w:tcW w:w="1530" w:type="dxa"/>
            <w:vMerge w:val="restart"/>
            <w:vAlign w:val="center"/>
            <w:hideMark/>
          </w:tcPr>
          <w:p w14:paraId="25CB8C40" w14:textId="73C521E3" w:rsidR="0072086B" w:rsidRDefault="0072086B">
            <w:pPr>
              <w:spacing w:before="20" w:after="20"/>
              <w:jc w:val="center"/>
              <w:rPr>
                <w:sz w:val="22"/>
              </w:rPr>
            </w:pPr>
            <w:r>
              <w:rPr>
                <w:noProof/>
              </w:rPr>
              <w:drawing>
                <wp:inline distT="0" distB="0" distL="0" distR="0" wp14:anchorId="2CF4974F" wp14:editId="1A135C35">
                  <wp:extent cx="62865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72086B" w14:paraId="6C197206" w14:textId="77777777" w:rsidTr="0072086B">
        <w:tc>
          <w:tcPr>
            <w:tcW w:w="1705" w:type="dxa"/>
            <w:vMerge/>
            <w:vAlign w:val="center"/>
            <w:hideMark/>
          </w:tcPr>
          <w:p w14:paraId="2A8F868B" w14:textId="77777777" w:rsidR="0072086B" w:rsidRDefault="0072086B">
            <w:pPr>
              <w:rPr>
                <w:rFonts w:ascii="Arial" w:hAnsi="Arial" w:cs="Arial"/>
                <w:b/>
                <w:sz w:val="32"/>
              </w:rPr>
            </w:pPr>
          </w:p>
        </w:tc>
        <w:tc>
          <w:tcPr>
            <w:tcW w:w="6655" w:type="dxa"/>
          </w:tcPr>
          <w:p w14:paraId="5F294807" w14:textId="77777777" w:rsidR="0072086B" w:rsidRDefault="0072086B">
            <w:pPr>
              <w:spacing w:before="20" w:after="20"/>
              <w:jc w:val="center"/>
              <w:rPr>
                <w:rFonts w:ascii="Arial" w:hAnsi="Arial" w:cs="Arial"/>
                <w:b/>
                <w:sz w:val="6"/>
                <w:szCs w:val="2"/>
              </w:rPr>
            </w:pPr>
          </w:p>
        </w:tc>
        <w:tc>
          <w:tcPr>
            <w:tcW w:w="1530" w:type="dxa"/>
            <w:vMerge/>
            <w:vAlign w:val="center"/>
            <w:hideMark/>
          </w:tcPr>
          <w:p w14:paraId="4DBD23F6" w14:textId="77777777" w:rsidR="0072086B" w:rsidRDefault="0072086B">
            <w:pPr>
              <w:rPr>
                <w:sz w:val="22"/>
              </w:rPr>
            </w:pPr>
          </w:p>
        </w:tc>
      </w:tr>
      <w:tr w:rsidR="0072086B" w14:paraId="6D25FAAA" w14:textId="77777777" w:rsidTr="0072086B">
        <w:tc>
          <w:tcPr>
            <w:tcW w:w="1705" w:type="dxa"/>
            <w:vMerge/>
            <w:vAlign w:val="center"/>
            <w:hideMark/>
          </w:tcPr>
          <w:p w14:paraId="27385255" w14:textId="77777777" w:rsidR="0072086B" w:rsidRDefault="0072086B">
            <w:pPr>
              <w:rPr>
                <w:rFonts w:ascii="Arial" w:hAnsi="Arial" w:cs="Arial"/>
                <w:b/>
                <w:sz w:val="32"/>
              </w:rPr>
            </w:pPr>
          </w:p>
        </w:tc>
        <w:tc>
          <w:tcPr>
            <w:tcW w:w="6655" w:type="dxa"/>
            <w:hideMark/>
          </w:tcPr>
          <w:p w14:paraId="19D4F1FE" w14:textId="77777777" w:rsidR="00EA041E" w:rsidRDefault="0072086B">
            <w:pPr>
              <w:spacing w:before="20" w:after="20"/>
              <w:jc w:val="center"/>
              <w:rPr>
                <w:rFonts w:ascii="Arial" w:hAnsi="Arial" w:cs="Arial"/>
                <w:b/>
                <w:sz w:val="28"/>
              </w:rPr>
            </w:pPr>
            <w:r>
              <w:rPr>
                <w:rFonts w:ascii="Arial" w:hAnsi="Arial" w:cs="Arial"/>
                <w:b/>
                <w:sz w:val="28"/>
              </w:rPr>
              <w:t>Priority Rating System Guidance</w:t>
            </w:r>
          </w:p>
          <w:p w14:paraId="36BB4DFD" w14:textId="275242AF" w:rsidR="0072086B" w:rsidRDefault="0072086B">
            <w:pPr>
              <w:spacing w:before="20" w:after="20"/>
              <w:jc w:val="center"/>
              <w:rPr>
                <w:rFonts w:ascii="Arial" w:hAnsi="Arial" w:cs="Arial"/>
                <w:b/>
                <w:sz w:val="28"/>
              </w:rPr>
            </w:pPr>
            <w:r>
              <w:rPr>
                <w:rFonts w:ascii="Arial" w:hAnsi="Arial" w:cs="Arial"/>
                <w:b/>
                <w:sz w:val="28"/>
              </w:rPr>
              <w:t xml:space="preserve">for Division of Water Infrastructure </w:t>
            </w:r>
          </w:p>
          <w:p w14:paraId="4AABA4D9" w14:textId="36D1D0C9" w:rsidR="0072086B" w:rsidRDefault="0072086B">
            <w:pPr>
              <w:spacing w:before="20" w:after="20"/>
              <w:jc w:val="center"/>
              <w:rPr>
                <w:rFonts w:ascii="Arial" w:hAnsi="Arial" w:cs="Arial"/>
                <w:b/>
                <w:sz w:val="28"/>
              </w:rPr>
            </w:pPr>
            <w:r>
              <w:rPr>
                <w:rFonts w:ascii="Arial" w:hAnsi="Arial" w:cs="Arial"/>
                <w:b/>
                <w:sz w:val="28"/>
              </w:rPr>
              <w:t>Asset Inventory and Assessment Grants</w:t>
            </w:r>
          </w:p>
          <w:p w14:paraId="35DFECAE" w14:textId="056036D4" w:rsidR="0072086B" w:rsidRDefault="0072086B">
            <w:pPr>
              <w:spacing w:before="20" w:after="20"/>
              <w:jc w:val="center"/>
              <w:rPr>
                <w:rFonts w:ascii="Arial" w:hAnsi="Arial" w:cs="Arial"/>
                <w:bCs/>
                <w:sz w:val="28"/>
              </w:rPr>
            </w:pPr>
          </w:p>
        </w:tc>
        <w:tc>
          <w:tcPr>
            <w:tcW w:w="1530" w:type="dxa"/>
            <w:vMerge/>
            <w:vAlign w:val="center"/>
            <w:hideMark/>
          </w:tcPr>
          <w:p w14:paraId="6A878C80" w14:textId="77777777" w:rsidR="0072086B" w:rsidRDefault="0072086B">
            <w:pPr>
              <w:rPr>
                <w:sz w:val="22"/>
              </w:rPr>
            </w:pPr>
          </w:p>
        </w:tc>
      </w:tr>
      <w:tr w:rsidR="0072086B" w14:paraId="10BD6ED7" w14:textId="77777777" w:rsidTr="0072086B">
        <w:tc>
          <w:tcPr>
            <w:tcW w:w="1705" w:type="dxa"/>
          </w:tcPr>
          <w:p w14:paraId="650E48BC" w14:textId="77777777" w:rsidR="0072086B" w:rsidRDefault="0072086B">
            <w:pPr>
              <w:spacing w:before="20" w:after="20"/>
              <w:jc w:val="center"/>
              <w:rPr>
                <w:sz w:val="22"/>
              </w:rPr>
            </w:pPr>
          </w:p>
        </w:tc>
        <w:tc>
          <w:tcPr>
            <w:tcW w:w="6655" w:type="dxa"/>
            <w:hideMark/>
          </w:tcPr>
          <w:p w14:paraId="70095399" w14:textId="77777777" w:rsidR="0072086B" w:rsidRDefault="0072086B">
            <w:pPr>
              <w:spacing w:before="20" w:after="20"/>
              <w:jc w:val="center"/>
            </w:pPr>
            <w:r>
              <w:rPr>
                <w:sz w:val="16"/>
              </w:rPr>
              <w:t>(Last updated: February 2022)</w:t>
            </w:r>
          </w:p>
        </w:tc>
        <w:tc>
          <w:tcPr>
            <w:tcW w:w="1530" w:type="dxa"/>
            <w:vMerge/>
            <w:vAlign w:val="center"/>
            <w:hideMark/>
          </w:tcPr>
          <w:p w14:paraId="30D905BA" w14:textId="77777777" w:rsidR="0072086B" w:rsidRDefault="0072086B">
            <w:pPr>
              <w:rPr>
                <w:sz w:val="22"/>
              </w:rPr>
            </w:pPr>
          </w:p>
        </w:tc>
      </w:tr>
    </w:tbl>
    <w:p w14:paraId="4E51DF68" w14:textId="77777777" w:rsidR="0072086B" w:rsidRDefault="0072086B" w:rsidP="0072086B">
      <w:pPr>
        <w:keepLines/>
        <w:spacing w:after="80"/>
        <w:rPr>
          <w:rFonts w:asciiTheme="minorHAnsi" w:hAnsiTheme="minorHAnsi"/>
          <w:szCs w:val="22"/>
        </w:rPr>
      </w:pPr>
    </w:p>
    <w:p w14:paraId="5C07F229" w14:textId="1B631A16" w:rsidR="00FD151B" w:rsidRDefault="0072086B" w:rsidP="00FD151B">
      <w:pPr>
        <w:spacing w:after="240"/>
        <w:rPr>
          <w:rFonts w:asciiTheme="minorHAnsi" w:hAnsiTheme="minorHAnsi"/>
          <w:sz w:val="24"/>
          <w:szCs w:val="24"/>
        </w:rPr>
      </w:pPr>
      <w:r w:rsidRPr="00FD151B">
        <w:rPr>
          <w:rFonts w:asciiTheme="minorHAnsi" w:hAnsiTheme="minorHAnsi"/>
          <w:sz w:val="24"/>
          <w:szCs w:val="24"/>
        </w:rPr>
        <w:t xml:space="preserve">This guidance aids the applicant in understanding and implementing the Priority Rating System when applying for </w:t>
      </w:r>
      <w:r w:rsidR="00FD151B" w:rsidRPr="00FD151B">
        <w:rPr>
          <w:rFonts w:asciiTheme="minorHAnsi" w:hAnsiTheme="minorHAnsi"/>
          <w:b/>
          <w:bCs/>
          <w:sz w:val="24"/>
          <w:szCs w:val="24"/>
        </w:rPr>
        <w:t>Asset Inventory and Assessment (AIA) grants</w:t>
      </w:r>
      <w:r w:rsidR="00FD151B" w:rsidRPr="00FD151B">
        <w:rPr>
          <w:rFonts w:asciiTheme="minorHAnsi" w:hAnsiTheme="minorHAnsi"/>
          <w:sz w:val="24"/>
          <w:szCs w:val="24"/>
        </w:rPr>
        <w:t>.</w:t>
      </w:r>
      <w:r w:rsidR="00FD151B">
        <w:rPr>
          <w:rFonts w:asciiTheme="minorHAnsi" w:hAnsiTheme="minorHAnsi"/>
          <w:sz w:val="24"/>
          <w:szCs w:val="24"/>
        </w:rPr>
        <w:t xml:space="preserve"> </w:t>
      </w:r>
      <w:r w:rsidR="00FD151B" w:rsidRPr="00FD151B">
        <w:rPr>
          <w:rFonts w:asciiTheme="minorHAnsi" w:hAnsiTheme="minorHAnsi"/>
          <w:sz w:val="24"/>
          <w:szCs w:val="24"/>
        </w:rPr>
        <w:t xml:space="preserve">This guidance </w:t>
      </w:r>
      <w:r w:rsidR="00EA041E">
        <w:rPr>
          <w:rFonts w:asciiTheme="minorHAnsi" w:hAnsiTheme="minorHAnsi"/>
          <w:sz w:val="24"/>
          <w:szCs w:val="24"/>
        </w:rPr>
        <w:t>a</w:t>
      </w:r>
      <w:r w:rsidR="00FD151B" w:rsidRPr="00FD151B">
        <w:rPr>
          <w:rFonts w:asciiTheme="minorHAnsi" w:hAnsiTheme="minorHAnsi"/>
          <w:sz w:val="24"/>
          <w:szCs w:val="24"/>
        </w:rPr>
        <w:t xml:space="preserve">pplies to AIA grants funded out of the State Reserve Program and the Viable Utility Reserve. </w:t>
      </w:r>
      <w:r w:rsidR="00FD151B" w:rsidRPr="00FD151B">
        <w:rPr>
          <w:rFonts w:asciiTheme="minorHAnsi" w:hAnsiTheme="minorHAnsi"/>
          <w:b/>
          <w:bCs/>
          <w:sz w:val="24"/>
          <w:szCs w:val="24"/>
        </w:rPr>
        <w:t>Use this guidance only for AIA applications.</w:t>
      </w:r>
      <w:r w:rsidR="00FD151B">
        <w:rPr>
          <w:rFonts w:asciiTheme="minorHAnsi" w:hAnsiTheme="minorHAnsi"/>
          <w:sz w:val="24"/>
          <w:szCs w:val="24"/>
        </w:rPr>
        <w:t xml:space="preserve"> </w:t>
      </w:r>
      <w:r w:rsidR="00295BEB">
        <w:rPr>
          <w:rFonts w:asciiTheme="minorHAnsi" w:hAnsiTheme="minorHAnsi"/>
          <w:sz w:val="24"/>
          <w:szCs w:val="24"/>
        </w:rPr>
        <w:t xml:space="preserve">For any other </w:t>
      </w:r>
      <w:r w:rsidR="00CC0873">
        <w:rPr>
          <w:rFonts w:asciiTheme="minorHAnsi" w:hAnsiTheme="minorHAnsi"/>
          <w:sz w:val="24"/>
          <w:szCs w:val="24"/>
        </w:rPr>
        <w:t>project types</w:t>
      </w:r>
      <w:r w:rsidR="00295BEB">
        <w:rPr>
          <w:rFonts w:asciiTheme="minorHAnsi" w:hAnsiTheme="minorHAnsi"/>
          <w:sz w:val="24"/>
          <w:szCs w:val="24"/>
        </w:rPr>
        <w:t>, please use the guidance appropriate for that particular program.</w:t>
      </w:r>
    </w:p>
    <w:p w14:paraId="3EEFE30A" w14:textId="481DA31A" w:rsidR="003434B8" w:rsidRDefault="00580ABC" w:rsidP="00FD151B">
      <w:pPr>
        <w:spacing w:after="240"/>
        <w:rPr>
          <w:rFonts w:ascii="Calibri" w:hAnsi="Calibri"/>
          <w:sz w:val="24"/>
          <w:szCs w:val="24"/>
        </w:rPr>
      </w:pPr>
      <w:r>
        <w:rPr>
          <w:rFonts w:asciiTheme="minorHAnsi" w:hAnsiTheme="minorHAnsi"/>
          <w:sz w:val="24"/>
          <w:szCs w:val="24"/>
        </w:rPr>
        <w:t xml:space="preserve">The goal of an </w:t>
      </w:r>
      <w:r w:rsidR="00FD151B">
        <w:rPr>
          <w:rFonts w:asciiTheme="minorHAnsi" w:hAnsiTheme="minorHAnsi"/>
          <w:sz w:val="24"/>
          <w:szCs w:val="24"/>
        </w:rPr>
        <w:t>A</w:t>
      </w:r>
      <w:r>
        <w:rPr>
          <w:rFonts w:asciiTheme="minorHAnsi" w:hAnsiTheme="minorHAnsi"/>
          <w:sz w:val="24"/>
          <w:szCs w:val="24"/>
        </w:rPr>
        <w:t xml:space="preserve">sset </w:t>
      </w:r>
      <w:r w:rsidR="00FD151B">
        <w:rPr>
          <w:rFonts w:asciiTheme="minorHAnsi" w:hAnsiTheme="minorHAnsi"/>
          <w:sz w:val="24"/>
          <w:szCs w:val="24"/>
        </w:rPr>
        <w:t>I</w:t>
      </w:r>
      <w:r>
        <w:rPr>
          <w:rFonts w:asciiTheme="minorHAnsi" w:hAnsiTheme="minorHAnsi"/>
          <w:sz w:val="24"/>
          <w:szCs w:val="24"/>
        </w:rPr>
        <w:t xml:space="preserve">nventory </w:t>
      </w:r>
      <w:r w:rsidR="00FD151B">
        <w:rPr>
          <w:rFonts w:asciiTheme="minorHAnsi" w:hAnsiTheme="minorHAnsi"/>
          <w:sz w:val="24"/>
          <w:szCs w:val="24"/>
        </w:rPr>
        <w:t>and</w:t>
      </w:r>
      <w:r>
        <w:rPr>
          <w:rFonts w:asciiTheme="minorHAnsi" w:hAnsiTheme="minorHAnsi"/>
          <w:sz w:val="24"/>
          <w:szCs w:val="24"/>
        </w:rPr>
        <w:t xml:space="preserve"> </w:t>
      </w:r>
      <w:r w:rsidR="00FD151B">
        <w:rPr>
          <w:rFonts w:asciiTheme="minorHAnsi" w:hAnsiTheme="minorHAnsi"/>
          <w:sz w:val="24"/>
          <w:szCs w:val="24"/>
        </w:rPr>
        <w:t>A</w:t>
      </w:r>
      <w:r>
        <w:rPr>
          <w:rFonts w:asciiTheme="minorHAnsi" w:hAnsiTheme="minorHAnsi"/>
          <w:sz w:val="24"/>
          <w:szCs w:val="24"/>
        </w:rPr>
        <w:t>ssessment grant is to inventory the existing water and/or sewer system and document the condition of inventoried infrastructure.</w:t>
      </w:r>
      <w:r w:rsidR="00647052">
        <w:rPr>
          <w:rFonts w:asciiTheme="minorHAnsi" w:hAnsiTheme="minorHAnsi"/>
          <w:sz w:val="24"/>
          <w:szCs w:val="24"/>
        </w:rPr>
        <w:t xml:space="preserve"> </w:t>
      </w:r>
      <w:r w:rsidR="00B72091">
        <w:rPr>
          <w:rFonts w:asciiTheme="minorHAnsi" w:hAnsiTheme="minorHAnsi"/>
          <w:sz w:val="24"/>
          <w:szCs w:val="24"/>
        </w:rPr>
        <w:t xml:space="preserve">Other components of an asset management program may be eligible. </w:t>
      </w:r>
      <w:r w:rsidR="00647052" w:rsidRPr="00647052">
        <w:rPr>
          <w:rFonts w:ascii="Calibri" w:hAnsi="Calibri"/>
          <w:sz w:val="24"/>
          <w:szCs w:val="24"/>
        </w:rPr>
        <w:t xml:space="preserve">The </w:t>
      </w:r>
      <w:r w:rsidR="00C862AB">
        <w:rPr>
          <w:rFonts w:ascii="Calibri" w:hAnsi="Calibri"/>
          <w:sz w:val="24"/>
          <w:szCs w:val="24"/>
        </w:rPr>
        <w:t xml:space="preserve">State Water Infrastructure Authority (Authority) and the </w:t>
      </w:r>
      <w:r w:rsidR="00647052" w:rsidRPr="00647052">
        <w:rPr>
          <w:rFonts w:ascii="Calibri" w:hAnsi="Calibri"/>
          <w:sz w:val="24"/>
          <w:szCs w:val="24"/>
        </w:rPr>
        <w:t>Division</w:t>
      </w:r>
      <w:r w:rsidR="00C862AB">
        <w:rPr>
          <w:rFonts w:ascii="Calibri" w:hAnsi="Calibri"/>
          <w:sz w:val="24"/>
          <w:szCs w:val="24"/>
        </w:rPr>
        <w:t xml:space="preserve"> of Water Infrastructure (Division)</w:t>
      </w:r>
      <w:r w:rsidR="00647052" w:rsidRPr="00647052">
        <w:rPr>
          <w:rFonts w:ascii="Calibri" w:hAnsi="Calibri"/>
          <w:sz w:val="24"/>
          <w:szCs w:val="24"/>
        </w:rPr>
        <w:t xml:space="preserve"> ha</w:t>
      </w:r>
      <w:r w:rsidR="00C862AB">
        <w:rPr>
          <w:rFonts w:ascii="Calibri" w:hAnsi="Calibri"/>
          <w:sz w:val="24"/>
          <w:szCs w:val="24"/>
        </w:rPr>
        <w:t>ve</w:t>
      </w:r>
      <w:r w:rsidR="00647052" w:rsidRPr="00647052">
        <w:rPr>
          <w:rFonts w:ascii="Calibri" w:hAnsi="Calibri"/>
          <w:sz w:val="24"/>
          <w:szCs w:val="24"/>
        </w:rPr>
        <w:t xml:space="preserve"> structured the pr</w:t>
      </w:r>
      <w:r w:rsidR="00647052">
        <w:rPr>
          <w:rFonts w:ascii="Calibri" w:hAnsi="Calibri"/>
          <w:sz w:val="24"/>
          <w:szCs w:val="24"/>
        </w:rPr>
        <w:t>iority</w:t>
      </w:r>
      <w:r w:rsidR="00AE4C71">
        <w:rPr>
          <w:rFonts w:ascii="Calibri" w:hAnsi="Calibri"/>
          <w:sz w:val="24"/>
          <w:szCs w:val="24"/>
        </w:rPr>
        <w:t xml:space="preserve"> rating</w:t>
      </w:r>
      <w:r w:rsidR="00647052">
        <w:rPr>
          <w:rFonts w:ascii="Calibri" w:hAnsi="Calibri"/>
          <w:sz w:val="24"/>
          <w:szCs w:val="24"/>
        </w:rPr>
        <w:t xml:space="preserve"> system to prioritize </w:t>
      </w:r>
      <w:r w:rsidR="00647052" w:rsidRPr="00647052">
        <w:rPr>
          <w:rFonts w:ascii="Calibri" w:hAnsi="Calibri"/>
          <w:sz w:val="24"/>
          <w:szCs w:val="24"/>
        </w:rPr>
        <w:t>applications that reflect the greatest likelihood that information obtained throu</w:t>
      </w:r>
      <w:r w:rsidR="00647052">
        <w:rPr>
          <w:rFonts w:ascii="Calibri" w:hAnsi="Calibri"/>
          <w:sz w:val="24"/>
          <w:szCs w:val="24"/>
        </w:rPr>
        <w:t xml:space="preserve">gh this project will be used by the </w:t>
      </w:r>
      <w:r w:rsidR="00647052" w:rsidRPr="00647052">
        <w:rPr>
          <w:rFonts w:ascii="Calibri" w:hAnsi="Calibri"/>
          <w:sz w:val="24"/>
          <w:szCs w:val="24"/>
        </w:rPr>
        <w:t xml:space="preserve">utility </w:t>
      </w:r>
      <w:r w:rsidR="00647052">
        <w:rPr>
          <w:rFonts w:ascii="Calibri" w:hAnsi="Calibri"/>
          <w:sz w:val="24"/>
          <w:szCs w:val="24"/>
        </w:rPr>
        <w:t>to manage</w:t>
      </w:r>
      <w:r w:rsidR="00647052" w:rsidRPr="00647052">
        <w:rPr>
          <w:rFonts w:ascii="Calibri" w:hAnsi="Calibri"/>
          <w:sz w:val="24"/>
          <w:szCs w:val="24"/>
        </w:rPr>
        <w:t xml:space="preserve"> their infrastructure assets in the future.</w:t>
      </w:r>
    </w:p>
    <w:p w14:paraId="39D13DB6" w14:textId="06B19802" w:rsidR="00965ADF" w:rsidRDefault="00965ADF" w:rsidP="00965ADF">
      <w:pPr>
        <w:spacing w:after="120"/>
        <w:rPr>
          <w:rFonts w:ascii="Calibri" w:hAnsi="Calibri"/>
          <w:sz w:val="24"/>
          <w:szCs w:val="24"/>
        </w:rPr>
      </w:pPr>
      <w:r w:rsidRPr="005A1EB4">
        <w:rPr>
          <w:rFonts w:asciiTheme="minorHAnsi" w:hAnsiTheme="minorHAnsi"/>
          <w:noProof/>
          <w:sz w:val="24"/>
          <w:szCs w:val="24"/>
        </w:rPr>
        <mc:AlternateContent>
          <mc:Choice Requires="wps">
            <w:drawing>
              <wp:anchor distT="4294967295" distB="4294967295" distL="114300" distR="114300" simplePos="0" relativeHeight="251673600" behindDoc="0" locked="0" layoutInCell="1" allowOverlap="1" wp14:anchorId="09B61C50" wp14:editId="636C1900">
                <wp:simplePos x="0" y="0"/>
                <wp:positionH relativeFrom="margin">
                  <wp:align>right</wp:align>
                </wp:positionH>
                <wp:positionV relativeFrom="paragraph">
                  <wp:posOffset>90805</wp:posOffset>
                </wp:positionV>
                <wp:extent cx="621792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FA6A85" id="Straight Connector 12" o:spid="_x0000_s1026" style="position:absolute;flip:y;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7.15pt" to="9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" strokeweight="1pt">
                <v:stroke joinstyle="miter"/>
                <o:lock v:ext="edit" shapetype="f"/>
                <w10:wrap anchorx="margin"/>
              </v:line>
            </w:pict>
          </mc:Fallback>
        </mc:AlternateContent>
      </w:r>
    </w:p>
    <w:p w14:paraId="4439A3C5" w14:textId="4507FCB3" w:rsidR="00965ADF" w:rsidRDefault="00965ADF" w:rsidP="00965ADF">
      <w:pPr>
        <w:jc w:val="center"/>
        <w:rPr>
          <w:rFonts w:ascii="Calibri" w:hAnsi="Calibri"/>
          <w:i/>
          <w:iCs/>
          <w:sz w:val="24"/>
          <w:szCs w:val="24"/>
        </w:rPr>
      </w:pPr>
      <w:r>
        <w:rPr>
          <w:rFonts w:ascii="Calibri" w:hAnsi="Calibri"/>
          <w:i/>
          <w:iCs/>
          <w:sz w:val="24"/>
          <w:szCs w:val="24"/>
        </w:rPr>
        <w:t>**NEW FOR SPRING 2022 FUNDING ROUND**</w:t>
      </w:r>
    </w:p>
    <w:p w14:paraId="5E7647DA" w14:textId="77777777" w:rsidR="00965ADF" w:rsidRDefault="00965ADF" w:rsidP="00965ADF">
      <w:pPr>
        <w:jc w:val="center"/>
        <w:rPr>
          <w:rFonts w:ascii="Calibri" w:hAnsi="Calibri"/>
          <w:i/>
          <w:iCs/>
          <w:sz w:val="24"/>
          <w:szCs w:val="24"/>
        </w:rPr>
      </w:pPr>
    </w:p>
    <w:p w14:paraId="233D62B8" w14:textId="3FF1D8F3" w:rsidR="00142E1E" w:rsidRPr="00142E1E" w:rsidRDefault="00142E1E" w:rsidP="00965ADF">
      <w:pPr>
        <w:spacing w:after="120"/>
        <w:rPr>
          <w:rFonts w:ascii="Calibri" w:hAnsi="Calibri"/>
          <w:sz w:val="24"/>
          <w:szCs w:val="24"/>
        </w:rPr>
      </w:pPr>
      <w:r w:rsidRPr="00142E1E">
        <w:rPr>
          <w:rFonts w:ascii="Calibri" w:hAnsi="Calibri"/>
          <w:sz w:val="24"/>
          <w:szCs w:val="24"/>
        </w:rPr>
        <w:t>A</w:t>
      </w:r>
      <w:r w:rsidR="00965ADF" w:rsidRPr="00142E1E">
        <w:rPr>
          <w:rFonts w:ascii="Calibri" w:hAnsi="Calibri"/>
          <w:sz w:val="24"/>
          <w:szCs w:val="24"/>
        </w:rPr>
        <w:t xml:space="preserve">pplicants need only to submit a single application for AIA funding regardless of the desired funding source. All AIA applications must include a narrative responding to the questions below as well as the relevant supporting documentation. </w:t>
      </w:r>
      <w:r w:rsidRPr="00142E1E">
        <w:rPr>
          <w:rFonts w:ascii="Calibri" w:hAnsi="Calibri"/>
          <w:sz w:val="24"/>
          <w:szCs w:val="24"/>
        </w:rPr>
        <w:t xml:space="preserve">Local government units </w:t>
      </w:r>
      <w:r w:rsidR="00690667">
        <w:rPr>
          <w:rFonts w:ascii="Calibri" w:hAnsi="Calibri"/>
          <w:sz w:val="24"/>
          <w:szCs w:val="24"/>
        </w:rPr>
        <w:t xml:space="preserve">(LGUs) </w:t>
      </w:r>
      <w:r w:rsidRPr="00142E1E">
        <w:rPr>
          <w:rFonts w:ascii="Calibri" w:hAnsi="Calibri"/>
          <w:sz w:val="24"/>
          <w:szCs w:val="24"/>
        </w:rPr>
        <w:t>designated as distressed</w:t>
      </w:r>
      <w:r w:rsidR="00C30115">
        <w:rPr>
          <w:rFonts w:ascii="Calibri" w:hAnsi="Calibri"/>
          <w:sz w:val="24"/>
          <w:szCs w:val="24"/>
        </w:rPr>
        <w:t xml:space="preserve"> and their regional partners on the application</w:t>
      </w:r>
      <w:r w:rsidRPr="00142E1E">
        <w:rPr>
          <w:rFonts w:ascii="Calibri" w:hAnsi="Calibri"/>
          <w:sz w:val="24"/>
          <w:szCs w:val="24"/>
        </w:rPr>
        <w:t xml:space="preserve"> will be funded from the V</w:t>
      </w:r>
      <w:r w:rsidR="00CB61E6">
        <w:rPr>
          <w:rFonts w:ascii="Calibri" w:hAnsi="Calibri"/>
          <w:sz w:val="24"/>
          <w:szCs w:val="24"/>
        </w:rPr>
        <w:t>iable Utility Reserve (V</w:t>
      </w:r>
      <w:r w:rsidRPr="00142E1E">
        <w:rPr>
          <w:rFonts w:ascii="Calibri" w:hAnsi="Calibri"/>
          <w:sz w:val="24"/>
          <w:szCs w:val="24"/>
        </w:rPr>
        <w:t>UR</w:t>
      </w:r>
      <w:r w:rsidR="00CB61E6">
        <w:rPr>
          <w:rFonts w:ascii="Calibri" w:hAnsi="Calibri"/>
          <w:sz w:val="24"/>
          <w:szCs w:val="24"/>
        </w:rPr>
        <w:t>)</w:t>
      </w:r>
      <w:r w:rsidRPr="00142E1E">
        <w:rPr>
          <w:rFonts w:ascii="Calibri" w:hAnsi="Calibri"/>
          <w:sz w:val="24"/>
          <w:szCs w:val="24"/>
        </w:rPr>
        <w:t>. All other applicants will be funded out of the S</w:t>
      </w:r>
      <w:r w:rsidR="00CB61E6">
        <w:rPr>
          <w:rFonts w:ascii="Calibri" w:hAnsi="Calibri"/>
          <w:sz w:val="24"/>
          <w:szCs w:val="24"/>
        </w:rPr>
        <w:t xml:space="preserve">tate Reserve Program (SRP). Some applications from LGUs designated as distressed </w:t>
      </w:r>
      <w:r w:rsidR="00C30115">
        <w:rPr>
          <w:rFonts w:ascii="Calibri" w:hAnsi="Calibri"/>
          <w:sz w:val="24"/>
          <w:szCs w:val="24"/>
        </w:rPr>
        <w:t xml:space="preserve">and their regional partners on the application </w:t>
      </w:r>
      <w:r w:rsidR="00CB61E6">
        <w:rPr>
          <w:rFonts w:ascii="Calibri" w:hAnsi="Calibri"/>
          <w:sz w:val="24"/>
          <w:szCs w:val="24"/>
        </w:rPr>
        <w:t>may be funded out of the SRP.</w:t>
      </w:r>
    </w:p>
    <w:p w14:paraId="724C87B7" w14:textId="6F40ADD7" w:rsidR="00965ADF" w:rsidRDefault="00142E1E" w:rsidP="00965ADF">
      <w:pPr>
        <w:spacing w:after="120"/>
        <w:rPr>
          <w:rFonts w:ascii="Calibri" w:hAnsi="Calibri"/>
          <w:sz w:val="24"/>
          <w:szCs w:val="24"/>
        </w:rPr>
      </w:pPr>
      <w:r w:rsidRPr="00142E1E">
        <w:rPr>
          <w:rFonts w:ascii="Calibri" w:hAnsi="Calibri"/>
          <w:sz w:val="24"/>
          <w:szCs w:val="24"/>
        </w:rPr>
        <w:t xml:space="preserve">Applications </w:t>
      </w:r>
      <w:r w:rsidR="00690667">
        <w:rPr>
          <w:rFonts w:ascii="Calibri" w:hAnsi="Calibri"/>
          <w:sz w:val="24"/>
          <w:szCs w:val="24"/>
        </w:rPr>
        <w:t>that will be funded out of the V</w:t>
      </w:r>
      <w:r w:rsidR="00CB61E6">
        <w:rPr>
          <w:rFonts w:ascii="Calibri" w:hAnsi="Calibri"/>
          <w:sz w:val="24"/>
          <w:szCs w:val="24"/>
        </w:rPr>
        <w:t>iable Utility Reserve</w:t>
      </w:r>
      <w:r w:rsidR="00690667">
        <w:rPr>
          <w:rFonts w:ascii="Calibri" w:hAnsi="Calibri"/>
          <w:sz w:val="24"/>
          <w:szCs w:val="24"/>
        </w:rPr>
        <w:t xml:space="preserve"> will be funded in the order below</w:t>
      </w:r>
      <w:r w:rsidRPr="00142E1E">
        <w:rPr>
          <w:rFonts w:ascii="Calibri" w:hAnsi="Calibri"/>
          <w:sz w:val="24"/>
          <w:szCs w:val="24"/>
        </w:rPr>
        <w:t xml:space="preserve">. </w:t>
      </w:r>
    </w:p>
    <w:p w14:paraId="7CFF7ECC" w14:textId="0BE6B22E" w:rsidR="00965ADF" w:rsidRDefault="00965ADF" w:rsidP="00965ADF">
      <w:pPr>
        <w:ind w:left="720"/>
        <w:rPr>
          <w:rFonts w:ascii="Calibri" w:hAnsi="Calibri"/>
          <w:sz w:val="24"/>
          <w:szCs w:val="24"/>
        </w:rPr>
      </w:pPr>
      <w:r>
        <w:rPr>
          <w:rFonts w:ascii="Calibri" w:hAnsi="Calibri"/>
          <w:sz w:val="24"/>
          <w:szCs w:val="24"/>
        </w:rPr>
        <w:t>1. Distressed criteria scores</w:t>
      </w:r>
      <w:r>
        <w:rPr>
          <w:rFonts w:ascii="Calibri" w:hAnsi="Calibri"/>
          <w:sz w:val="24"/>
          <w:szCs w:val="24"/>
        </w:rPr>
        <w:br/>
        <w:t>2. First tie-break among distressed applicants:</w:t>
      </w:r>
    </w:p>
    <w:p w14:paraId="70B05A1B" w14:textId="77777777" w:rsidR="00965ADF" w:rsidRDefault="00965ADF" w:rsidP="00965ADF">
      <w:pPr>
        <w:ind w:left="720" w:firstLine="720"/>
        <w:rPr>
          <w:rFonts w:ascii="Calibri" w:hAnsi="Calibri"/>
          <w:sz w:val="24"/>
          <w:szCs w:val="24"/>
        </w:rPr>
      </w:pPr>
      <w:r>
        <w:rPr>
          <w:rFonts w:ascii="Calibri" w:hAnsi="Calibri"/>
          <w:sz w:val="24"/>
          <w:szCs w:val="24"/>
        </w:rPr>
        <w:t>Revenue Outlook (15 points)</w:t>
      </w:r>
    </w:p>
    <w:p w14:paraId="387DC3B5" w14:textId="77777777" w:rsidR="00965ADF" w:rsidRDefault="00965ADF" w:rsidP="00965ADF">
      <w:pPr>
        <w:ind w:left="720" w:firstLine="720"/>
        <w:rPr>
          <w:rFonts w:ascii="Calibri" w:hAnsi="Calibri"/>
          <w:sz w:val="24"/>
          <w:szCs w:val="24"/>
        </w:rPr>
      </w:pPr>
      <w:r>
        <w:rPr>
          <w:rFonts w:ascii="Calibri" w:hAnsi="Calibri"/>
          <w:sz w:val="24"/>
          <w:szCs w:val="24"/>
        </w:rPr>
        <w:t>Moratorium (15 points)</w:t>
      </w:r>
    </w:p>
    <w:p w14:paraId="4BC9C102" w14:textId="77777777" w:rsidR="00965ADF" w:rsidRDefault="00965ADF" w:rsidP="00965ADF">
      <w:pPr>
        <w:ind w:left="720" w:firstLine="720"/>
        <w:rPr>
          <w:rFonts w:ascii="Calibri" w:hAnsi="Calibri"/>
          <w:sz w:val="24"/>
          <w:szCs w:val="24"/>
        </w:rPr>
      </w:pPr>
      <w:r>
        <w:rPr>
          <w:rFonts w:ascii="Calibri" w:hAnsi="Calibri"/>
          <w:sz w:val="24"/>
          <w:szCs w:val="24"/>
        </w:rPr>
        <w:t>Service Population &lt;1,000 (10 points)</w:t>
      </w:r>
    </w:p>
    <w:p w14:paraId="5B5BE464" w14:textId="57676E86" w:rsidR="00965ADF" w:rsidRDefault="00965ADF" w:rsidP="005D2210">
      <w:pPr>
        <w:ind w:left="720" w:firstLine="720"/>
        <w:rPr>
          <w:rFonts w:ascii="Calibri" w:hAnsi="Calibri"/>
          <w:sz w:val="24"/>
          <w:szCs w:val="24"/>
        </w:rPr>
      </w:pPr>
      <w:r>
        <w:rPr>
          <w:rFonts w:ascii="Calibri" w:hAnsi="Calibri"/>
          <w:sz w:val="24"/>
          <w:szCs w:val="24"/>
        </w:rPr>
        <w:t>Project addresses multiple distressed units (5 points)</w:t>
      </w:r>
    </w:p>
    <w:p w14:paraId="1972253D" w14:textId="52DE2CB8" w:rsidR="00142E1E" w:rsidRDefault="00965ADF" w:rsidP="00965ADF">
      <w:pPr>
        <w:rPr>
          <w:rFonts w:ascii="Calibri" w:hAnsi="Calibri"/>
          <w:sz w:val="24"/>
          <w:szCs w:val="24"/>
        </w:rPr>
      </w:pPr>
      <w:r>
        <w:rPr>
          <w:rFonts w:ascii="Calibri" w:hAnsi="Calibri"/>
          <w:sz w:val="24"/>
          <w:szCs w:val="24"/>
        </w:rPr>
        <w:tab/>
      </w:r>
    </w:p>
    <w:p w14:paraId="0DCE45C8" w14:textId="1916A923" w:rsidR="00142E1E" w:rsidRDefault="00142E1E" w:rsidP="00690667">
      <w:pPr>
        <w:spacing w:after="240"/>
        <w:rPr>
          <w:rFonts w:ascii="Calibri" w:hAnsi="Calibri"/>
          <w:sz w:val="24"/>
          <w:szCs w:val="24"/>
        </w:rPr>
      </w:pPr>
      <w:r>
        <w:rPr>
          <w:rFonts w:ascii="Calibri" w:hAnsi="Calibri"/>
          <w:sz w:val="24"/>
          <w:szCs w:val="24"/>
        </w:rPr>
        <w:t>All other applications</w:t>
      </w:r>
      <w:r w:rsidR="00690667">
        <w:rPr>
          <w:rFonts w:ascii="Calibri" w:hAnsi="Calibri"/>
          <w:sz w:val="24"/>
          <w:szCs w:val="24"/>
        </w:rPr>
        <w:t>, which will be funded out of the S</w:t>
      </w:r>
      <w:r w:rsidR="00CB61E6">
        <w:rPr>
          <w:rFonts w:ascii="Calibri" w:hAnsi="Calibri"/>
          <w:sz w:val="24"/>
          <w:szCs w:val="24"/>
        </w:rPr>
        <w:t>tate Reserve Program</w:t>
      </w:r>
      <w:r w:rsidR="00690667">
        <w:rPr>
          <w:rFonts w:ascii="Calibri" w:hAnsi="Calibri"/>
          <w:sz w:val="24"/>
          <w:szCs w:val="24"/>
        </w:rPr>
        <w:t>, potentially including some LGUs designated as distressed,</w:t>
      </w:r>
      <w:r>
        <w:rPr>
          <w:rFonts w:ascii="Calibri" w:hAnsi="Calibri"/>
          <w:sz w:val="24"/>
          <w:szCs w:val="24"/>
        </w:rPr>
        <w:t xml:space="preserve"> will be prioritized according to the Priority Rating System at the end of this document.</w:t>
      </w:r>
    </w:p>
    <w:p w14:paraId="48241B80" w14:textId="67E43D95" w:rsidR="001A59C8" w:rsidRPr="00CE40E7" w:rsidRDefault="00507D6C" w:rsidP="001A59C8">
      <w:pPr>
        <w:spacing w:after="120"/>
        <w:rPr>
          <w:rFonts w:ascii="Calibri" w:hAnsi="Calibri"/>
          <w:sz w:val="24"/>
          <w:szCs w:val="24"/>
        </w:rPr>
      </w:pPr>
      <w:bookmarkStart w:id="0" w:name="_Hlk95404929"/>
      <w:bookmarkStart w:id="1" w:name="_Hlk95293581"/>
      <w:r>
        <w:rPr>
          <w:rFonts w:ascii="Calibri" w:hAnsi="Calibri"/>
          <w:sz w:val="24"/>
          <w:szCs w:val="24"/>
        </w:rPr>
        <w:t>O</w:t>
      </w:r>
      <w:r w:rsidR="00CE40E7" w:rsidRPr="00CE40E7">
        <w:rPr>
          <w:rFonts w:ascii="Calibri" w:hAnsi="Calibri"/>
          <w:sz w:val="24"/>
          <w:szCs w:val="24"/>
        </w:rPr>
        <w:t xml:space="preserve">nly </w:t>
      </w:r>
      <w:r w:rsidR="001A59C8">
        <w:rPr>
          <w:rFonts w:ascii="Calibri" w:hAnsi="Calibri"/>
          <w:sz w:val="24"/>
          <w:szCs w:val="24"/>
        </w:rPr>
        <w:t xml:space="preserve">LGU </w:t>
      </w:r>
      <w:r w:rsidR="00CE40E7" w:rsidRPr="00CE40E7">
        <w:rPr>
          <w:rFonts w:ascii="Calibri" w:hAnsi="Calibri"/>
          <w:sz w:val="24"/>
          <w:szCs w:val="24"/>
        </w:rPr>
        <w:t>applicants designated as distressed</w:t>
      </w:r>
      <w:r w:rsidR="001A59C8">
        <w:rPr>
          <w:rFonts w:ascii="Calibri" w:hAnsi="Calibri"/>
          <w:sz w:val="24"/>
          <w:szCs w:val="24"/>
        </w:rPr>
        <w:t>, or regional partners that apply for funding to work with an LGU designated as distressed,</w:t>
      </w:r>
      <w:r w:rsidR="00CE40E7" w:rsidRPr="00CE40E7">
        <w:rPr>
          <w:rFonts w:ascii="Calibri" w:hAnsi="Calibri"/>
          <w:sz w:val="24"/>
          <w:szCs w:val="24"/>
        </w:rPr>
        <w:t xml:space="preserve"> are eligible for V</w:t>
      </w:r>
      <w:r w:rsidR="001A59C8">
        <w:rPr>
          <w:rFonts w:ascii="Calibri" w:hAnsi="Calibri"/>
          <w:sz w:val="24"/>
          <w:szCs w:val="24"/>
        </w:rPr>
        <w:t>iable Utility Reserve f</w:t>
      </w:r>
      <w:r w:rsidR="00CE40E7" w:rsidRPr="00CE40E7">
        <w:rPr>
          <w:rFonts w:ascii="Calibri" w:hAnsi="Calibri"/>
          <w:sz w:val="24"/>
          <w:szCs w:val="24"/>
        </w:rPr>
        <w:t>unding.</w:t>
      </w:r>
      <w:r w:rsidR="001A59C8">
        <w:rPr>
          <w:rFonts w:ascii="Calibri" w:hAnsi="Calibri"/>
          <w:sz w:val="24"/>
          <w:szCs w:val="24"/>
        </w:rPr>
        <w:t xml:space="preserve"> T</w:t>
      </w:r>
      <w:r w:rsidR="00CE40E7" w:rsidRPr="00CE40E7">
        <w:rPr>
          <w:rFonts w:ascii="Calibri" w:hAnsi="Calibri"/>
          <w:sz w:val="24"/>
          <w:szCs w:val="24"/>
        </w:rPr>
        <w:t xml:space="preserve">he Division </w:t>
      </w:r>
      <w:r w:rsidR="00CE40E7" w:rsidRPr="00CE40E7">
        <w:rPr>
          <w:rFonts w:ascii="Calibri" w:hAnsi="Calibri"/>
          <w:sz w:val="24"/>
          <w:szCs w:val="24"/>
        </w:rPr>
        <w:lastRenderedPageBreak/>
        <w:t xml:space="preserve">created </w:t>
      </w:r>
      <w:r>
        <w:rPr>
          <w:rFonts w:ascii="Calibri" w:hAnsi="Calibri"/>
          <w:sz w:val="24"/>
          <w:szCs w:val="24"/>
        </w:rPr>
        <w:t xml:space="preserve">a </w:t>
      </w:r>
      <w:r w:rsidR="00CE40E7" w:rsidRPr="00CE40E7">
        <w:rPr>
          <w:rFonts w:ascii="Calibri" w:hAnsi="Calibri"/>
          <w:sz w:val="24"/>
          <w:szCs w:val="24"/>
        </w:rPr>
        <w:t xml:space="preserve">separate </w:t>
      </w:r>
      <w:r>
        <w:rPr>
          <w:rFonts w:ascii="Calibri" w:hAnsi="Calibri"/>
          <w:sz w:val="24"/>
          <w:szCs w:val="24"/>
        </w:rPr>
        <w:t xml:space="preserve">template for </w:t>
      </w:r>
      <w:r w:rsidRPr="00EA041E">
        <w:rPr>
          <w:rFonts w:ascii="Calibri" w:hAnsi="Calibri"/>
          <w:b/>
          <w:bCs/>
          <w:sz w:val="24"/>
          <w:szCs w:val="24"/>
        </w:rPr>
        <w:t>R</w:t>
      </w:r>
      <w:r w:rsidR="00CE40E7" w:rsidRPr="00EA041E">
        <w:rPr>
          <w:rFonts w:ascii="Calibri" w:hAnsi="Calibri"/>
          <w:b/>
          <w:bCs/>
          <w:sz w:val="24"/>
          <w:szCs w:val="24"/>
        </w:rPr>
        <w:t>esolutions</w:t>
      </w:r>
      <w:r w:rsidRPr="00EA041E">
        <w:rPr>
          <w:rFonts w:ascii="Calibri" w:hAnsi="Calibri"/>
          <w:b/>
          <w:bCs/>
          <w:sz w:val="24"/>
          <w:szCs w:val="24"/>
        </w:rPr>
        <w:t xml:space="preserve"> by Governing Bodies</w:t>
      </w:r>
      <w:r w:rsidR="00CE40E7" w:rsidRPr="00EA041E">
        <w:rPr>
          <w:rFonts w:ascii="Calibri" w:hAnsi="Calibri"/>
          <w:b/>
          <w:bCs/>
          <w:sz w:val="24"/>
          <w:szCs w:val="24"/>
        </w:rPr>
        <w:t xml:space="preserve"> </w:t>
      </w:r>
      <w:r w:rsidRPr="00EA041E">
        <w:rPr>
          <w:rFonts w:ascii="Calibri" w:hAnsi="Calibri"/>
          <w:b/>
          <w:bCs/>
          <w:sz w:val="24"/>
          <w:szCs w:val="24"/>
        </w:rPr>
        <w:t>to apply for funding for LGUs designated as distressed and their regional partners</w:t>
      </w:r>
      <w:r w:rsidR="00EA041E">
        <w:rPr>
          <w:rFonts w:ascii="Calibri" w:hAnsi="Calibri"/>
          <w:b/>
          <w:bCs/>
          <w:sz w:val="24"/>
          <w:szCs w:val="24"/>
        </w:rPr>
        <w:t xml:space="preserve"> (VUR Resolution)</w:t>
      </w:r>
      <w:r w:rsidRPr="00EA041E">
        <w:rPr>
          <w:rFonts w:ascii="Calibri" w:hAnsi="Calibri"/>
          <w:b/>
          <w:bCs/>
          <w:sz w:val="24"/>
          <w:szCs w:val="24"/>
        </w:rPr>
        <w:t>.</w:t>
      </w:r>
      <w:r>
        <w:rPr>
          <w:rFonts w:ascii="Calibri" w:hAnsi="Calibri"/>
          <w:sz w:val="24"/>
          <w:szCs w:val="24"/>
        </w:rPr>
        <w:t xml:space="preserve"> </w:t>
      </w:r>
      <w:r w:rsidR="001A59C8">
        <w:rPr>
          <w:rFonts w:ascii="Calibri" w:hAnsi="Calibri"/>
          <w:sz w:val="24"/>
          <w:szCs w:val="24"/>
        </w:rPr>
        <w:t>If your LGU is designated as distressed or is partnering with a LGU designated as distressed for this application</w:t>
      </w:r>
      <w:r w:rsidR="001A59C8" w:rsidRPr="00CE40E7">
        <w:rPr>
          <w:rFonts w:ascii="Calibri" w:hAnsi="Calibri"/>
          <w:sz w:val="24"/>
          <w:szCs w:val="24"/>
        </w:rPr>
        <w:t xml:space="preserve">, the application must include </w:t>
      </w:r>
      <w:r w:rsidR="001A59C8">
        <w:rPr>
          <w:rFonts w:ascii="Calibri" w:hAnsi="Calibri"/>
          <w:sz w:val="24"/>
          <w:szCs w:val="24"/>
        </w:rPr>
        <w:t xml:space="preserve">signed </w:t>
      </w:r>
      <w:r w:rsidR="00EA041E">
        <w:rPr>
          <w:rFonts w:ascii="Calibri" w:hAnsi="Calibri"/>
          <w:sz w:val="24"/>
          <w:szCs w:val="24"/>
        </w:rPr>
        <w:t xml:space="preserve">VUR </w:t>
      </w:r>
      <w:r w:rsidR="001A59C8">
        <w:rPr>
          <w:rFonts w:ascii="Calibri" w:hAnsi="Calibri"/>
          <w:sz w:val="24"/>
          <w:szCs w:val="24"/>
        </w:rPr>
        <w:t xml:space="preserve">Resolutions by each </w:t>
      </w:r>
      <w:r w:rsidR="00EA041E">
        <w:rPr>
          <w:rFonts w:ascii="Calibri" w:hAnsi="Calibri"/>
          <w:sz w:val="24"/>
          <w:szCs w:val="24"/>
        </w:rPr>
        <w:t>g</w:t>
      </w:r>
      <w:r w:rsidR="001A59C8">
        <w:rPr>
          <w:rFonts w:ascii="Calibri" w:hAnsi="Calibri"/>
          <w:sz w:val="24"/>
          <w:szCs w:val="24"/>
        </w:rPr>
        <w:t xml:space="preserve">overning </w:t>
      </w:r>
      <w:r w:rsidR="00EA041E">
        <w:rPr>
          <w:rFonts w:ascii="Calibri" w:hAnsi="Calibri"/>
          <w:sz w:val="24"/>
          <w:szCs w:val="24"/>
        </w:rPr>
        <w:t>b</w:t>
      </w:r>
      <w:r w:rsidR="001A59C8">
        <w:rPr>
          <w:rFonts w:ascii="Calibri" w:hAnsi="Calibri"/>
          <w:sz w:val="24"/>
          <w:szCs w:val="24"/>
        </w:rPr>
        <w:t xml:space="preserve">ody </w:t>
      </w:r>
      <w:r w:rsidR="00EA041E">
        <w:rPr>
          <w:rFonts w:ascii="Calibri" w:hAnsi="Calibri"/>
          <w:sz w:val="24"/>
          <w:szCs w:val="24"/>
        </w:rPr>
        <w:t>of a LGU on the application. U</w:t>
      </w:r>
      <w:r w:rsidR="001A59C8" w:rsidRPr="00CE40E7">
        <w:rPr>
          <w:rFonts w:ascii="Calibri" w:hAnsi="Calibri"/>
          <w:sz w:val="24"/>
          <w:szCs w:val="24"/>
        </w:rPr>
        <w:t>pon receiving funding from the VU</w:t>
      </w:r>
      <w:r w:rsidR="001A59C8">
        <w:rPr>
          <w:rFonts w:ascii="Calibri" w:hAnsi="Calibri"/>
          <w:sz w:val="24"/>
          <w:szCs w:val="24"/>
        </w:rPr>
        <w:t>R</w:t>
      </w:r>
      <w:r w:rsidR="001A59C8" w:rsidRPr="00CE40E7">
        <w:rPr>
          <w:rFonts w:ascii="Calibri" w:hAnsi="Calibri"/>
          <w:sz w:val="24"/>
          <w:szCs w:val="24"/>
        </w:rPr>
        <w:t xml:space="preserve">, </w:t>
      </w:r>
      <w:r w:rsidR="00EA041E">
        <w:rPr>
          <w:rFonts w:ascii="Calibri" w:hAnsi="Calibri"/>
          <w:sz w:val="24"/>
          <w:szCs w:val="24"/>
        </w:rPr>
        <w:t xml:space="preserve">the Resolution </w:t>
      </w:r>
      <w:r w:rsidR="001A59C8" w:rsidRPr="00CE40E7">
        <w:rPr>
          <w:rFonts w:ascii="Calibri" w:hAnsi="Calibri"/>
          <w:sz w:val="24"/>
          <w:szCs w:val="24"/>
        </w:rPr>
        <w:t xml:space="preserve">commits the </w:t>
      </w:r>
      <w:r w:rsidR="001A59C8">
        <w:rPr>
          <w:rFonts w:ascii="Calibri" w:hAnsi="Calibri"/>
          <w:sz w:val="24"/>
          <w:szCs w:val="24"/>
        </w:rPr>
        <w:t>LGU designated as distressed</w:t>
      </w:r>
      <w:r w:rsidR="001A59C8" w:rsidRPr="00CE40E7">
        <w:rPr>
          <w:rFonts w:ascii="Calibri" w:hAnsi="Calibri"/>
          <w:sz w:val="24"/>
          <w:szCs w:val="24"/>
        </w:rPr>
        <w:t xml:space="preserve"> to completing the viable utility requirements established in NCGS 159G-45(b). </w:t>
      </w:r>
    </w:p>
    <w:p w14:paraId="2334563C" w14:textId="2B5AE614" w:rsidR="00CE40E7" w:rsidRPr="00CE40E7" w:rsidRDefault="00507D6C" w:rsidP="00EA041E">
      <w:pPr>
        <w:spacing w:after="120"/>
        <w:rPr>
          <w:rFonts w:ascii="Calibri" w:hAnsi="Calibri"/>
          <w:sz w:val="24"/>
          <w:szCs w:val="24"/>
        </w:rPr>
      </w:pPr>
      <w:bookmarkStart w:id="2" w:name="_Hlk95405000"/>
      <w:bookmarkEnd w:id="0"/>
      <w:r>
        <w:rPr>
          <w:rFonts w:ascii="Calibri" w:hAnsi="Calibri"/>
          <w:sz w:val="24"/>
          <w:szCs w:val="24"/>
        </w:rPr>
        <w:t xml:space="preserve">Applicants that do not include LGUs designated as distressed as a partner in the application should complete the </w:t>
      </w:r>
      <w:r w:rsidRPr="00EA041E">
        <w:rPr>
          <w:rFonts w:ascii="Calibri" w:hAnsi="Calibri"/>
          <w:b/>
          <w:bCs/>
          <w:sz w:val="24"/>
          <w:szCs w:val="24"/>
        </w:rPr>
        <w:t>Resolution by Governing Bodies to apply for funding by LGUs not designated as distressed.</w:t>
      </w:r>
      <w:r w:rsidR="00EA041E">
        <w:rPr>
          <w:rFonts w:ascii="Calibri" w:hAnsi="Calibri"/>
          <w:b/>
          <w:bCs/>
          <w:sz w:val="24"/>
          <w:szCs w:val="24"/>
        </w:rPr>
        <w:t xml:space="preserve"> </w:t>
      </w:r>
      <w:r w:rsidR="00EA041E">
        <w:rPr>
          <w:rFonts w:ascii="Calibri" w:hAnsi="Calibri"/>
          <w:sz w:val="24"/>
          <w:szCs w:val="24"/>
        </w:rPr>
        <w:t xml:space="preserve">This is the </w:t>
      </w:r>
      <w:r w:rsidR="00CE40E7" w:rsidRPr="00CE40E7">
        <w:rPr>
          <w:rFonts w:ascii="Calibri" w:hAnsi="Calibri"/>
          <w:sz w:val="24"/>
          <w:szCs w:val="24"/>
        </w:rPr>
        <w:t xml:space="preserve">standard </w:t>
      </w:r>
      <w:r w:rsidR="00EA041E">
        <w:rPr>
          <w:rFonts w:ascii="Calibri" w:hAnsi="Calibri"/>
          <w:sz w:val="24"/>
          <w:szCs w:val="24"/>
        </w:rPr>
        <w:t>template resolution required of a</w:t>
      </w:r>
      <w:r w:rsidR="00CE40E7" w:rsidRPr="00CE40E7">
        <w:rPr>
          <w:rFonts w:ascii="Calibri" w:hAnsi="Calibri"/>
          <w:sz w:val="24"/>
          <w:szCs w:val="24"/>
        </w:rPr>
        <w:t>pplication</w:t>
      </w:r>
      <w:r w:rsidR="00EA041E">
        <w:rPr>
          <w:rFonts w:ascii="Calibri" w:hAnsi="Calibri"/>
          <w:sz w:val="24"/>
          <w:szCs w:val="24"/>
        </w:rPr>
        <w:t>s</w:t>
      </w:r>
      <w:r w:rsidR="00CE40E7" w:rsidRPr="00CE40E7">
        <w:rPr>
          <w:rFonts w:ascii="Calibri" w:hAnsi="Calibri"/>
          <w:sz w:val="24"/>
          <w:szCs w:val="24"/>
        </w:rPr>
        <w:t xml:space="preserve"> for the Division’s other funding programs. </w:t>
      </w:r>
    </w:p>
    <w:bookmarkEnd w:id="1"/>
    <w:bookmarkEnd w:id="2"/>
    <w:p w14:paraId="41A59F23" w14:textId="3F68CB96" w:rsidR="00CA7DD5" w:rsidRDefault="00813210" w:rsidP="00CA7DD5">
      <w:pPr>
        <w:rPr>
          <w:rFonts w:asciiTheme="minorHAnsi" w:hAnsiTheme="minorHAnsi"/>
          <w:b/>
          <w:sz w:val="28"/>
          <w:szCs w:val="24"/>
          <w:u w:val="single"/>
        </w:rPr>
      </w:pPr>
      <w:r w:rsidRPr="005A1EB4">
        <w:rPr>
          <w:rFonts w:asciiTheme="minorHAnsi" w:hAnsiTheme="minorHAnsi"/>
          <w:noProof/>
          <w:sz w:val="24"/>
          <w:szCs w:val="24"/>
        </w:rPr>
        <mc:AlternateContent>
          <mc:Choice Requires="wps">
            <w:drawing>
              <wp:anchor distT="4294967295" distB="4294967295" distL="114300" distR="114300" simplePos="0" relativeHeight="251665408" behindDoc="0" locked="0" layoutInCell="1" allowOverlap="1" wp14:anchorId="32570805" wp14:editId="1F02B164">
                <wp:simplePos x="0" y="0"/>
                <wp:positionH relativeFrom="margin">
                  <wp:align>right</wp:align>
                </wp:positionH>
                <wp:positionV relativeFrom="paragraph">
                  <wp:posOffset>90805</wp:posOffset>
                </wp:positionV>
                <wp:extent cx="621792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3F5CD" id="Straight Connector 13" o:spid="_x0000_s1026" style="position:absolute;flip:y;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7.15pt" to="9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" strokeweight="1pt">
                <v:stroke joinstyle="miter"/>
                <o:lock v:ext="edit" shapetype="f"/>
                <w10:wrap anchorx="margin"/>
              </v:line>
            </w:pict>
          </mc:Fallback>
        </mc:AlternateContent>
      </w:r>
    </w:p>
    <w:tbl>
      <w:tblPr>
        <w:tblStyle w:val="TableGrid"/>
        <w:tblpPr w:leftFromText="180" w:rightFromText="180" w:vertAnchor="text" w:horzAnchor="margin" w:tblpY="559"/>
        <w:tblW w:w="0" w:type="auto"/>
        <w:shd w:val="pct5" w:color="auto" w:fill="auto"/>
        <w:tblLook w:val="04A0" w:firstRow="1" w:lastRow="0" w:firstColumn="1" w:lastColumn="0" w:noHBand="0" w:noVBand="1"/>
      </w:tblPr>
      <w:tblGrid>
        <w:gridCol w:w="9576"/>
      </w:tblGrid>
      <w:tr w:rsidR="00813210" w:rsidRPr="00C759BE" w14:paraId="0D1A8C9F" w14:textId="77777777" w:rsidTr="00EA041E">
        <w:trPr>
          <w:trHeight w:val="620"/>
        </w:trPr>
        <w:tc>
          <w:tcPr>
            <w:tcW w:w="9576" w:type="dxa"/>
            <w:shd w:val="clear" w:color="auto" w:fill="D9D9D9" w:themeFill="background1" w:themeFillShade="D9"/>
            <w:vAlign w:val="center"/>
          </w:tcPr>
          <w:p w14:paraId="6255B556" w14:textId="68FA4323" w:rsidR="00813210" w:rsidRPr="00EA041E" w:rsidRDefault="00813210" w:rsidP="00813210">
            <w:pPr>
              <w:spacing w:before="120" w:after="120"/>
              <w:rPr>
                <w:rFonts w:asciiTheme="minorHAnsi" w:hAnsiTheme="minorHAnsi"/>
                <w:b/>
                <w:color w:val="000000" w:themeColor="text1"/>
                <w:sz w:val="24"/>
                <w:szCs w:val="24"/>
              </w:rPr>
            </w:pPr>
            <w:r w:rsidRPr="00EA041E">
              <w:rPr>
                <w:rFonts w:asciiTheme="minorHAnsi" w:hAnsiTheme="minorHAnsi"/>
                <w:b/>
                <w:color w:val="000000" w:themeColor="text1"/>
                <w:sz w:val="22"/>
                <w:szCs w:val="28"/>
              </w:rPr>
              <w:t>If an applicant desires to do asset inventory and assessment</w:t>
            </w:r>
            <w:r w:rsidR="00EA041E">
              <w:rPr>
                <w:rFonts w:asciiTheme="minorHAnsi" w:hAnsiTheme="minorHAnsi"/>
                <w:b/>
                <w:color w:val="000000" w:themeColor="text1"/>
                <w:sz w:val="22"/>
                <w:szCs w:val="28"/>
              </w:rPr>
              <w:t>s</w:t>
            </w:r>
            <w:r w:rsidRPr="00EA041E">
              <w:rPr>
                <w:rFonts w:asciiTheme="minorHAnsi" w:hAnsiTheme="minorHAnsi"/>
                <w:b/>
                <w:color w:val="000000" w:themeColor="text1"/>
                <w:sz w:val="22"/>
                <w:szCs w:val="28"/>
              </w:rPr>
              <w:t xml:space="preserve"> on both the water system and the sewer system, two separate applications must be submitted.</w:t>
            </w:r>
          </w:p>
        </w:tc>
      </w:tr>
    </w:tbl>
    <w:p w14:paraId="73309B7B" w14:textId="5A113F6D" w:rsidR="00655800" w:rsidRPr="00C759BE" w:rsidRDefault="00655800" w:rsidP="00813210">
      <w:pPr>
        <w:spacing w:after="240"/>
        <w:rPr>
          <w:rFonts w:asciiTheme="minorHAnsi" w:hAnsiTheme="minorHAnsi"/>
          <w:b/>
          <w:sz w:val="28"/>
          <w:szCs w:val="24"/>
          <w:u w:val="single"/>
        </w:rPr>
      </w:pPr>
      <w:r w:rsidRPr="00C759BE">
        <w:rPr>
          <w:rFonts w:asciiTheme="minorHAnsi" w:hAnsiTheme="minorHAnsi"/>
          <w:b/>
          <w:sz w:val="28"/>
          <w:szCs w:val="24"/>
          <w:u w:val="single"/>
        </w:rPr>
        <w:t>Submittal Requirements</w:t>
      </w:r>
    </w:p>
    <w:p w14:paraId="2193F208" w14:textId="77777777" w:rsidR="00813210" w:rsidRPr="00813210" w:rsidRDefault="00813210" w:rsidP="00813210">
      <w:pPr>
        <w:pStyle w:val="ListParagraph"/>
        <w:spacing w:before="240" w:after="120"/>
        <w:rPr>
          <w:rFonts w:asciiTheme="minorHAnsi" w:hAnsiTheme="minorHAnsi"/>
          <w:b/>
          <w:sz w:val="24"/>
          <w:szCs w:val="24"/>
        </w:rPr>
      </w:pPr>
    </w:p>
    <w:p w14:paraId="4A9F4821" w14:textId="77851D4A" w:rsidR="00655800" w:rsidRPr="00066CF4" w:rsidRDefault="00655800" w:rsidP="00813210">
      <w:pPr>
        <w:pStyle w:val="ListParagraph"/>
        <w:numPr>
          <w:ilvl w:val="0"/>
          <w:numId w:val="1"/>
        </w:numPr>
        <w:spacing w:before="240" w:after="120"/>
        <w:rPr>
          <w:rFonts w:asciiTheme="minorHAnsi" w:hAnsiTheme="minorHAnsi"/>
          <w:b/>
          <w:sz w:val="24"/>
          <w:szCs w:val="24"/>
        </w:rPr>
      </w:pPr>
      <w:r w:rsidRPr="00066CF4">
        <w:rPr>
          <w:rFonts w:asciiTheme="minorHAnsi" w:hAnsiTheme="minorHAnsi"/>
          <w:sz w:val="24"/>
          <w:szCs w:val="24"/>
        </w:rPr>
        <w:t>The completed application must include the appli</w:t>
      </w:r>
      <w:r w:rsidR="00D838EA">
        <w:rPr>
          <w:rFonts w:asciiTheme="minorHAnsi" w:hAnsiTheme="minorHAnsi"/>
          <w:sz w:val="24"/>
          <w:szCs w:val="24"/>
        </w:rPr>
        <w:t xml:space="preserve">cation forms, </w:t>
      </w:r>
      <w:r w:rsidR="00EA041E">
        <w:rPr>
          <w:rFonts w:asciiTheme="minorHAnsi" w:hAnsiTheme="minorHAnsi"/>
          <w:sz w:val="24"/>
          <w:szCs w:val="24"/>
        </w:rPr>
        <w:t xml:space="preserve">Water &amp; Sewer </w:t>
      </w:r>
      <w:r w:rsidR="00E50057">
        <w:rPr>
          <w:rFonts w:asciiTheme="minorHAnsi" w:hAnsiTheme="minorHAnsi"/>
          <w:sz w:val="24"/>
          <w:szCs w:val="24"/>
        </w:rPr>
        <w:t>Financial Information</w:t>
      </w:r>
      <w:r w:rsidR="00EF0C41">
        <w:rPr>
          <w:rFonts w:asciiTheme="minorHAnsi" w:hAnsiTheme="minorHAnsi"/>
          <w:sz w:val="24"/>
          <w:szCs w:val="24"/>
        </w:rPr>
        <w:t xml:space="preserve"> Form,</w:t>
      </w:r>
      <w:r w:rsidR="00E50057">
        <w:rPr>
          <w:rFonts w:asciiTheme="minorHAnsi" w:hAnsiTheme="minorHAnsi"/>
          <w:sz w:val="24"/>
          <w:szCs w:val="24"/>
        </w:rPr>
        <w:t xml:space="preserve"> </w:t>
      </w:r>
      <w:r w:rsidR="00066CF4" w:rsidRPr="00066CF4">
        <w:rPr>
          <w:rFonts w:asciiTheme="minorHAnsi" w:hAnsiTheme="minorHAnsi"/>
          <w:sz w:val="24"/>
          <w:szCs w:val="24"/>
        </w:rPr>
        <w:t>Fund Transfer Certification</w:t>
      </w:r>
      <w:r w:rsidR="00D838EA">
        <w:rPr>
          <w:rFonts w:asciiTheme="minorHAnsi" w:hAnsiTheme="minorHAnsi"/>
          <w:sz w:val="24"/>
          <w:szCs w:val="24"/>
        </w:rPr>
        <w:t xml:space="preserve"> form, water</w:t>
      </w:r>
      <w:r w:rsidR="00AE4C71">
        <w:rPr>
          <w:rFonts w:asciiTheme="minorHAnsi" w:hAnsiTheme="minorHAnsi"/>
          <w:sz w:val="24"/>
          <w:szCs w:val="24"/>
        </w:rPr>
        <w:t xml:space="preserve"> and </w:t>
      </w:r>
      <w:r w:rsidR="00D838EA">
        <w:rPr>
          <w:rFonts w:asciiTheme="minorHAnsi" w:hAnsiTheme="minorHAnsi"/>
          <w:sz w:val="24"/>
          <w:szCs w:val="24"/>
        </w:rPr>
        <w:t>sewer rate sheets</w:t>
      </w:r>
      <w:r w:rsidR="00066CF4" w:rsidRPr="00066CF4">
        <w:rPr>
          <w:rFonts w:asciiTheme="minorHAnsi" w:hAnsiTheme="minorHAnsi"/>
          <w:sz w:val="24"/>
          <w:szCs w:val="24"/>
        </w:rPr>
        <w:t xml:space="preserve">, </w:t>
      </w:r>
      <w:r w:rsidRPr="00066CF4">
        <w:rPr>
          <w:rFonts w:asciiTheme="minorHAnsi" w:hAnsiTheme="minorHAnsi"/>
          <w:sz w:val="24"/>
          <w:szCs w:val="24"/>
        </w:rPr>
        <w:t>the nar</w:t>
      </w:r>
      <w:r w:rsidR="00EF0C41">
        <w:rPr>
          <w:rFonts w:asciiTheme="minorHAnsi" w:hAnsiTheme="minorHAnsi"/>
          <w:sz w:val="24"/>
          <w:szCs w:val="24"/>
        </w:rPr>
        <w:t>rative</w:t>
      </w:r>
      <w:r w:rsidR="00FC53A6">
        <w:rPr>
          <w:rFonts w:asciiTheme="minorHAnsi" w:hAnsiTheme="minorHAnsi"/>
          <w:sz w:val="24"/>
          <w:szCs w:val="24"/>
        </w:rPr>
        <w:t xml:space="preserve">, </w:t>
      </w:r>
      <w:r w:rsidR="00066CF4">
        <w:rPr>
          <w:rFonts w:asciiTheme="minorHAnsi" w:hAnsiTheme="minorHAnsi"/>
          <w:sz w:val="24"/>
          <w:szCs w:val="24"/>
        </w:rPr>
        <w:t>resolution</w:t>
      </w:r>
      <w:r w:rsidR="00CA7DD5">
        <w:rPr>
          <w:rFonts w:asciiTheme="minorHAnsi" w:hAnsiTheme="minorHAnsi"/>
          <w:sz w:val="24"/>
          <w:szCs w:val="24"/>
        </w:rPr>
        <w:t>(s)</w:t>
      </w:r>
      <w:r w:rsidR="00FC53A6">
        <w:rPr>
          <w:rFonts w:asciiTheme="minorHAnsi" w:hAnsiTheme="minorHAnsi"/>
          <w:sz w:val="24"/>
          <w:szCs w:val="24"/>
        </w:rPr>
        <w:t>, and supporting documentation</w:t>
      </w:r>
      <w:r w:rsidR="00066CF4">
        <w:rPr>
          <w:rFonts w:asciiTheme="minorHAnsi" w:hAnsiTheme="minorHAnsi"/>
          <w:sz w:val="24"/>
          <w:szCs w:val="24"/>
        </w:rPr>
        <w:t xml:space="preserve">. </w:t>
      </w:r>
      <w:r w:rsidR="00066CF4" w:rsidRPr="00066CF4">
        <w:rPr>
          <w:rFonts w:asciiTheme="minorHAnsi" w:hAnsiTheme="minorHAnsi"/>
          <w:b/>
          <w:sz w:val="24"/>
          <w:szCs w:val="24"/>
        </w:rPr>
        <w:t xml:space="preserve">Do not submit a completed </w:t>
      </w:r>
      <w:r w:rsidR="0095179D">
        <w:rPr>
          <w:rFonts w:asciiTheme="minorHAnsi" w:hAnsiTheme="minorHAnsi"/>
          <w:b/>
          <w:sz w:val="24"/>
          <w:szCs w:val="24"/>
        </w:rPr>
        <w:t xml:space="preserve">priority </w:t>
      </w:r>
      <w:r w:rsidR="00066CF4" w:rsidRPr="00066CF4">
        <w:rPr>
          <w:rFonts w:asciiTheme="minorHAnsi" w:hAnsiTheme="minorHAnsi"/>
          <w:b/>
          <w:sz w:val="24"/>
          <w:szCs w:val="24"/>
        </w:rPr>
        <w:t>rating system point sheet.</w:t>
      </w:r>
    </w:p>
    <w:p w14:paraId="7D7B2C7C" w14:textId="7456DE5E" w:rsidR="00655800" w:rsidRDefault="00655800" w:rsidP="00655800">
      <w:pPr>
        <w:pStyle w:val="ListParagraph"/>
        <w:numPr>
          <w:ilvl w:val="0"/>
          <w:numId w:val="1"/>
        </w:numPr>
        <w:spacing w:after="120"/>
        <w:rPr>
          <w:rFonts w:asciiTheme="minorHAnsi" w:hAnsiTheme="minorHAnsi"/>
          <w:sz w:val="24"/>
          <w:szCs w:val="24"/>
        </w:rPr>
      </w:pPr>
      <w:r w:rsidRPr="00FE2728">
        <w:rPr>
          <w:rFonts w:asciiTheme="minorHAnsi" w:hAnsiTheme="minorHAnsi"/>
          <w:sz w:val="24"/>
          <w:szCs w:val="24"/>
        </w:rPr>
        <w:t xml:space="preserve">A </w:t>
      </w:r>
      <w:r w:rsidR="0095179D">
        <w:rPr>
          <w:rFonts w:asciiTheme="minorHAnsi" w:hAnsiTheme="minorHAnsi"/>
          <w:sz w:val="24"/>
          <w:szCs w:val="24"/>
        </w:rPr>
        <w:t xml:space="preserve">Priority </w:t>
      </w:r>
      <w:r w:rsidRPr="00FE2728">
        <w:rPr>
          <w:rFonts w:asciiTheme="minorHAnsi" w:hAnsiTheme="minorHAnsi"/>
          <w:sz w:val="24"/>
          <w:szCs w:val="24"/>
        </w:rPr>
        <w:t>Rating System Narrative along with supporting documentation as requ</w:t>
      </w:r>
      <w:r>
        <w:rPr>
          <w:rFonts w:asciiTheme="minorHAnsi" w:hAnsiTheme="minorHAnsi"/>
          <w:sz w:val="24"/>
          <w:szCs w:val="24"/>
        </w:rPr>
        <w:t xml:space="preserve">ired by this guidance must </w:t>
      </w:r>
      <w:r w:rsidRPr="00FE2728">
        <w:rPr>
          <w:rFonts w:asciiTheme="minorHAnsi" w:hAnsiTheme="minorHAnsi"/>
          <w:sz w:val="24"/>
          <w:szCs w:val="24"/>
        </w:rPr>
        <w:t xml:space="preserve">be submitted. </w:t>
      </w:r>
      <w:r w:rsidRPr="00FE2728">
        <w:rPr>
          <w:rFonts w:asciiTheme="minorHAnsi" w:hAnsiTheme="minorHAnsi"/>
          <w:sz w:val="24"/>
          <w:szCs w:val="24"/>
          <w:u w:val="single"/>
        </w:rPr>
        <w:t>The narrative is the main part of the application</w:t>
      </w:r>
      <w:r>
        <w:rPr>
          <w:rFonts w:asciiTheme="minorHAnsi" w:hAnsiTheme="minorHAnsi"/>
          <w:sz w:val="24"/>
          <w:szCs w:val="24"/>
        </w:rPr>
        <w:t xml:space="preserve">. </w:t>
      </w:r>
      <w:r w:rsidRPr="00FE2728">
        <w:rPr>
          <w:rFonts w:asciiTheme="minorHAnsi" w:hAnsiTheme="minorHAnsi"/>
          <w:sz w:val="24"/>
          <w:szCs w:val="24"/>
        </w:rPr>
        <w:t>Add</w:t>
      </w:r>
      <w:r>
        <w:rPr>
          <w:rFonts w:asciiTheme="minorHAnsi" w:hAnsiTheme="minorHAnsi"/>
          <w:sz w:val="24"/>
          <w:szCs w:val="24"/>
        </w:rPr>
        <w:t>ress every narrative question</w:t>
      </w:r>
      <w:r w:rsidR="009443B0">
        <w:rPr>
          <w:rFonts w:asciiTheme="minorHAnsi" w:hAnsiTheme="minorHAnsi"/>
          <w:sz w:val="24"/>
          <w:szCs w:val="24"/>
        </w:rPr>
        <w:t xml:space="preserve"> in the order they appear in the following sections</w:t>
      </w:r>
      <w:r>
        <w:rPr>
          <w:rFonts w:asciiTheme="minorHAnsi" w:hAnsiTheme="minorHAnsi"/>
          <w:sz w:val="24"/>
          <w:szCs w:val="24"/>
        </w:rPr>
        <w:t>.</w:t>
      </w:r>
    </w:p>
    <w:p w14:paraId="6D2749DB" w14:textId="60DF23E4" w:rsidR="00DB0C43" w:rsidRPr="00CA7DD5" w:rsidRDefault="006C78A4" w:rsidP="00CA7DD5">
      <w:pPr>
        <w:pStyle w:val="ListParagraph"/>
        <w:numPr>
          <w:ilvl w:val="0"/>
          <w:numId w:val="1"/>
        </w:numPr>
        <w:spacing w:after="240"/>
        <w:rPr>
          <w:rFonts w:asciiTheme="minorHAnsi" w:hAnsiTheme="minorHAnsi"/>
          <w:b/>
          <w:sz w:val="24"/>
          <w:szCs w:val="24"/>
          <w:u w:val="single"/>
        </w:rPr>
      </w:pPr>
      <w:r w:rsidRPr="006C78A4">
        <w:rPr>
          <w:rFonts w:asciiTheme="minorHAnsi" w:hAnsiTheme="minorHAnsi"/>
          <w:sz w:val="24"/>
          <w:szCs w:val="24"/>
        </w:rPr>
        <w:t>All supporting documentation to determine priority points must be submitted with the funding application. Please ensure that submittals provide clear information needed to determine points.</w:t>
      </w:r>
      <w:r>
        <w:rPr>
          <w:rFonts w:asciiTheme="minorHAnsi" w:hAnsiTheme="minorHAnsi"/>
          <w:sz w:val="24"/>
          <w:szCs w:val="24"/>
        </w:rPr>
        <w:t xml:space="preserve"> </w:t>
      </w:r>
      <w:r w:rsidRPr="006C78A4">
        <w:rPr>
          <w:rFonts w:asciiTheme="minorHAnsi" w:hAnsiTheme="minorHAnsi"/>
          <w:sz w:val="24"/>
          <w:szCs w:val="24"/>
        </w:rPr>
        <w:t>Additional information will not be requested. Points will be determined based solely on the information submitted</w:t>
      </w:r>
      <w:r w:rsidR="009443B0">
        <w:rPr>
          <w:rFonts w:asciiTheme="minorHAnsi" w:hAnsiTheme="minorHAnsi"/>
          <w:sz w:val="24"/>
          <w:szCs w:val="24"/>
        </w:rPr>
        <w:t xml:space="preserve"> by the application due date</w:t>
      </w:r>
      <w:r w:rsidRPr="006C78A4">
        <w:rPr>
          <w:rFonts w:asciiTheme="minorHAnsi" w:hAnsiTheme="minorHAnsi"/>
          <w:sz w:val="24"/>
          <w:szCs w:val="24"/>
        </w:rPr>
        <w:t>.</w:t>
      </w:r>
    </w:p>
    <w:p w14:paraId="15AA1E02" w14:textId="77777777" w:rsidR="00CA7DD5" w:rsidRPr="00CA7DD5" w:rsidRDefault="00CA7DD5" w:rsidP="00CA7DD5">
      <w:pPr>
        <w:pStyle w:val="ListParagraph"/>
        <w:rPr>
          <w:rFonts w:asciiTheme="minorHAnsi" w:hAnsiTheme="minorHAnsi"/>
          <w:b/>
          <w:sz w:val="24"/>
          <w:szCs w:val="24"/>
          <w:u w:val="single"/>
        </w:rPr>
      </w:pPr>
    </w:p>
    <w:p w14:paraId="0BB57924" w14:textId="77777777" w:rsidR="00CA7DD5" w:rsidRPr="005C392A" w:rsidRDefault="00CA7DD5" w:rsidP="00CA7DD5">
      <w:pPr>
        <w:pStyle w:val="ListParagraph"/>
        <w:ind w:left="360"/>
        <w:rPr>
          <w:rFonts w:asciiTheme="minorHAnsi" w:hAnsiTheme="minorHAnsi"/>
          <w:szCs w:val="24"/>
        </w:rPr>
      </w:pPr>
    </w:p>
    <w:p w14:paraId="4BF51040" w14:textId="77777777" w:rsidR="00CA7DD5" w:rsidRPr="00804A4D" w:rsidRDefault="00CA7DD5" w:rsidP="00CA7DD5">
      <w:pPr>
        <w:spacing w:after="120"/>
        <w:ind w:left="720" w:hanging="720"/>
        <w:rPr>
          <w:rFonts w:asciiTheme="minorHAnsi" w:hAnsiTheme="minorHAnsi"/>
        </w:rPr>
      </w:pPr>
      <w:r>
        <w:rPr>
          <w:rFonts w:asciiTheme="minorHAnsi" w:hAnsiTheme="minorHAnsi"/>
          <w:noProof/>
        </w:rPr>
        <mc:AlternateContent>
          <mc:Choice Requires="wps">
            <w:drawing>
              <wp:anchor distT="4294967295" distB="4294967295" distL="114300" distR="114300" simplePos="0" relativeHeight="251663360" behindDoc="0" locked="0" layoutInCell="1" allowOverlap="1" wp14:anchorId="4916EB6E" wp14:editId="0F52B6AD">
                <wp:simplePos x="0" y="0"/>
                <wp:positionH relativeFrom="column">
                  <wp:posOffset>0</wp:posOffset>
                </wp:positionH>
                <wp:positionV relativeFrom="paragraph">
                  <wp:posOffset>66040</wp:posOffset>
                </wp:positionV>
                <wp:extent cx="5797550" cy="0"/>
                <wp:effectExtent l="0" t="19050" r="127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2FD26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pt" to="45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" strokeweight="4.5pt">
                <v:stroke joinstyle="miter"/>
                <o:lock v:ext="edit" shapetype="f"/>
              </v:line>
            </w:pict>
          </mc:Fallback>
        </mc:AlternateContent>
      </w:r>
    </w:p>
    <w:p w14:paraId="0F60F52B" w14:textId="635841DE" w:rsidR="00CA7DD5" w:rsidRPr="00813210" w:rsidRDefault="00CA7DD5" w:rsidP="00CA7DD5">
      <w:pPr>
        <w:spacing w:after="240"/>
        <w:rPr>
          <w:rFonts w:asciiTheme="minorHAnsi" w:hAnsiTheme="minorHAnsi"/>
          <w:b/>
          <w:sz w:val="28"/>
          <w:szCs w:val="28"/>
          <w:u w:val="single"/>
        </w:rPr>
      </w:pPr>
      <w:r w:rsidRPr="00813210">
        <w:rPr>
          <w:rFonts w:asciiTheme="minorHAnsi" w:hAnsiTheme="minorHAnsi"/>
          <w:b/>
          <w:sz w:val="28"/>
          <w:szCs w:val="28"/>
          <w:u w:val="single"/>
        </w:rPr>
        <w:t>Asset Inventory and Assessment Narrative Guidance</w:t>
      </w:r>
    </w:p>
    <w:p w14:paraId="4731D98D" w14:textId="77777777" w:rsidR="00655800" w:rsidRPr="00633F77" w:rsidRDefault="006C78A4" w:rsidP="00CA7DD5">
      <w:pPr>
        <w:spacing w:after="240" w:line="259" w:lineRule="auto"/>
        <w:rPr>
          <w:rFonts w:asciiTheme="minorHAnsi" w:hAnsiTheme="minorHAnsi"/>
          <w:b/>
          <w:sz w:val="24"/>
          <w:szCs w:val="24"/>
          <w:u w:val="single"/>
        </w:rPr>
      </w:pPr>
      <w:r>
        <w:rPr>
          <w:rFonts w:asciiTheme="minorHAnsi" w:hAnsiTheme="minorHAnsi"/>
          <w:b/>
          <w:sz w:val="24"/>
          <w:szCs w:val="24"/>
          <w:u w:val="single"/>
        </w:rPr>
        <w:t xml:space="preserve">Categories 1 &amp; 2 - </w:t>
      </w:r>
      <w:r w:rsidR="00655800" w:rsidRPr="00633F77">
        <w:rPr>
          <w:rFonts w:asciiTheme="minorHAnsi" w:hAnsiTheme="minorHAnsi"/>
          <w:b/>
          <w:sz w:val="24"/>
          <w:szCs w:val="24"/>
          <w:u w:val="single"/>
        </w:rPr>
        <w:t>Project Benefits and System Management</w:t>
      </w:r>
    </w:p>
    <w:p w14:paraId="5E73CCFD" w14:textId="77777777" w:rsidR="00655800" w:rsidRPr="009E7F0E" w:rsidRDefault="00655800" w:rsidP="00CA7DD5">
      <w:pPr>
        <w:keepNext/>
        <w:tabs>
          <w:tab w:val="left" w:pos="720"/>
        </w:tabs>
        <w:spacing w:after="240"/>
        <w:rPr>
          <w:rFonts w:asciiTheme="minorHAnsi" w:hAnsiTheme="minorHAnsi"/>
          <w:b/>
          <w:sz w:val="24"/>
          <w:szCs w:val="24"/>
        </w:rPr>
      </w:pPr>
      <w:r>
        <w:rPr>
          <w:rFonts w:asciiTheme="minorHAnsi" w:hAnsiTheme="minorHAnsi"/>
          <w:b/>
          <w:sz w:val="24"/>
          <w:szCs w:val="24"/>
        </w:rPr>
        <w:t>Narrative</w:t>
      </w:r>
    </w:p>
    <w:p w14:paraId="1B8BECCA" w14:textId="6DBF1CF3" w:rsidR="00655800" w:rsidRPr="00C759BE" w:rsidRDefault="00655800" w:rsidP="00CA7DD5">
      <w:pPr>
        <w:spacing w:after="240"/>
        <w:rPr>
          <w:rFonts w:asciiTheme="minorHAnsi" w:hAnsiTheme="minorHAnsi"/>
          <w:sz w:val="24"/>
          <w:szCs w:val="24"/>
        </w:rPr>
      </w:pPr>
      <w:r>
        <w:rPr>
          <w:rFonts w:asciiTheme="minorHAnsi" w:hAnsiTheme="minorHAnsi"/>
          <w:sz w:val="24"/>
          <w:szCs w:val="24"/>
        </w:rPr>
        <w:t xml:space="preserve">The following items must be addressed by the applicant in a narrative format to be used for scoring </w:t>
      </w:r>
      <w:r w:rsidR="00590B47">
        <w:rPr>
          <w:rFonts w:asciiTheme="minorHAnsi" w:hAnsiTheme="minorHAnsi"/>
          <w:sz w:val="24"/>
          <w:szCs w:val="24"/>
        </w:rPr>
        <w:t xml:space="preserve">Category 1 - </w:t>
      </w:r>
      <w:r>
        <w:rPr>
          <w:rFonts w:asciiTheme="minorHAnsi" w:hAnsiTheme="minorHAnsi"/>
          <w:sz w:val="24"/>
          <w:szCs w:val="24"/>
        </w:rPr>
        <w:t>Project Benefits and</w:t>
      </w:r>
      <w:r w:rsidR="00590B47">
        <w:rPr>
          <w:rFonts w:asciiTheme="minorHAnsi" w:hAnsiTheme="minorHAnsi"/>
          <w:sz w:val="24"/>
          <w:szCs w:val="24"/>
        </w:rPr>
        <w:t xml:space="preserve"> Category 2 -</w:t>
      </w:r>
      <w:r>
        <w:rPr>
          <w:rFonts w:asciiTheme="minorHAnsi" w:hAnsiTheme="minorHAnsi"/>
          <w:sz w:val="24"/>
          <w:szCs w:val="24"/>
        </w:rPr>
        <w:t xml:space="preserve"> System Management </w:t>
      </w:r>
      <w:r w:rsidR="00590B47">
        <w:rPr>
          <w:rFonts w:asciiTheme="minorHAnsi" w:hAnsiTheme="minorHAnsi"/>
          <w:sz w:val="24"/>
          <w:szCs w:val="24"/>
        </w:rPr>
        <w:t>points</w:t>
      </w:r>
      <w:r>
        <w:rPr>
          <w:rFonts w:asciiTheme="minorHAnsi" w:hAnsiTheme="minorHAnsi"/>
          <w:sz w:val="24"/>
          <w:szCs w:val="24"/>
        </w:rPr>
        <w:t>:</w:t>
      </w:r>
    </w:p>
    <w:p w14:paraId="6207C3EB" w14:textId="04E0849F" w:rsidR="00655800" w:rsidRDefault="00655800" w:rsidP="00F713EA">
      <w:pPr>
        <w:pStyle w:val="ListParagraph"/>
        <w:numPr>
          <w:ilvl w:val="0"/>
          <w:numId w:val="2"/>
        </w:numPr>
        <w:spacing w:after="120"/>
        <w:rPr>
          <w:rFonts w:asciiTheme="minorHAnsi" w:hAnsiTheme="minorHAnsi"/>
          <w:sz w:val="24"/>
          <w:szCs w:val="24"/>
        </w:rPr>
      </w:pPr>
      <w:r>
        <w:rPr>
          <w:rFonts w:asciiTheme="minorHAnsi" w:hAnsiTheme="minorHAnsi"/>
          <w:sz w:val="24"/>
          <w:szCs w:val="24"/>
        </w:rPr>
        <w:t xml:space="preserve">What are the top three (3) challenges your system faces in the next 5 years? How will the proposed asset inventory and assessment project help address these challenges? Examples of such challenges might include age of infrastructure, high rates, high debt, public health issues, environmental compliance issues, lack of capacity, water loss, infiltration/inflow, </w:t>
      </w:r>
      <w:r>
        <w:rPr>
          <w:rFonts w:asciiTheme="minorHAnsi" w:hAnsiTheme="minorHAnsi"/>
          <w:sz w:val="24"/>
          <w:szCs w:val="24"/>
        </w:rPr>
        <w:lastRenderedPageBreak/>
        <w:t xml:space="preserve">infrastructure at risk of failure, </w:t>
      </w:r>
      <w:r w:rsidR="00B90464">
        <w:rPr>
          <w:rFonts w:asciiTheme="minorHAnsi" w:hAnsiTheme="minorHAnsi"/>
          <w:sz w:val="24"/>
          <w:szCs w:val="24"/>
        </w:rPr>
        <w:t xml:space="preserve">loss/lack of institutional knowledge, </w:t>
      </w:r>
      <w:r>
        <w:rPr>
          <w:rFonts w:asciiTheme="minorHAnsi" w:hAnsiTheme="minorHAnsi"/>
          <w:sz w:val="24"/>
          <w:szCs w:val="24"/>
        </w:rPr>
        <w:t xml:space="preserve">etc. </w:t>
      </w:r>
      <w:r w:rsidRPr="00861A74">
        <w:rPr>
          <w:rFonts w:asciiTheme="minorHAnsi" w:hAnsiTheme="minorHAnsi"/>
          <w:sz w:val="24"/>
          <w:szCs w:val="24"/>
          <w:u w:val="single"/>
        </w:rPr>
        <w:t>Provide</w:t>
      </w:r>
      <w:r w:rsidR="00F713EA">
        <w:rPr>
          <w:rFonts w:asciiTheme="minorHAnsi" w:hAnsiTheme="minorHAnsi"/>
          <w:sz w:val="24"/>
          <w:szCs w:val="24"/>
          <w:u w:val="single"/>
        </w:rPr>
        <w:t xml:space="preserve"> (via hard copy or CD/flash drive)</w:t>
      </w:r>
      <w:r w:rsidRPr="00861A74">
        <w:rPr>
          <w:rFonts w:asciiTheme="minorHAnsi" w:hAnsiTheme="minorHAnsi"/>
          <w:sz w:val="24"/>
          <w:szCs w:val="24"/>
          <w:u w:val="single"/>
        </w:rPr>
        <w:t xml:space="preserve"> any existing documentation of these </w:t>
      </w:r>
      <w:r w:rsidRPr="005A1976">
        <w:rPr>
          <w:rFonts w:asciiTheme="minorHAnsi" w:hAnsiTheme="minorHAnsi"/>
          <w:sz w:val="24"/>
          <w:szCs w:val="24"/>
          <w:u w:val="single"/>
        </w:rPr>
        <w:t>challenges</w:t>
      </w:r>
      <w:r w:rsidR="00613C8F" w:rsidRPr="005A1976">
        <w:rPr>
          <w:rFonts w:asciiTheme="minorHAnsi" w:hAnsiTheme="minorHAnsi"/>
          <w:sz w:val="24"/>
          <w:szCs w:val="24"/>
          <w:u w:val="single"/>
        </w:rPr>
        <w:t xml:space="preserve"> such as NOVs, a local water supply p</w:t>
      </w:r>
      <w:r w:rsidR="00C42CB0">
        <w:rPr>
          <w:rFonts w:asciiTheme="minorHAnsi" w:hAnsiTheme="minorHAnsi"/>
          <w:sz w:val="24"/>
          <w:szCs w:val="24"/>
          <w:u w:val="single"/>
        </w:rPr>
        <w:t xml:space="preserve">lan, water audits, </w:t>
      </w:r>
      <w:r w:rsidR="00613C8F" w:rsidRPr="005A1976">
        <w:rPr>
          <w:rFonts w:asciiTheme="minorHAnsi" w:hAnsiTheme="minorHAnsi"/>
          <w:sz w:val="24"/>
          <w:szCs w:val="24"/>
          <w:u w:val="single"/>
        </w:rPr>
        <w:t>inflow</w:t>
      </w:r>
      <w:r w:rsidR="00C42CB0">
        <w:rPr>
          <w:rFonts w:asciiTheme="minorHAnsi" w:hAnsiTheme="minorHAnsi"/>
          <w:sz w:val="24"/>
          <w:szCs w:val="24"/>
          <w:u w:val="single"/>
        </w:rPr>
        <w:t>/infiltration</w:t>
      </w:r>
      <w:r w:rsidR="00613C8F" w:rsidRPr="005A1976">
        <w:rPr>
          <w:rFonts w:asciiTheme="minorHAnsi" w:hAnsiTheme="minorHAnsi"/>
          <w:sz w:val="24"/>
          <w:szCs w:val="24"/>
          <w:u w:val="single"/>
        </w:rPr>
        <w:t xml:space="preserve"> study results, etc</w:t>
      </w:r>
      <w:r w:rsidR="00F713EA">
        <w:rPr>
          <w:rFonts w:asciiTheme="minorHAnsi" w:hAnsiTheme="minorHAnsi"/>
          <w:sz w:val="24"/>
          <w:szCs w:val="24"/>
          <w:u w:val="single"/>
        </w:rPr>
        <w:t>.</w:t>
      </w:r>
    </w:p>
    <w:p w14:paraId="751981B7" w14:textId="77777777" w:rsidR="00CA7DD5" w:rsidRDefault="008B3B82" w:rsidP="00CA7DD5">
      <w:pPr>
        <w:ind w:left="720"/>
        <w:rPr>
          <w:rFonts w:asciiTheme="minorHAnsi" w:hAnsiTheme="minorHAnsi"/>
          <w:i/>
          <w:iCs/>
          <w:sz w:val="24"/>
          <w:szCs w:val="24"/>
        </w:rPr>
      </w:pPr>
      <w:r w:rsidRPr="00E9590A">
        <w:rPr>
          <w:rFonts w:asciiTheme="minorHAnsi" w:hAnsiTheme="minorHAnsi"/>
          <w:b/>
          <w:bCs/>
          <w:i/>
          <w:iCs/>
          <w:sz w:val="24"/>
          <w:szCs w:val="24"/>
        </w:rPr>
        <w:t>Scoring Rationale</w:t>
      </w:r>
      <w:r w:rsidRPr="00E9590A">
        <w:rPr>
          <w:rFonts w:asciiTheme="minorHAnsi" w:hAnsiTheme="minorHAnsi"/>
          <w:i/>
          <w:iCs/>
          <w:sz w:val="24"/>
          <w:szCs w:val="24"/>
        </w:rPr>
        <w:t>:</w:t>
      </w:r>
    </w:p>
    <w:p w14:paraId="5EF3F399" w14:textId="3E6C6560" w:rsidR="00655800" w:rsidRDefault="003320FC" w:rsidP="0010288F">
      <w:pPr>
        <w:spacing w:after="240"/>
        <w:ind w:left="720"/>
        <w:rPr>
          <w:rFonts w:asciiTheme="minorHAnsi" w:hAnsiTheme="minorHAnsi"/>
          <w:sz w:val="24"/>
          <w:szCs w:val="24"/>
        </w:rPr>
      </w:pPr>
      <w:r>
        <w:rPr>
          <w:rFonts w:asciiTheme="minorHAnsi" w:hAnsiTheme="minorHAnsi"/>
          <w:sz w:val="24"/>
          <w:szCs w:val="24"/>
        </w:rPr>
        <w:t xml:space="preserve">To maximize points, the narrative should discuss </w:t>
      </w:r>
      <w:r w:rsidR="008B3B82">
        <w:rPr>
          <w:rFonts w:asciiTheme="minorHAnsi" w:hAnsiTheme="minorHAnsi"/>
          <w:sz w:val="24"/>
          <w:szCs w:val="24"/>
        </w:rPr>
        <w:t>challenges that would benefit from an AIA project, and there should be a clear</w:t>
      </w:r>
      <w:r w:rsidR="00E9590A">
        <w:rPr>
          <w:rFonts w:asciiTheme="minorHAnsi" w:hAnsiTheme="minorHAnsi"/>
          <w:sz w:val="24"/>
          <w:szCs w:val="24"/>
        </w:rPr>
        <w:t xml:space="preserve"> link between each challenge and </w:t>
      </w:r>
      <w:r w:rsidR="007228C5">
        <w:rPr>
          <w:rFonts w:asciiTheme="minorHAnsi" w:hAnsiTheme="minorHAnsi"/>
          <w:sz w:val="24"/>
          <w:szCs w:val="24"/>
        </w:rPr>
        <w:t xml:space="preserve">the </w:t>
      </w:r>
      <w:r w:rsidR="00E9590A">
        <w:rPr>
          <w:rFonts w:asciiTheme="minorHAnsi" w:hAnsiTheme="minorHAnsi"/>
          <w:sz w:val="24"/>
          <w:szCs w:val="24"/>
        </w:rPr>
        <w:t>AIA</w:t>
      </w:r>
      <w:r w:rsidR="008B3B82">
        <w:rPr>
          <w:rFonts w:asciiTheme="minorHAnsi" w:hAnsiTheme="minorHAnsi"/>
          <w:sz w:val="24"/>
          <w:szCs w:val="24"/>
        </w:rPr>
        <w:t xml:space="preserve"> benefit</w:t>
      </w:r>
      <w:r w:rsidR="00E9590A">
        <w:rPr>
          <w:rFonts w:asciiTheme="minorHAnsi" w:hAnsiTheme="minorHAnsi"/>
          <w:sz w:val="24"/>
          <w:szCs w:val="24"/>
        </w:rPr>
        <w:t>.</w:t>
      </w:r>
      <w:r w:rsidR="00CA7DD5">
        <w:rPr>
          <w:rFonts w:asciiTheme="minorHAnsi" w:hAnsiTheme="minorHAnsi"/>
          <w:sz w:val="24"/>
          <w:szCs w:val="24"/>
        </w:rPr>
        <w:t xml:space="preserve"> </w:t>
      </w:r>
      <w:r w:rsidR="008B3B82">
        <w:rPr>
          <w:rFonts w:asciiTheme="minorHAnsi" w:hAnsiTheme="minorHAnsi"/>
          <w:sz w:val="24"/>
          <w:szCs w:val="24"/>
        </w:rPr>
        <w:t>Narratives that demonstrate the water</w:t>
      </w:r>
      <w:r w:rsidR="00E9590A">
        <w:rPr>
          <w:rFonts w:asciiTheme="minorHAnsi" w:hAnsiTheme="minorHAnsi"/>
          <w:sz w:val="24"/>
          <w:szCs w:val="24"/>
        </w:rPr>
        <w:t>/</w:t>
      </w:r>
      <w:r w:rsidR="008B3B82">
        <w:rPr>
          <w:rFonts w:asciiTheme="minorHAnsi" w:hAnsiTheme="minorHAnsi"/>
          <w:sz w:val="24"/>
          <w:szCs w:val="24"/>
        </w:rPr>
        <w:t>sewer system is old and leaks or frequently breaks generally receive 4 benefit points.</w:t>
      </w:r>
      <w:r w:rsidR="00E9590A">
        <w:rPr>
          <w:rFonts w:asciiTheme="minorHAnsi" w:hAnsiTheme="minorHAnsi"/>
          <w:sz w:val="24"/>
          <w:szCs w:val="24"/>
        </w:rPr>
        <w:t xml:space="preserve"> Applications with documented excessive I/I or </w:t>
      </w:r>
      <w:r w:rsidR="009B450B">
        <w:rPr>
          <w:rFonts w:asciiTheme="minorHAnsi" w:hAnsiTheme="minorHAnsi"/>
          <w:sz w:val="24"/>
          <w:szCs w:val="24"/>
        </w:rPr>
        <w:t xml:space="preserve">excessive </w:t>
      </w:r>
      <w:r w:rsidR="00E9590A">
        <w:rPr>
          <w:rFonts w:asciiTheme="minorHAnsi" w:hAnsiTheme="minorHAnsi"/>
          <w:sz w:val="24"/>
          <w:szCs w:val="24"/>
        </w:rPr>
        <w:t xml:space="preserve">water loss usually receive 2 additional benefit points. </w:t>
      </w:r>
      <w:r w:rsidR="00773FB9">
        <w:rPr>
          <w:rFonts w:asciiTheme="minorHAnsi" w:hAnsiTheme="minorHAnsi"/>
          <w:sz w:val="24"/>
          <w:szCs w:val="24"/>
        </w:rPr>
        <w:t xml:space="preserve">Applications with documented NOVs </w:t>
      </w:r>
      <w:r w:rsidR="004105AA">
        <w:rPr>
          <w:rFonts w:asciiTheme="minorHAnsi" w:hAnsiTheme="minorHAnsi"/>
          <w:sz w:val="24"/>
          <w:szCs w:val="24"/>
        </w:rPr>
        <w:t xml:space="preserve">or significant SSOs </w:t>
      </w:r>
      <w:r w:rsidR="00773FB9">
        <w:rPr>
          <w:rFonts w:asciiTheme="minorHAnsi" w:hAnsiTheme="minorHAnsi"/>
          <w:sz w:val="24"/>
          <w:szCs w:val="24"/>
        </w:rPr>
        <w:t xml:space="preserve">(other than during hurricanes) or documented significant waterline breaks or drinking water quality issues usually receive 2 additional benefit points. </w:t>
      </w:r>
      <w:r w:rsidR="009B450B">
        <w:rPr>
          <w:rFonts w:asciiTheme="minorHAnsi" w:hAnsiTheme="minorHAnsi"/>
          <w:sz w:val="24"/>
          <w:szCs w:val="24"/>
        </w:rPr>
        <w:t>Narratives with growth as a top challenge or systems that are not old usually lose 2 benefit points.</w:t>
      </w:r>
      <w:r w:rsidR="00C47707">
        <w:rPr>
          <w:rFonts w:asciiTheme="minorHAnsi" w:hAnsiTheme="minorHAnsi"/>
          <w:sz w:val="24"/>
          <w:szCs w:val="24"/>
        </w:rPr>
        <w:t xml:space="preserve"> Including supporting documentation is essential to earn maximum project points.</w:t>
      </w:r>
    </w:p>
    <w:p w14:paraId="3FF5E6AA" w14:textId="2A92336B" w:rsidR="009B450B" w:rsidRDefault="009B450B" w:rsidP="0010288F">
      <w:pPr>
        <w:pStyle w:val="ListParagraph"/>
        <w:numPr>
          <w:ilvl w:val="0"/>
          <w:numId w:val="2"/>
        </w:numPr>
        <w:spacing w:after="120"/>
        <w:rPr>
          <w:rFonts w:ascii="Calibri" w:hAnsi="Calibri"/>
          <w:sz w:val="24"/>
          <w:szCs w:val="24"/>
          <w:u w:val="single"/>
        </w:rPr>
      </w:pPr>
      <w:r w:rsidRPr="009B450B">
        <w:rPr>
          <w:rFonts w:ascii="Calibri" w:hAnsi="Calibri"/>
          <w:sz w:val="24"/>
          <w:szCs w:val="24"/>
        </w:rPr>
        <w:t>Has the utility done any asset management or capital planning work previously? Give specific examples (i.e., immediate operational changes or longer</w:t>
      </w:r>
      <w:r w:rsidR="001762D8">
        <w:rPr>
          <w:rFonts w:ascii="Calibri" w:hAnsi="Calibri"/>
          <w:sz w:val="24"/>
          <w:szCs w:val="24"/>
        </w:rPr>
        <w:t>-</w:t>
      </w:r>
      <w:r w:rsidRPr="009B450B">
        <w:rPr>
          <w:rFonts w:ascii="Calibri" w:hAnsi="Calibri"/>
          <w:sz w:val="24"/>
          <w:szCs w:val="24"/>
        </w:rPr>
        <w:t xml:space="preserve">term changes in business practices) of how the system has benefited by having this information. </w:t>
      </w:r>
      <w:r w:rsidRPr="009B450B">
        <w:rPr>
          <w:rFonts w:ascii="Calibri" w:hAnsi="Calibri"/>
          <w:sz w:val="24"/>
          <w:szCs w:val="24"/>
          <w:u w:val="single"/>
        </w:rPr>
        <w:t>Provide a copy (hard copy or CD) of any existing asset inventory map, smoke testing results or other condition assessment report, flow monitoring results, asset management plan or capital improvement plan.</w:t>
      </w:r>
    </w:p>
    <w:p w14:paraId="35034CE9" w14:textId="77777777" w:rsidR="0010288F" w:rsidRDefault="00A36F4F" w:rsidP="0010288F">
      <w:pPr>
        <w:ind w:left="360" w:firstLine="360"/>
        <w:rPr>
          <w:rFonts w:ascii="Calibri" w:hAnsi="Calibri"/>
          <w:b/>
          <w:bCs/>
          <w:i/>
          <w:iCs/>
          <w:sz w:val="24"/>
          <w:szCs w:val="24"/>
        </w:rPr>
      </w:pPr>
      <w:r w:rsidRPr="0010288F">
        <w:rPr>
          <w:rFonts w:ascii="Calibri" w:hAnsi="Calibri"/>
          <w:b/>
          <w:bCs/>
          <w:i/>
          <w:iCs/>
          <w:sz w:val="24"/>
          <w:szCs w:val="24"/>
        </w:rPr>
        <w:t>Scoring Rationale:</w:t>
      </w:r>
    </w:p>
    <w:p w14:paraId="03AF6DFD" w14:textId="1FCA830B" w:rsidR="00A36F4F" w:rsidRPr="00A36F4F" w:rsidRDefault="00A36F4F" w:rsidP="0010288F">
      <w:pPr>
        <w:spacing w:after="240"/>
        <w:ind w:left="720"/>
        <w:rPr>
          <w:rFonts w:ascii="Calibri" w:hAnsi="Calibri"/>
          <w:sz w:val="24"/>
          <w:szCs w:val="24"/>
        </w:rPr>
      </w:pPr>
      <w:r>
        <w:rPr>
          <w:rFonts w:ascii="Calibri" w:hAnsi="Calibri"/>
          <w:sz w:val="24"/>
          <w:szCs w:val="24"/>
        </w:rPr>
        <w:t>Applications that document previously completed asset management work or capital planning work and clearly describe the benefit to the applicant of doing this work</w:t>
      </w:r>
      <w:r w:rsidR="002E3E48">
        <w:rPr>
          <w:rFonts w:ascii="Calibri" w:hAnsi="Calibri"/>
          <w:sz w:val="24"/>
          <w:szCs w:val="24"/>
        </w:rPr>
        <w:t xml:space="preserve"> and how the proposed project will build on the work that has been done</w:t>
      </w:r>
      <w:r>
        <w:rPr>
          <w:rFonts w:ascii="Calibri" w:hAnsi="Calibri"/>
          <w:sz w:val="24"/>
          <w:szCs w:val="24"/>
        </w:rPr>
        <w:t xml:space="preserve"> usually receive 2 additional benefit points. Applications for AIA projects with a very limited scope that have not completed</w:t>
      </w:r>
      <w:r w:rsidR="004922D4">
        <w:rPr>
          <w:rFonts w:ascii="Calibri" w:hAnsi="Calibri"/>
          <w:sz w:val="24"/>
          <w:szCs w:val="24"/>
        </w:rPr>
        <w:t xml:space="preserve"> other components of an asset management program may lose 2 benefit points (e.g.</w:t>
      </w:r>
      <w:r w:rsidR="00B90464">
        <w:rPr>
          <w:rFonts w:ascii="Calibri" w:hAnsi="Calibri"/>
          <w:sz w:val="24"/>
          <w:szCs w:val="24"/>
        </w:rPr>
        <w:t>,</w:t>
      </w:r>
      <w:r w:rsidR="004922D4">
        <w:rPr>
          <w:rFonts w:ascii="Calibri" w:hAnsi="Calibri"/>
          <w:sz w:val="24"/>
          <w:szCs w:val="24"/>
        </w:rPr>
        <w:t xml:space="preserve"> application is for hydraulic modeling, but no mapping or condition assessment has been completed).</w:t>
      </w:r>
    </w:p>
    <w:p w14:paraId="00C11EF7" w14:textId="77777777" w:rsidR="00CC6510" w:rsidRDefault="004922D4" w:rsidP="00CC6510">
      <w:pPr>
        <w:pStyle w:val="ListParagraph"/>
        <w:numPr>
          <w:ilvl w:val="0"/>
          <w:numId w:val="2"/>
        </w:numPr>
        <w:spacing w:after="120"/>
        <w:contextualSpacing w:val="0"/>
        <w:rPr>
          <w:rFonts w:asciiTheme="minorHAnsi" w:hAnsiTheme="minorHAnsi"/>
          <w:sz w:val="24"/>
          <w:szCs w:val="24"/>
        </w:rPr>
      </w:pPr>
      <w:r w:rsidRPr="004922D4">
        <w:rPr>
          <w:rFonts w:asciiTheme="minorHAnsi" w:hAnsiTheme="minorHAnsi"/>
          <w:sz w:val="24"/>
          <w:szCs w:val="24"/>
        </w:rPr>
        <w:t xml:space="preserve">Identify (by title) the utility’s asset management team that will be assembled to develop the asset inventory and assessment project. Describe any asset management and/or capital planning experience or training each team member has had. Include any external partners (consultants, county, COG, or nonprofit staff, etc.) that will participate on the team and describe the role of each member during this project. Differentiate between external members that are temporary (e.g., surveying companies) and those that will be continuously assisting in asset management planning (e.g., company providing long-term data management). In addition, describe the </w:t>
      </w:r>
      <w:r w:rsidR="002E3E48">
        <w:rPr>
          <w:rFonts w:asciiTheme="minorHAnsi" w:hAnsiTheme="minorHAnsi"/>
          <w:sz w:val="24"/>
          <w:szCs w:val="24"/>
        </w:rPr>
        <w:t xml:space="preserve">future </w:t>
      </w:r>
      <w:r w:rsidRPr="004922D4">
        <w:rPr>
          <w:rFonts w:asciiTheme="minorHAnsi" w:hAnsiTheme="minorHAnsi"/>
          <w:sz w:val="24"/>
          <w:szCs w:val="24"/>
        </w:rPr>
        <w:t>role of each team member to continue to inventory, assess, prioritize, and plan for water infrastructure assets after completion of the project.</w:t>
      </w:r>
    </w:p>
    <w:p w14:paraId="08D46E1C" w14:textId="77777777" w:rsidR="00CC6510" w:rsidRDefault="004922D4" w:rsidP="00CC6510">
      <w:pPr>
        <w:pStyle w:val="ListParagraph"/>
        <w:contextualSpacing w:val="0"/>
        <w:rPr>
          <w:rFonts w:asciiTheme="minorHAnsi" w:hAnsiTheme="minorHAnsi"/>
          <w:b/>
          <w:bCs/>
          <w:i/>
          <w:iCs/>
          <w:sz w:val="24"/>
          <w:szCs w:val="24"/>
        </w:rPr>
      </w:pPr>
      <w:r w:rsidRPr="001170CD">
        <w:rPr>
          <w:rFonts w:asciiTheme="minorHAnsi" w:hAnsiTheme="minorHAnsi"/>
          <w:b/>
          <w:bCs/>
          <w:i/>
          <w:iCs/>
          <w:sz w:val="24"/>
          <w:szCs w:val="24"/>
        </w:rPr>
        <w:t>Scoring Rationale:</w:t>
      </w:r>
    </w:p>
    <w:p w14:paraId="23C509DC" w14:textId="25651419" w:rsidR="004922D4" w:rsidRPr="001170CD" w:rsidRDefault="004922D4" w:rsidP="00CC6510">
      <w:pPr>
        <w:pStyle w:val="ListParagraph"/>
        <w:spacing w:after="240"/>
        <w:contextualSpacing w:val="0"/>
        <w:rPr>
          <w:rFonts w:asciiTheme="minorHAnsi" w:hAnsiTheme="minorHAnsi"/>
          <w:sz w:val="24"/>
          <w:szCs w:val="24"/>
        </w:rPr>
      </w:pPr>
      <w:r w:rsidRPr="001170CD">
        <w:rPr>
          <w:rFonts w:asciiTheme="minorHAnsi" w:hAnsiTheme="minorHAnsi"/>
          <w:sz w:val="24"/>
          <w:szCs w:val="24"/>
        </w:rPr>
        <w:t>To receive 4 points for knowledge base of team, the team should include members with system knowledge, financial</w:t>
      </w:r>
      <w:r w:rsidR="002365B1" w:rsidRPr="001170CD">
        <w:rPr>
          <w:rFonts w:asciiTheme="minorHAnsi" w:hAnsiTheme="minorHAnsi"/>
          <w:sz w:val="24"/>
          <w:szCs w:val="24"/>
        </w:rPr>
        <w:t xml:space="preserve"> knowledge, the ability to make decisions (i.e.</w:t>
      </w:r>
      <w:r w:rsidR="00542A18">
        <w:rPr>
          <w:rFonts w:asciiTheme="minorHAnsi" w:hAnsiTheme="minorHAnsi"/>
          <w:sz w:val="24"/>
          <w:szCs w:val="24"/>
        </w:rPr>
        <w:t>,</w:t>
      </w:r>
      <w:r w:rsidR="002365B1" w:rsidRPr="001170CD">
        <w:rPr>
          <w:rFonts w:asciiTheme="minorHAnsi" w:hAnsiTheme="minorHAnsi"/>
          <w:sz w:val="24"/>
          <w:szCs w:val="24"/>
        </w:rPr>
        <w:t xml:space="preserve"> management), asset management experience (e.g.</w:t>
      </w:r>
      <w:r w:rsidR="00542A18">
        <w:rPr>
          <w:rFonts w:asciiTheme="minorHAnsi" w:hAnsiTheme="minorHAnsi"/>
          <w:sz w:val="24"/>
          <w:szCs w:val="24"/>
        </w:rPr>
        <w:t>,</w:t>
      </w:r>
      <w:r w:rsidR="002365B1" w:rsidRPr="001170CD">
        <w:rPr>
          <w:rFonts w:asciiTheme="minorHAnsi" w:hAnsiTheme="minorHAnsi"/>
          <w:sz w:val="24"/>
          <w:szCs w:val="24"/>
        </w:rPr>
        <w:t xml:space="preserve"> capital improvement planning, rate setting, GIS), and the narrative should describe this experience. If the applicant does not have anyone with asset management experience, the team should include external partners with this </w:t>
      </w:r>
      <w:r w:rsidR="002365B1" w:rsidRPr="001170CD">
        <w:rPr>
          <w:rFonts w:asciiTheme="minorHAnsi" w:hAnsiTheme="minorHAnsi"/>
          <w:sz w:val="24"/>
          <w:szCs w:val="24"/>
        </w:rPr>
        <w:lastRenderedPageBreak/>
        <w:t xml:space="preserve">experience. </w:t>
      </w:r>
      <w:r w:rsidR="00EC7F66" w:rsidRPr="001170CD">
        <w:rPr>
          <w:rFonts w:asciiTheme="minorHAnsi" w:hAnsiTheme="minorHAnsi"/>
          <w:sz w:val="24"/>
          <w:szCs w:val="24"/>
        </w:rPr>
        <w:t xml:space="preserve">If the narrative does not explain the role of each team member and how the team will manage the asset management program now </w:t>
      </w:r>
      <w:r w:rsidR="002E3E48" w:rsidRPr="001170CD">
        <w:rPr>
          <w:rFonts w:asciiTheme="minorHAnsi" w:hAnsiTheme="minorHAnsi"/>
          <w:sz w:val="24"/>
          <w:szCs w:val="24"/>
        </w:rPr>
        <w:t xml:space="preserve">and </w:t>
      </w:r>
      <w:r w:rsidR="00EC7F66" w:rsidRPr="001170CD">
        <w:rPr>
          <w:rFonts w:asciiTheme="minorHAnsi" w:hAnsiTheme="minorHAnsi"/>
          <w:sz w:val="24"/>
          <w:szCs w:val="24"/>
        </w:rPr>
        <w:t>in the future, fewer points will be awarded.</w:t>
      </w:r>
    </w:p>
    <w:p w14:paraId="48349149" w14:textId="77777777" w:rsidR="001170CD" w:rsidRDefault="00655800" w:rsidP="001170CD">
      <w:pPr>
        <w:pStyle w:val="ListParagraph"/>
        <w:numPr>
          <w:ilvl w:val="0"/>
          <w:numId w:val="2"/>
        </w:numPr>
        <w:spacing w:after="120"/>
        <w:contextualSpacing w:val="0"/>
        <w:rPr>
          <w:rFonts w:asciiTheme="minorHAnsi" w:hAnsiTheme="minorHAnsi"/>
          <w:sz w:val="24"/>
          <w:szCs w:val="24"/>
        </w:rPr>
      </w:pPr>
      <w:r>
        <w:rPr>
          <w:rFonts w:asciiTheme="minorHAnsi" w:hAnsiTheme="minorHAnsi"/>
          <w:sz w:val="24"/>
          <w:szCs w:val="24"/>
        </w:rPr>
        <w:t xml:space="preserve">How does the utility currently set rates to generate revenue for appropriate levels of infrastructure maintenance, operations, and replacement? Has the process for setting rates changed in the last five (5) years, and how has it changed? How does the rate setting process blend </w:t>
      </w:r>
      <w:r w:rsidR="00794229">
        <w:rPr>
          <w:rFonts w:asciiTheme="minorHAnsi" w:hAnsiTheme="minorHAnsi"/>
          <w:sz w:val="24"/>
          <w:szCs w:val="24"/>
        </w:rPr>
        <w:t>with the CIP planning process?</w:t>
      </w:r>
    </w:p>
    <w:p w14:paraId="14251FAA" w14:textId="5D23F9D7" w:rsidR="00EC7F66" w:rsidRPr="00114A41" w:rsidRDefault="00EC7F66" w:rsidP="001170CD">
      <w:pPr>
        <w:pStyle w:val="ListParagraph"/>
        <w:spacing w:after="120"/>
        <w:rPr>
          <w:rFonts w:asciiTheme="minorHAnsi" w:hAnsiTheme="minorHAnsi"/>
          <w:sz w:val="24"/>
          <w:szCs w:val="24"/>
        </w:rPr>
      </w:pPr>
      <w:r w:rsidRPr="00114A41">
        <w:rPr>
          <w:rFonts w:asciiTheme="minorHAnsi" w:hAnsiTheme="minorHAnsi"/>
          <w:b/>
          <w:bCs/>
          <w:i/>
          <w:iCs/>
          <w:sz w:val="24"/>
          <w:szCs w:val="24"/>
        </w:rPr>
        <w:t>Scoring Rationale:</w:t>
      </w:r>
    </w:p>
    <w:p w14:paraId="24BAE140" w14:textId="77777777" w:rsidR="00114A41" w:rsidRDefault="004105AA" w:rsidP="001170CD">
      <w:pPr>
        <w:pStyle w:val="ListParagraph"/>
        <w:spacing w:after="240"/>
        <w:contextualSpacing w:val="0"/>
        <w:rPr>
          <w:rFonts w:asciiTheme="minorHAnsi" w:hAnsiTheme="minorHAnsi"/>
          <w:sz w:val="24"/>
          <w:szCs w:val="24"/>
        </w:rPr>
      </w:pPr>
      <w:r>
        <w:rPr>
          <w:rFonts w:asciiTheme="minorHAnsi" w:hAnsiTheme="minorHAnsi"/>
          <w:sz w:val="24"/>
          <w:szCs w:val="24"/>
        </w:rPr>
        <w:t>A</w:t>
      </w:r>
      <w:r w:rsidR="00EC7F66">
        <w:rPr>
          <w:rFonts w:asciiTheme="minorHAnsi" w:hAnsiTheme="minorHAnsi"/>
          <w:sz w:val="24"/>
          <w:szCs w:val="24"/>
        </w:rPr>
        <w:t xml:space="preserve"> narrative </w:t>
      </w:r>
      <w:r>
        <w:rPr>
          <w:rFonts w:asciiTheme="minorHAnsi" w:hAnsiTheme="minorHAnsi"/>
          <w:sz w:val="24"/>
          <w:szCs w:val="24"/>
        </w:rPr>
        <w:t>that</w:t>
      </w:r>
      <w:r w:rsidR="00EC7F66">
        <w:rPr>
          <w:rFonts w:asciiTheme="minorHAnsi" w:hAnsiTheme="minorHAnsi"/>
          <w:sz w:val="24"/>
          <w:szCs w:val="24"/>
        </w:rPr>
        <w:t xml:space="preserve"> </w:t>
      </w:r>
      <w:r w:rsidR="00827EF1">
        <w:rPr>
          <w:rFonts w:asciiTheme="minorHAnsi" w:hAnsiTheme="minorHAnsi"/>
          <w:sz w:val="24"/>
          <w:szCs w:val="24"/>
        </w:rPr>
        <w:t>clearly document</w:t>
      </w:r>
      <w:r>
        <w:rPr>
          <w:rFonts w:asciiTheme="minorHAnsi" w:hAnsiTheme="minorHAnsi"/>
          <w:sz w:val="24"/>
          <w:szCs w:val="24"/>
        </w:rPr>
        <w:t>s</w:t>
      </w:r>
      <w:r w:rsidR="00827EF1">
        <w:rPr>
          <w:rFonts w:asciiTheme="minorHAnsi" w:hAnsiTheme="minorHAnsi"/>
          <w:sz w:val="24"/>
          <w:szCs w:val="24"/>
        </w:rPr>
        <w:t xml:space="preserve"> the process used to set rates</w:t>
      </w:r>
      <w:r>
        <w:rPr>
          <w:rFonts w:asciiTheme="minorHAnsi" w:hAnsiTheme="minorHAnsi"/>
          <w:sz w:val="24"/>
          <w:szCs w:val="24"/>
        </w:rPr>
        <w:t xml:space="preserve">, and </w:t>
      </w:r>
      <w:r w:rsidR="002E3E48">
        <w:rPr>
          <w:rFonts w:asciiTheme="minorHAnsi" w:hAnsiTheme="minorHAnsi"/>
          <w:sz w:val="24"/>
          <w:szCs w:val="24"/>
        </w:rPr>
        <w:t xml:space="preserve">that </w:t>
      </w:r>
      <w:r>
        <w:rPr>
          <w:rFonts w:asciiTheme="minorHAnsi" w:hAnsiTheme="minorHAnsi"/>
          <w:sz w:val="24"/>
          <w:szCs w:val="24"/>
        </w:rPr>
        <w:t>this process utilizes</w:t>
      </w:r>
      <w:r w:rsidR="00827EF1">
        <w:rPr>
          <w:rFonts w:asciiTheme="minorHAnsi" w:hAnsiTheme="minorHAnsi"/>
          <w:sz w:val="24"/>
          <w:szCs w:val="24"/>
        </w:rPr>
        <w:t xml:space="preserve"> a CIP (even if incomplete or limited)</w:t>
      </w:r>
      <w:r>
        <w:rPr>
          <w:rFonts w:asciiTheme="minorHAnsi" w:hAnsiTheme="minorHAnsi"/>
          <w:sz w:val="24"/>
          <w:szCs w:val="24"/>
        </w:rPr>
        <w:t>, usually receives 2 points for rate setting practices</w:t>
      </w:r>
      <w:r w:rsidR="00827EF1">
        <w:rPr>
          <w:rFonts w:asciiTheme="minorHAnsi" w:hAnsiTheme="minorHAnsi"/>
          <w:sz w:val="24"/>
          <w:szCs w:val="24"/>
        </w:rPr>
        <w:t>. The rates should be sufficient to maintain an operating ratio above 1.0.</w:t>
      </w:r>
      <w:r w:rsidR="00161FB4">
        <w:rPr>
          <w:rFonts w:asciiTheme="minorHAnsi" w:hAnsiTheme="minorHAnsi"/>
          <w:sz w:val="24"/>
          <w:szCs w:val="24"/>
        </w:rPr>
        <w:t xml:space="preserve"> The rate history on the application should show consistent increases. </w:t>
      </w:r>
      <w:r>
        <w:rPr>
          <w:rFonts w:asciiTheme="minorHAnsi" w:hAnsiTheme="minorHAnsi"/>
          <w:sz w:val="24"/>
          <w:szCs w:val="24"/>
        </w:rPr>
        <w:t>Applications that cannot meet these criteria generally score lower for this item.</w:t>
      </w:r>
    </w:p>
    <w:p w14:paraId="2E9D4DA1" w14:textId="2371969F" w:rsidR="00114A41" w:rsidRPr="00114A41" w:rsidRDefault="00655800" w:rsidP="001170CD">
      <w:pPr>
        <w:pStyle w:val="ListParagraph"/>
        <w:numPr>
          <w:ilvl w:val="0"/>
          <w:numId w:val="2"/>
        </w:numPr>
        <w:spacing w:after="120"/>
        <w:contextualSpacing w:val="0"/>
        <w:rPr>
          <w:rFonts w:asciiTheme="minorHAnsi" w:hAnsiTheme="minorHAnsi"/>
          <w:sz w:val="24"/>
          <w:szCs w:val="24"/>
        </w:rPr>
      </w:pPr>
      <w:r w:rsidRPr="00114A41">
        <w:rPr>
          <w:rFonts w:asciiTheme="minorHAnsi" w:hAnsiTheme="minorHAnsi"/>
          <w:sz w:val="24"/>
          <w:szCs w:val="24"/>
        </w:rPr>
        <w:t>How will the utility use the information developed through this project to develop future infrastructure projects, and how will these projects be prioritized? How will these projects be incorporated into the CIP planning process in the future, and how will the so</w:t>
      </w:r>
      <w:r w:rsidR="00794229" w:rsidRPr="00114A41">
        <w:rPr>
          <w:rFonts w:asciiTheme="minorHAnsi" w:hAnsiTheme="minorHAnsi"/>
          <w:sz w:val="24"/>
          <w:szCs w:val="24"/>
        </w:rPr>
        <w:t>urce of funding be determined?</w:t>
      </w:r>
    </w:p>
    <w:p w14:paraId="1FA615BB" w14:textId="77777777" w:rsidR="00114A41" w:rsidRPr="00114A41" w:rsidRDefault="00DA048D" w:rsidP="00114A41">
      <w:pPr>
        <w:ind w:left="360" w:firstLine="360"/>
        <w:rPr>
          <w:rFonts w:asciiTheme="minorHAnsi" w:hAnsiTheme="minorHAnsi"/>
          <w:b/>
          <w:bCs/>
          <w:i/>
          <w:iCs/>
          <w:sz w:val="24"/>
          <w:szCs w:val="24"/>
        </w:rPr>
      </w:pPr>
      <w:r w:rsidRPr="00114A41">
        <w:rPr>
          <w:rFonts w:asciiTheme="minorHAnsi" w:hAnsiTheme="minorHAnsi"/>
          <w:b/>
          <w:bCs/>
          <w:i/>
          <w:iCs/>
          <w:sz w:val="24"/>
          <w:szCs w:val="24"/>
        </w:rPr>
        <w:t>Scoring Rationale:</w:t>
      </w:r>
    </w:p>
    <w:p w14:paraId="2ECA81CF" w14:textId="4A3C51BD" w:rsidR="00114A41" w:rsidRPr="00114A41" w:rsidRDefault="00DA048D" w:rsidP="001170CD">
      <w:pPr>
        <w:pStyle w:val="ListParagraph"/>
        <w:spacing w:after="240"/>
        <w:contextualSpacing w:val="0"/>
        <w:rPr>
          <w:rFonts w:asciiTheme="minorHAnsi" w:hAnsiTheme="minorHAnsi"/>
          <w:sz w:val="24"/>
          <w:szCs w:val="24"/>
        </w:rPr>
      </w:pPr>
      <w:r w:rsidRPr="00114A41">
        <w:rPr>
          <w:rFonts w:asciiTheme="minorHAnsi" w:hAnsiTheme="minorHAnsi"/>
          <w:sz w:val="24"/>
          <w:szCs w:val="24"/>
        </w:rPr>
        <w:t>A narrative that clearly describes how the AIA information will be used to develop</w:t>
      </w:r>
      <w:r w:rsidR="002D78B7">
        <w:rPr>
          <w:rFonts w:asciiTheme="minorHAnsi" w:hAnsiTheme="minorHAnsi"/>
          <w:sz w:val="24"/>
          <w:szCs w:val="24"/>
        </w:rPr>
        <w:t xml:space="preserve"> and prioritize</w:t>
      </w:r>
      <w:r w:rsidRPr="00114A41">
        <w:rPr>
          <w:rFonts w:asciiTheme="minorHAnsi" w:hAnsiTheme="minorHAnsi"/>
          <w:sz w:val="24"/>
          <w:szCs w:val="24"/>
        </w:rPr>
        <w:t xml:space="preserve"> projects helps document good system management practices and can receive additional points for management of asset inventory data.</w:t>
      </w:r>
      <w:r w:rsidR="00542A18">
        <w:rPr>
          <w:rFonts w:asciiTheme="minorHAnsi" w:hAnsiTheme="minorHAnsi"/>
          <w:sz w:val="24"/>
          <w:szCs w:val="24"/>
        </w:rPr>
        <w:t xml:space="preserve"> Further, a narrative that clearly describes </w:t>
      </w:r>
      <w:r w:rsidR="00332FB8">
        <w:rPr>
          <w:rFonts w:asciiTheme="minorHAnsi" w:hAnsiTheme="minorHAnsi"/>
          <w:sz w:val="24"/>
          <w:szCs w:val="24"/>
        </w:rPr>
        <w:t>how the AIA team will coordinate and make</w:t>
      </w:r>
      <w:r w:rsidR="00057DA4">
        <w:rPr>
          <w:rFonts w:asciiTheme="minorHAnsi" w:hAnsiTheme="minorHAnsi"/>
          <w:sz w:val="24"/>
          <w:szCs w:val="24"/>
        </w:rPr>
        <w:t xml:space="preserve"> level of service</w:t>
      </w:r>
      <w:r w:rsidR="00332FB8">
        <w:rPr>
          <w:rFonts w:asciiTheme="minorHAnsi" w:hAnsiTheme="minorHAnsi"/>
          <w:sz w:val="24"/>
          <w:szCs w:val="24"/>
        </w:rPr>
        <w:t xml:space="preserve"> decisions typically receives more points than a narrative that outlines </w:t>
      </w:r>
      <w:r w:rsidR="00057DA4">
        <w:rPr>
          <w:rFonts w:asciiTheme="minorHAnsi" w:hAnsiTheme="minorHAnsi"/>
          <w:sz w:val="24"/>
          <w:szCs w:val="24"/>
        </w:rPr>
        <w:t>how to perform</w:t>
      </w:r>
      <w:r w:rsidR="00332FB8">
        <w:rPr>
          <w:rFonts w:asciiTheme="minorHAnsi" w:hAnsiTheme="minorHAnsi"/>
          <w:sz w:val="24"/>
          <w:szCs w:val="24"/>
        </w:rPr>
        <w:t xml:space="preserve"> a condition assessment.</w:t>
      </w:r>
    </w:p>
    <w:p w14:paraId="6307C849" w14:textId="77777777" w:rsidR="001170CD" w:rsidRDefault="00655800" w:rsidP="001170CD">
      <w:pPr>
        <w:pStyle w:val="ListParagraph"/>
        <w:numPr>
          <w:ilvl w:val="0"/>
          <w:numId w:val="2"/>
        </w:numPr>
        <w:spacing w:after="120"/>
        <w:contextualSpacing w:val="0"/>
        <w:rPr>
          <w:rFonts w:asciiTheme="minorHAnsi" w:hAnsiTheme="minorHAnsi"/>
          <w:sz w:val="24"/>
          <w:szCs w:val="24"/>
        </w:rPr>
      </w:pPr>
      <w:r w:rsidRPr="00114A41">
        <w:rPr>
          <w:rFonts w:asciiTheme="minorHAnsi" w:hAnsiTheme="minorHAnsi"/>
          <w:sz w:val="24"/>
          <w:szCs w:val="24"/>
        </w:rPr>
        <w:t xml:space="preserve">How will the utility’s asset inventory developed through this project be kept up to date, and how will the utility pay for this ongoing effort? </w:t>
      </w:r>
      <w:r w:rsidR="00613C8F" w:rsidRPr="00114A41">
        <w:rPr>
          <w:rFonts w:asciiTheme="minorHAnsi" w:hAnsiTheme="minorHAnsi"/>
          <w:sz w:val="24"/>
          <w:szCs w:val="24"/>
        </w:rPr>
        <w:t>Include any information about partnering with the county, Council of Government (COG), or others to maintain and update</w:t>
      </w:r>
      <w:r w:rsidR="005A1976" w:rsidRPr="00114A41">
        <w:rPr>
          <w:rFonts w:asciiTheme="minorHAnsi" w:hAnsiTheme="minorHAnsi"/>
          <w:sz w:val="24"/>
          <w:szCs w:val="24"/>
        </w:rPr>
        <w:t xml:space="preserve"> the asset inventory</w:t>
      </w:r>
      <w:r w:rsidR="00794229" w:rsidRPr="00114A41">
        <w:rPr>
          <w:rFonts w:asciiTheme="minorHAnsi" w:hAnsiTheme="minorHAnsi"/>
          <w:sz w:val="24"/>
          <w:szCs w:val="24"/>
        </w:rPr>
        <w:t>.</w:t>
      </w:r>
    </w:p>
    <w:p w14:paraId="356807A7" w14:textId="2E147CE2" w:rsidR="00114A41" w:rsidRPr="001170CD" w:rsidRDefault="00161FB4" w:rsidP="001170CD">
      <w:pPr>
        <w:pStyle w:val="ListParagraph"/>
        <w:spacing w:after="120"/>
        <w:rPr>
          <w:rFonts w:asciiTheme="minorHAnsi" w:hAnsiTheme="minorHAnsi"/>
          <w:sz w:val="24"/>
          <w:szCs w:val="24"/>
        </w:rPr>
      </w:pPr>
      <w:r w:rsidRPr="001170CD">
        <w:rPr>
          <w:rFonts w:asciiTheme="minorHAnsi" w:hAnsiTheme="minorHAnsi"/>
          <w:b/>
          <w:bCs/>
          <w:i/>
          <w:iCs/>
          <w:sz w:val="24"/>
          <w:szCs w:val="24"/>
        </w:rPr>
        <w:t>Scoring Rationale:</w:t>
      </w:r>
    </w:p>
    <w:p w14:paraId="11956A65" w14:textId="09DEC437" w:rsidR="00114A41" w:rsidRDefault="00114A41" w:rsidP="001170CD">
      <w:pPr>
        <w:pStyle w:val="ListParagraph"/>
        <w:spacing w:after="240"/>
        <w:contextualSpacing w:val="0"/>
        <w:rPr>
          <w:rFonts w:asciiTheme="minorHAnsi" w:hAnsiTheme="minorHAnsi"/>
          <w:sz w:val="24"/>
          <w:szCs w:val="24"/>
        </w:rPr>
      </w:pPr>
      <w:r>
        <w:rPr>
          <w:rFonts w:asciiTheme="minorHAnsi" w:hAnsiTheme="minorHAnsi"/>
          <w:sz w:val="24"/>
          <w:szCs w:val="24"/>
        </w:rPr>
        <w:t>I</w:t>
      </w:r>
      <w:r w:rsidR="004105AA" w:rsidRPr="00114A41">
        <w:rPr>
          <w:rFonts w:asciiTheme="minorHAnsi" w:hAnsiTheme="minorHAnsi"/>
          <w:sz w:val="24"/>
          <w:szCs w:val="24"/>
        </w:rPr>
        <w:t xml:space="preserve">f the data developed through this AIA project </w:t>
      </w:r>
      <w:r w:rsidR="000F54E3" w:rsidRPr="00114A41">
        <w:rPr>
          <w:rFonts w:asciiTheme="minorHAnsi" w:hAnsiTheme="minorHAnsi"/>
          <w:sz w:val="24"/>
          <w:szCs w:val="24"/>
        </w:rPr>
        <w:t>is to be</w:t>
      </w:r>
      <w:r w:rsidR="004105AA" w:rsidRPr="00114A41">
        <w:rPr>
          <w:rFonts w:asciiTheme="minorHAnsi" w:hAnsiTheme="minorHAnsi"/>
          <w:sz w:val="24"/>
          <w:szCs w:val="24"/>
        </w:rPr>
        <w:t xml:space="preserve"> managed</w:t>
      </w:r>
      <w:r w:rsidR="000F54E3" w:rsidRPr="00114A41">
        <w:rPr>
          <w:rFonts w:asciiTheme="minorHAnsi" w:hAnsiTheme="minorHAnsi"/>
          <w:sz w:val="24"/>
          <w:szCs w:val="24"/>
        </w:rPr>
        <w:t xml:space="preserve"> by an applicant who is already managing GIS data, or by the county or by a COG, applications usually receive 4 points for data management. The narrative should indicate which of these options is to be utilized</w:t>
      </w:r>
      <w:r w:rsidR="00B94B93" w:rsidRPr="00114A41">
        <w:rPr>
          <w:rFonts w:asciiTheme="minorHAnsi" w:hAnsiTheme="minorHAnsi"/>
          <w:sz w:val="24"/>
          <w:szCs w:val="24"/>
        </w:rPr>
        <w:t>.</w:t>
      </w:r>
      <w:r w:rsidR="003320FC" w:rsidRPr="00114A41">
        <w:rPr>
          <w:rFonts w:asciiTheme="minorHAnsi" w:hAnsiTheme="minorHAnsi"/>
          <w:sz w:val="24"/>
          <w:szCs w:val="24"/>
        </w:rPr>
        <w:t xml:space="preserve"> Applicants that cannot demonstrate that the team has experience managing data may not score as high.</w:t>
      </w:r>
    </w:p>
    <w:p w14:paraId="2113A08E" w14:textId="1475B31C" w:rsidR="00114A41" w:rsidRDefault="0010288F" w:rsidP="001170CD">
      <w:pPr>
        <w:pStyle w:val="ListParagraph"/>
        <w:numPr>
          <w:ilvl w:val="0"/>
          <w:numId w:val="2"/>
        </w:numPr>
        <w:spacing w:after="120"/>
        <w:contextualSpacing w:val="0"/>
        <w:rPr>
          <w:rFonts w:asciiTheme="minorHAnsi" w:hAnsiTheme="minorHAnsi"/>
          <w:sz w:val="24"/>
          <w:szCs w:val="24"/>
        </w:rPr>
      </w:pPr>
      <w:r w:rsidRPr="00114A41">
        <w:rPr>
          <w:rFonts w:asciiTheme="minorHAnsi" w:hAnsiTheme="minorHAnsi"/>
          <w:sz w:val="24"/>
          <w:szCs w:val="24"/>
        </w:rPr>
        <w:t>Provide the System Operating Ratio each year for the past three (3) years. Explain any discrepancies in the Operating Ratio from year to year. See below for Operating Ratio calculation instructions.</w:t>
      </w:r>
    </w:p>
    <w:p w14:paraId="0393022E" w14:textId="77777777" w:rsidR="00114A41" w:rsidRDefault="00ED5839" w:rsidP="00114A41">
      <w:pPr>
        <w:pStyle w:val="ListParagraph"/>
        <w:spacing w:after="240"/>
        <w:rPr>
          <w:rFonts w:asciiTheme="minorHAnsi" w:hAnsiTheme="minorHAnsi"/>
          <w:b/>
          <w:bCs/>
          <w:i/>
          <w:iCs/>
          <w:sz w:val="24"/>
          <w:szCs w:val="24"/>
        </w:rPr>
      </w:pPr>
      <w:r w:rsidRPr="00114A41">
        <w:rPr>
          <w:rFonts w:asciiTheme="minorHAnsi" w:hAnsiTheme="minorHAnsi"/>
          <w:b/>
          <w:bCs/>
          <w:i/>
          <w:iCs/>
          <w:sz w:val="24"/>
          <w:szCs w:val="24"/>
        </w:rPr>
        <w:t>Scoring Rationale if all three operating ratios are not consistently above or below 1.00</w:t>
      </w:r>
      <w:r w:rsidR="00114A41">
        <w:rPr>
          <w:rFonts w:asciiTheme="minorHAnsi" w:hAnsiTheme="minorHAnsi"/>
          <w:b/>
          <w:bCs/>
          <w:i/>
          <w:iCs/>
          <w:sz w:val="24"/>
          <w:szCs w:val="24"/>
        </w:rPr>
        <w:t>:</w:t>
      </w:r>
    </w:p>
    <w:p w14:paraId="16BD4A00" w14:textId="1B00AA53" w:rsidR="00114A41" w:rsidRDefault="00ED5839" w:rsidP="001170CD">
      <w:pPr>
        <w:pStyle w:val="ListParagraph"/>
        <w:spacing w:after="240"/>
        <w:contextualSpacing w:val="0"/>
        <w:rPr>
          <w:rFonts w:asciiTheme="minorHAnsi" w:hAnsiTheme="minorHAnsi"/>
          <w:sz w:val="24"/>
          <w:szCs w:val="24"/>
        </w:rPr>
      </w:pPr>
      <w:r w:rsidRPr="00114A41">
        <w:rPr>
          <w:rFonts w:asciiTheme="minorHAnsi" w:hAnsiTheme="minorHAnsi"/>
          <w:sz w:val="24"/>
          <w:szCs w:val="24"/>
        </w:rPr>
        <w:t>Points will be awarded based on how many years were less than 1.0, whether the OR trend is up or down, how high the bill is for 5,000 gallons, and if the narrative gives any explanation of why the ORs are less than 1.00.</w:t>
      </w:r>
    </w:p>
    <w:p w14:paraId="6C3467E1" w14:textId="4CA5FBE4" w:rsidR="00655800" w:rsidRPr="00114A41" w:rsidRDefault="00655800" w:rsidP="001170CD">
      <w:pPr>
        <w:pStyle w:val="ListParagraph"/>
        <w:numPr>
          <w:ilvl w:val="0"/>
          <w:numId w:val="2"/>
        </w:numPr>
        <w:spacing w:after="120"/>
        <w:contextualSpacing w:val="0"/>
        <w:rPr>
          <w:rFonts w:asciiTheme="minorHAnsi" w:hAnsiTheme="minorHAnsi"/>
          <w:sz w:val="24"/>
          <w:szCs w:val="24"/>
        </w:rPr>
      </w:pPr>
      <w:r w:rsidRPr="00114A41">
        <w:rPr>
          <w:rFonts w:asciiTheme="minorHAnsi" w:hAnsiTheme="minorHAnsi"/>
          <w:sz w:val="24"/>
          <w:szCs w:val="24"/>
        </w:rPr>
        <w:lastRenderedPageBreak/>
        <w:t xml:space="preserve">Describe any additional benefits to the utility of receiving this Asset Inventory &amp; Assessment grant that have </w:t>
      </w:r>
      <w:r w:rsidR="00794229" w:rsidRPr="00114A41">
        <w:rPr>
          <w:rFonts w:asciiTheme="minorHAnsi" w:hAnsiTheme="minorHAnsi"/>
          <w:sz w:val="24"/>
          <w:szCs w:val="24"/>
        </w:rPr>
        <w:t>not been previously mentioned.</w:t>
      </w:r>
    </w:p>
    <w:p w14:paraId="544CAACC" w14:textId="73B920DD" w:rsidR="00C26543" w:rsidRPr="00ED5839" w:rsidRDefault="006067B6" w:rsidP="0010288F">
      <w:pPr>
        <w:tabs>
          <w:tab w:val="left" w:pos="1080"/>
        </w:tabs>
        <w:spacing w:after="120"/>
        <w:ind w:left="720"/>
        <w:rPr>
          <w:rFonts w:asciiTheme="minorHAnsi" w:hAnsiTheme="minorHAnsi" w:cs="Arial"/>
          <w:b/>
          <w:bCs/>
          <w:i/>
          <w:iCs/>
          <w:color w:val="000000"/>
          <w:sz w:val="24"/>
          <w:szCs w:val="24"/>
        </w:rPr>
      </w:pPr>
      <w:r w:rsidRPr="00ED5839">
        <w:rPr>
          <w:rFonts w:asciiTheme="minorHAnsi" w:hAnsiTheme="minorHAnsi" w:cs="Arial"/>
          <w:color w:val="000000"/>
          <w:sz w:val="24"/>
          <w:szCs w:val="24"/>
        </w:rPr>
        <w:t>V</w:t>
      </w:r>
      <w:r w:rsidR="00C26543" w:rsidRPr="00ED5839">
        <w:rPr>
          <w:rFonts w:asciiTheme="minorHAnsi" w:hAnsiTheme="minorHAnsi" w:cs="Arial"/>
          <w:color w:val="000000"/>
          <w:sz w:val="24"/>
          <w:szCs w:val="24"/>
        </w:rPr>
        <w:t xml:space="preserve">ulnerability to storms </w:t>
      </w:r>
      <w:r w:rsidRPr="00ED5839">
        <w:rPr>
          <w:rFonts w:asciiTheme="minorHAnsi" w:hAnsiTheme="minorHAnsi" w:cs="Arial"/>
          <w:color w:val="000000"/>
          <w:sz w:val="24"/>
          <w:szCs w:val="24"/>
        </w:rPr>
        <w:t>can be an important part of</w:t>
      </w:r>
      <w:r w:rsidR="00C26543" w:rsidRPr="00ED5839">
        <w:rPr>
          <w:rFonts w:asciiTheme="minorHAnsi" w:hAnsiTheme="minorHAnsi" w:cs="Arial"/>
          <w:color w:val="000000"/>
          <w:sz w:val="24"/>
          <w:szCs w:val="24"/>
        </w:rPr>
        <w:t xml:space="preserve"> the risk analysis o</w:t>
      </w:r>
      <w:r w:rsidRPr="00ED5839">
        <w:rPr>
          <w:rFonts w:asciiTheme="minorHAnsi" w:hAnsiTheme="minorHAnsi" w:cs="Arial"/>
          <w:color w:val="000000"/>
          <w:sz w:val="24"/>
          <w:szCs w:val="24"/>
        </w:rPr>
        <w:t>f</w:t>
      </w:r>
      <w:r w:rsidR="00C26543" w:rsidRPr="00ED5839">
        <w:rPr>
          <w:rFonts w:asciiTheme="minorHAnsi" w:hAnsiTheme="minorHAnsi" w:cs="Arial"/>
          <w:color w:val="000000"/>
          <w:sz w:val="24"/>
          <w:szCs w:val="24"/>
        </w:rPr>
        <w:t xml:space="preserve"> water and sewer assets. </w:t>
      </w:r>
      <w:r w:rsidRPr="00ED5839">
        <w:rPr>
          <w:rFonts w:asciiTheme="minorHAnsi" w:hAnsiTheme="minorHAnsi" w:cs="Arial"/>
          <w:color w:val="000000"/>
          <w:sz w:val="24"/>
          <w:szCs w:val="24"/>
        </w:rPr>
        <w:t xml:space="preserve">If the AIA project includes </w:t>
      </w:r>
      <w:r w:rsidR="00C26543" w:rsidRPr="00ED5839">
        <w:rPr>
          <w:rFonts w:asciiTheme="minorHAnsi" w:hAnsiTheme="minorHAnsi" w:cs="Arial"/>
          <w:color w:val="000000"/>
          <w:sz w:val="24"/>
          <w:szCs w:val="24"/>
        </w:rPr>
        <w:t xml:space="preserve">this type </w:t>
      </w:r>
      <w:r w:rsidRPr="00ED5839">
        <w:rPr>
          <w:rFonts w:asciiTheme="minorHAnsi" w:hAnsiTheme="minorHAnsi" w:cs="Arial"/>
          <w:color w:val="000000"/>
          <w:sz w:val="24"/>
          <w:szCs w:val="24"/>
        </w:rPr>
        <w:t xml:space="preserve">of </w:t>
      </w:r>
      <w:r w:rsidR="00C26543" w:rsidRPr="00ED5839">
        <w:rPr>
          <w:rFonts w:asciiTheme="minorHAnsi" w:hAnsiTheme="minorHAnsi" w:cs="Arial"/>
          <w:color w:val="000000"/>
          <w:sz w:val="24"/>
          <w:szCs w:val="24"/>
        </w:rPr>
        <w:t>risk analysis</w:t>
      </w:r>
      <w:r w:rsidRPr="00ED5839">
        <w:rPr>
          <w:rFonts w:asciiTheme="minorHAnsi" w:hAnsiTheme="minorHAnsi" w:cs="Arial"/>
          <w:color w:val="000000"/>
          <w:sz w:val="24"/>
          <w:szCs w:val="24"/>
        </w:rPr>
        <w:t>, describe the benefit here.</w:t>
      </w:r>
    </w:p>
    <w:p w14:paraId="12A0A1C3" w14:textId="13FD1003" w:rsidR="00C26543" w:rsidRPr="00ED5839" w:rsidRDefault="003320FC" w:rsidP="00CA7DD5">
      <w:pPr>
        <w:pStyle w:val="ListParagraph"/>
        <w:spacing w:after="240"/>
        <w:rPr>
          <w:rFonts w:asciiTheme="minorHAnsi" w:hAnsiTheme="minorHAnsi"/>
          <w:b/>
          <w:i/>
          <w:sz w:val="24"/>
          <w:szCs w:val="24"/>
        </w:rPr>
      </w:pPr>
      <w:r w:rsidRPr="00ED5839">
        <w:rPr>
          <w:rFonts w:asciiTheme="minorHAnsi" w:hAnsiTheme="minorHAnsi"/>
          <w:b/>
          <w:i/>
          <w:sz w:val="24"/>
          <w:szCs w:val="24"/>
        </w:rPr>
        <w:t>Scoring Rationale:</w:t>
      </w:r>
    </w:p>
    <w:p w14:paraId="31821F92" w14:textId="325F5211" w:rsidR="00655800" w:rsidRPr="0010288F" w:rsidRDefault="003320FC" w:rsidP="001170CD">
      <w:pPr>
        <w:pStyle w:val="ListParagraph"/>
        <w:spacing w:after="240"/>
        <w:rPr>
          <w:rFonts w:asciiTheme="minorHAnsi" w:hAnsiTheme="minorHAnsi"/>
          <w:sz w:val="24"/>
          <w:szCs w:val="24"/>
        </w:rPr>
      </w:pPr>
      <w:r>
        <w:rPr>
          <w:rFonts w:asciiTheme="minorHAnsi" w:hAnsiTheme="minorHAnsi"/>
          <w:sz w:val="24"/>
          <w:szCs w:val="24"/>
        </w:rPr>
        <w:t xml:space="preserve">Additional benefits discussed here will be evaluated in </w:t>
      </w:r>
      <w:r w:rsidR="00DA048D">
        <w:rPr>
          <w:rFonts w:asciiTheme="minorHAnsi" w:hAnsiTheme="minorHAnsi"/>
          <w:sz w:val="24"/>
          <w:szCs w:val="24"/>
        </w:rPr>
        <w:t xml:space="preserve">the </w:t>
      </w:r>
      <w:r>
        <w:rPr>
          <w:rFonts w:asciiTheme="minorHAnsi" w:hAnsiTheme="minorHAnsi"/>
          <w:sz w:val="24"/>
          <w:szCs w:val="24"/>
        </w:rPr>
        <w:t>scoring process and may increase points awarded for project benefit</w:t>
      </w:r>
      <w:r w:rsidR="00DA048D">
        <w:rPr>
          <w:rFonts w:asciiTheme="minorHAnsi" w:hAnsiTheme="minorHAnsi"/>
          <w:sz w:val="24"/>
          <w:szCs w:val="24"/>
        </w:rPr>
        <w:t>s</w:t>
      </w:r>
      <w:r>
        <w:rPr>
          <w:rFonts w:asciiTheme="minorHAnsi" w:hAnsiTheme="minorHAnsi"/>
          <w:sz w:val="24"/>
          <w:szCs w:val="24"/>
        </w:rPr>
        <w:t>.</w:t>
      </w:r>
    </w:p>
    <w:p w14:paraId="4F8E28DC" w14:textId="1BC26E98" w:rsidR="001C1E50" w:rsidRDefault="001C1E50" w:rsidP="001C1E50">
      <w:pPr>
        <w:keepNext/>
        <w:keepLines/>
        <w:ind w:left="360" w:hanging="360"/>
        <w:rPr>
          <w:rFonts w:asciiTheme="minorHAnsi" w:hAnsiTheme="minorHAnsi"/>
          <w:b/>
          <w:sz w:val="24"/>
          <w:szCs w:val="24"/>
        </w:rPr>
      </w:pPr>
      <w:r w:rsidRPr="005A1EB4">
        <w:rPr>
          <w:rFonts w:asciiTheme="minorHAnsi" w:hAnsiTheme="minorHAnsi"/>
          <w:noProof/>
          <w:szCs w:val="24"/>
        </w:rPr>
        <mc:AlternateContent>
          <mc:Choice Requires="wps">
            <w:drawing>
              <wp:anchor distT="4294967295" distB="4294967295" distL="114300" distR="114300" simplePos="0" relativeHeight="251671552" behindDoc="0" locked="0" layoutInCell="1" allowOverlap="1" wp14:anchorId="0D197B90" wp14:editId="25A5FB96">
                <wp:simplePos x="0" y="0"/>
                <wp:positionH relativeFrom="margin">
                  <wp:posOffset>0</wp:posOffset>
                </wp:positionH>
                <wp:positionV relativeFrom="paragraph">
                  <wp:posOffset>-635</wp:posOffset>
                </wp:positionV>
                <wp:extent cx="6189133" cy="7620"/>
                <wp:effectExtent l="0" t="0" r="2159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9133"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3BB15B" id="Straight Connector 4"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87.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" strokeweight="1pt">
                <v:stroke joinstyle="miter"/>
                <o:lock v:ext="edit" shapetype="f"/>
                <w10:wrap anchorx="margin"/>
              </v:line>
            </w:pict>
          </mc:Fallback>
        </mc:AlternateContent>
      </w:r>
    </w:p>
    <w:p w14:paraId="24C0D051" w14:textId="6E2933FF" w:rsidR="00590B47" w:rsidRDefault="00590B47" w:rsidP="00590B47">
      <w:pPr>
        <w:keepNext/>
        <w:keepLines/>
        <w:spacing w:after="240"/>
        <w:ind w:left="360" w:hanging="360"/>
        <w:rPr>
          <w:rFonts w:asciiTheme="minorHAnsi" w:hAnsiTheme="minorHAnsi"/>
          <w:b/>
          <w:sz w:val="24"/>
          <w:szCs w:val="24"/>
        </w:rPr>
      </w:pPr>
      <w:r w:rsidRPr="00DC334F">
        <w:rPr>
          <w:rFonts w:asciiTheme="minorHAnsi" w:hAnsiTheme="minorHAnsi"/>
          <w:b/>
          <w:sz w:val="24"/>
          <w:szCs w:val="24"/>
        </w:rPr>
        <w:t xml:space="preserve">Line Item </w:t>
      </w:r>
      <w:r>
        <w:rPr>
          <w:rFonts w:asciiTheme="minorHAnsi" w:hAnsiTheme="minorHAnsi"/>
          <w:b/>
          <w:sz w:val="24"/>
          <w:szCs w:val="24"/>
        </w:rPr>
        <w:t xml:space="preserve">1.A </w:t>
      </w:r>
      <w:r w:rsidR="00C862AB">
        <w:rPr>
          <w:rFonts w:asciiTheme="minorHAnsi" w:hAnsiTheme="minorHAnsi"/>
          <w:b/>
          <w:sz w:val="24"/>
          <w:szCs w:val="24"/>
        </w:rPr>
        <w:t>-</w:t>
      </w:r>
      <w:r w:rsidRPr="00590B47">
        <w:rPr>
          <w:rFonts w:asciiTheme="minorHAnsi" w:hAnsiTheme="minorHAnsi"/>
          <w:b/>
          <w:sz w:val="24"/>
          <w:szCs w:val="24"/>
        </w:rPr>
        <w:t xml:space="preserve"> </w:t>
      </w:r>
      <w:r>
        <w:rPr>
          <w:rFonts w:asciiTheme="minorHAnsi" w:hAnsiTheme="minorHAnsi"/>
          <w:b/>
          <w:sz w:val="24"/>
          <w:szCs w:val="24"/>
        </w:rPr>
        <w:t xml:space="preserve">Distressed designation per </w:t>
      </w:r>
      <w:r>
        <w:rPr>
          <w:rFonts w:asciiTheme="minorHAnsi" w:hAnsiTheme="minorHAnsi" w:cstheme="minorHAnsi"/>
          <w:b/>
          <w:sz w:val="24"/>
          <w:szCs w:val="24"/>
        </w:rPr>
        <w:t>§</w:t>
      </w:r>
      <w:r>
        <w:rPr>
          <w:rFonts w:asciiTheme="minorHAnsi" w:hAnsiTheme="minorHAnsi"/>
          <w:b/>
          <w:sz w:val="24"/>
          <w:szCs w:val="24"/>
        </w:rPr>
        <w:t>159G-45(b)</w:t>
      </w:r>
      <w:r w:rsidR="00C862AB">
        <w:rPr>
          <w:rFonts w:asciiTheme="minorHAnsi" w:hAnsiTheme="minorHAnsi"/>
          <w:b/>
          <w:sz w:val="24"/>
          <w:szCs w:val="24"/>
        </w:rPr>
        <w:t xml:space="preserve"> </w:t>
      </w:r>
    </w:p>
    <w:p w14:paraId="71E897F9" w14:textId="5F1824DE" w:rsidR="00C862AB" w:rsidRDefault="00C862AB" w:rsidP="001C1E50">
      <w:pPr>
        <w:keepNext/>
        <w:keepLines/>
        <w:spacing w:after="120"/>
        <w:rPr>
          <w:rFonts w:asciiTheme="minorHAnsi" w:hAnsiTheme="minorHAnsi"/>
          <w:bCs/>
          <w:sz w:val="24"/>
          <w:szCs w:val="24"/>
        </w:rPr>
      </w:pPr>
      <w:r w:rsidRPr="00C862AB">
        <w:rPr>
          <w:rFonts w:asciiTheme="minorHAnsi" w:hAnsiTheme="minorHAnsi"/>
          <w:bCs/>
          <w:sz w:val="24"/>
          <w:szCs w:val="24"/>
        </w:rPr>
        <w:t>The LGU has been designated as “distressed” by the Authority and Commission, has initiated</w:t>
      </w:r>
      <w:r>
        <w:rPr>
          <w:rFonts w:asciiTheme="minorHAnsi" w:hAnsiTheme="minorHAnsi"/>
          <w:bCs/>
          <w:sz w:val="24"/>
          <w:szCs w:val="24"/>
        </w:rPr>
        <w:t xml:space="preserve"> </w:t>
      </w:r>
      <w:r w:rsidRPr="00C862AB">
        <w:rPr>
          <w:rFonts w:asciiTheme="minorHAnsi" w:hAnsiTheme="minorHAnsi"/>
          <w:bCs/>
          <w:sz w:val="24"/>
          <w:szCs w:val="24"/>
        </w:rPr>
        <w:t xml:space="preserve">fulfilling the requirements outlined in </w:t>
      </w:r>
      <w:r w:rsidRPr="00C862AB">
        <w:rPr>
          <w:rFonts w:asciiTheme="minorHAnsi" w:hAnsiTheme="minorHAnsi" w:cstheme="minorHAnsi"/>
          <w:bCs/>
          <w:sz w:val="24"/>
          <w:szCs w:val="24"/>
        </w:rPr>
        <w:t>§</w:t>
      </w:r>
      <w:r w:rsidRPr="00C862AB">
        <w:rPr>
          <w:rFonts w:asciiTheme="minorHAnsi" w:hAnsiTheme="minorHAnsi"/>
          <w:bCs/>
          <w:sz w:val="24"/>
          <w:szCs w:val="24"/>
        </w:rPr>
        <w:t xml:space="preserve">159G-45(b), and continues to make adequate progress fulfilling the requirements outlined in </w:t>
      </w:r>
      <w:r w:rsidRPr="00C862AB">
        <w:rPr>
          <w:rFonts w:asciiTheme="minorHAnsi" w:hAnsiTheme="minorHAnsi" w:cstheme="minorHAnsi"/>
          <w:bCs/>
          <w:sz w:val="24"/>
          <w:szCs w:val="24"/>
        </w:rPr>
        <w:t>§</w:t>
      </w:r>
      <w:r w:rsidRPr="00C862AB">
        <w:rPr>
          <w:rFonts w:asciiTheme="minorHAnsi" w:hAnsiTheme="minorHAnsi"/>
          <w:bCs/>
          <w:sz w:val="24"/>
          <w:szCs w:val="24"/>
        </w:rPr>
        <w:t>159G-45(b) as determined by the Division. If it receives an AIA grant, the LGU commits to completing the grant in accordance with the requirements of the VU program.</w:t>
      </w:r>
    </w:p>
    <w:p w14:paraId="350E170D" w14:textId="38087FF6" w:rsidR="00C862AB" w:rsidRDefault="00C862AB" w:rsidP="00C862AB">
      <w:pPr>
        <w:keepNext/>
        <w:keepLines/>
        <w:spacing w:after="240"/>
        <w:rPr>
          <w:rFonts w:asciiTheme="minorHAnsi" w:hAnsiTheme="minorHAnsi"/>
          <w:bCs/>
          <w:sz w:val="24"/>
          <w:szCs w:val="24"/>
        </w:rPr>
      </w:pPr>
      <w:r>
        <w:rPr>
          <w:rFonts w:asciiTheme="minorHAnsi" w:hAnsiTheme="minorHAnsi"/>
          <w:bCs/>
          <w:sz w:val="24"/>
          <w:szCs w:val="24"/>
        </w:rPr>
        <w:t>Points will be awarded if the applicant provides a copy of the distressed designation letter. Discuss the steps taken thus far in fulfilling the requirements outlined in 159G-45(b) and the benefits of receiving an AIA grant.</w:t>
      </w:r>
    </w:p>
    <w:p w14:paraId="3921DDE1" w14:textId="77777777" w:rsidR="00C01477" w:rsidRPr="00C862AB" w:rsidRDefault="00C01477" w:rsidP="00C862AB">
      <w:pPr>
        <w:keepNext/>
        <w:keepLines/>
        <w:spacing w:after="240"/>
        <w:rPr>
          <w:rFonts w:asciiTheme="minorHAnsi" w:hAnsiTheme="minorHAnsi"/>
          <w:bCs/>
          <w:sz w:val="24"/>
          <w:szCs w:val="24"/>
        </w:rPr>
      </w:pPr>
    </w:p>
    <w:p w14:paraId="2D420BC2" w14:textId="357CADED" w:rsidR="006C78A4" w:rsidRPr="00590B47" w:rsidRDefault="00655800" w:rsidP="00590B47">
      <w:pPr>
        <w:keepNext/>
        <w:keepLines/>
        <w:spacing w:after="240"/>
        <w:ind w:left="360" w:hanging="360"/>
        <w:rPr>
          <w:rFonts w:asciiTheme="minorHAnsi" w:hAnsiTheme="minorHAnsi"/>
          <w:b/>
          <w:sz w:val="24"/>
          <w:szCs w:val="24"/>
        </w:rPr>
      </w:pPr>
      <w:r w:rsidRPr="00DC334F">
        <w:rPr>
          <w:rFonts w:asciiTheme="minorHAnsi" w:hAnsiTheme="minorHAnsi"/>
          <w:b/>
          <w:sz w:val="24"/>
          <w:szCs w:val="24"/>
        </w:rPr>
        <w:t>Line Item 2.D</w:t>
      </w:r>
      <w:r>
        <w:rPr>
          <w:rFonts w:asciiTheme="minorHAnsi" w:hAnsiTheme="minorHAnsi"/>
          <w:b/>
          <w:sz w:val="24"/>
          <w:szCs w:val="24"/>
        </w:rPr>
        <w:t xml:space="preserve"> </w:t>
      </w:r>
      <w:r w:rsidR="00C862AB">
        <w:rPr>
          <w:rFonts w:asciiTheme="minorHAnsi" w:hAnsiTheme="minorHAnsi"/>
          <w:b/>
          <w:sz w:val="24"/>
          <w:szCs w:val="24"/>
        </w:rPr>
        <w:t>- O</w:t>
      </w:r>
      <w:r w:rsidR="006C78A4" w:rsidRPr="00590B47">
        <w:rPr>
          <w:rFonts w:asciiTheme="minorHAnsi" w:hAnsiTheme="minorHAnsi"/>
          <w:b/>
          <w:sz w:val="24"/>
          <w:szCs w:val="24"/>
        </w:rPr>
        <w:t>perating Ratio</w:t>
      </w:r>
    </w:p>
    <w:p w14:paraId="59C9ECF6" w14:textId="41E4C41C" w:rsidR="0045740B" w:rsidRDefault="0045740B" w:rsidP="00655800">
      <w:pPr>
        <w:spacing w:after="240"/>
        <w:rPr>
          <w:rFonts w:asciiTheme="minorHAnsi" w:hAnsiTheme="minorHAnsi"/>
          <w:sz w:val="24"/>
          <w:szCs w:val="24"/>
        </w:rPr>
      </w:pPr>
      <w:r>
        <w:rPr>
          <w:rFonts w:asciiTheme="minorHAnsi" w:hAnsiTheme="minorHAnsi"/>
          <w:sz w:val="24"/>
          <w:szCs w:val="24"/>
        </w:rPr>
        <w:t xml:space="preserve">Calculate </w:t>
      </w:r>
      <w:r w:rsidR="001C1E50">
        <w:rPr>
          <w:rFonts w:asciiTheme="minorHAnsi" w:hAnsiTheme="minorHAnsi"/>
          <w:sz w:val="24"/>
          <w:szCs w:val="24"/>
        </w:rPr>
        <w:t>each of the three (3) most recent</w:t>
      </w:r>
      <w:r>
        <w:rPr>
          <w:rFonts w:asciiTheme="minorHAnsi" w:hAnsiTheme="minorHAnsi"/>
          <w:sz w:val="24"/>
          <w:szCs w:val="24"/>
        </w:rPr>
        <w:t xml:space="preserve"> Operatin</w:t>
      </w:r>
      <w:r w:rsidR="00794229">
        <w:rPr>
          <w:rFonts w:asciiTheme="minorHAnsi" w:hAnsiTheme="minorHAnsi"/>
          <w:sz w:val="24"/>
          <w:szCs w:val="24"/>
        </w:rPr>
        <w:t>g Ratio</w:t>
      </w:r>
      <w:r w:rsidR="001C1E50">
        <w:rPr>
          <w:rFonts w:asciiTheme="minorHAnsi" w:hAnsiTheme="minorHAnsi"/>
          <w:sz w:val="24"/>
          <w:szCs w:val="24"/>
        </w:rPr>
        <w:t>s</w:t>
      </w:r>
      <w:r w:rsidR="00794229">
        <w:rPr>
          <w:rFonts w:asciiTheme="minorHAnsi" w:hAnsiTheme="minorHAnsi"/>
          <w:sz w:val="24"/>
          <w:szCs w:val="24"/>
        </w:rPr>
        <w:t xml:space="preserve"> using the formula below and </w:t>
      </w:r>
      <w:r w:rsidR="00794229" w:rsidRPr="00794229">
        <w:rPr>
          <w:rFonts w:asciiTheme="minorHAnsi" w:hAnsiTheme="minorHAnsi"/>
          <w:sz w:val="24"/>
          <w:szCs w:val="24"/>
          <w:u w:val="single"/>
        </w:rPr>
        <w:t>include the calculations in the narrative</w:t>
      </w:r>
      <w:r w:rsidR="00794229">
        <w:rPr>
          <w:rFonts w:asciiTheme="minorHAnsi" w:hAnsiTheme="minorHAnsi"/>
          <w:sz w:val="24"/>
          <w:szCs w:val="24"/>
        </w:rPr>
        <w:t>.</w:t>
      </w:r>
    </w:p>
    <w:p w14:paraId="10F0F130" w14:textId="5BA9EFAE" w:rsidR="00861ED5" w:rsidRDefault="00861ED5" w:rsidP="0069537D">
      <w:pPr>
        <w:rPr>
          <w:rFonts w:asciiTheme="minorHAnsi" w:hAnsiTheme="minorHAnsi"/>
          <w:i/>
          <w:sz w:val="24"/>
          <w:szCs w:val="24"/>
        </w:rPr>
      </w:pPr>
    </w:p>
    <w:p w14:paraId="66053107" w14:textId="729D4927" w:rsidR="00861ED5" w:rsidRDefault="001C1E50" w:rsidP="0069537D">
      <w:pPr>
        <w:rPr>
          <w:rFonts w:asciiTheme="minorHAnsi" w:hAnsiTheme="minorHAnsi"/>
          <w:i/>
          <w:sz w:val="24"/>
          <w:szCs w:val="24"/>
        </w:rPr>
      </w:pPr>
      <w:r w:rsidRPr="00D00388">
        <w:rPr>
          <w:noProof/>
        </w:rPr>
        <mc:AlternateContent>
          <mc:Choice Requires="wpg">
            <w:drawing>
              <wp:anchor distT="0" distB="0" distL="114300" distR="114300" simplePos="0" relativeHeight="251659264" behindDoc="0" locked="0" layoutInCell="1" allowOverlap="1" wp14:anchorId="0CB169C6" wp14:editId="170C4C37">
                <wp:simplePos x="0" y="0"/>
                <wp:positionH relativeFrom="margin">
                  <wp:align>center</wp:align>
                </wp:positionH>
                <wp:positionV relativeFrom="paragraph">
                  <wp:posOffset>4868</wp:posOffset>
                </wp:positionV>
                <wp:extent cx="3629025" cy="778933"/>
                <wp:effectExtent l="0" t="0" r="0" b="2540"/>
                <wp:wrapNone/>
                <wp:docPr id="5" name="Group 4"/>
                <wp:cNvGraphicFramePr/>
                <a:graphic xmlns:a="http://schemas.openxmlformats.org/drawingml/2006/main">
                  <a:graphicData uri="http://schemas.microsoft.com/office/word/2010/wordprocessingGroup">
                    <wpg:wgp>
                      <wpg:cNvGrpSpPr/>
                      <wpg:grpSpPr>
                        <a:xfrm>
                          <a:off x="0" y="0"/>
                          <a:ext cx="3629025" cy="778933"/>
                          <a:chOff x="0" y="-25219"/>
                          <a:chExt cx="6172200" cy="1777820"/>
                        </a:xfrm>
                      </wpg:grpSpPr>
                      <wps:wsp>
                        <wps:cNvPr id="6" name="Straight Connector 6"/>
                        <wps:cNvCnPr/>
                        <wps:spPr>
                          <a:xfrm>
                            <a:off x="1143000" y="609602"/>
                            <a:ext cx="48006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25219"/>
                            <a:ext cx="6172200" cy="1777820"/>
                            <a:chOff x="0" y="-25219"/>
                            <a:chExt cx="6172200" cy="1777820"/>
                          </a:xfrm>
                        </wpg:grpSpPr>
                        <wps:wsp>
                          <wps:cNvPr id="8" name="TextBox 7"/>
                          <wps:cNvSpPr txBox="1"/>
                          <wps:spPr>
                            <a:xfrm>
                              <a:off x="1142999" y="-25219"/>
                              <a:ext cx="4800600" cy="592605"/>
                            </a:xfrm>
                            <a:prstGeom prst="rect">
                              <a:avLst/>
                            </a:prstGeom>
                            <a:noFill/>
                          </wps:spPr>
                          <wps:txb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wps:txbx>
                          <wps:bodyPr wrap="square" rtlCol="0">
                            <a:noAutofit/>
                          </wps:bodyPr>
                        </wps:wsp>
                        <wps:wsp>
                          <wps:cNvPr id="9" name="TextBox 8"/>
                          <wps:cNvSpPr txBox="1"/>
                          <wps:spPr>
                            <a:xfrm>
                              <a:off x="152391" y="304784"/>
                              <a:ext cx="1068249" cy="588103"/>
                            </a:xfrm>
                            <a:prstGeom prst="rect">
                              <a:avLst/>
                            </a:prstGeom>
                            <a:noFill/>
                          </wps:spPr>
                          <wps:txb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wps:txbx>
                          <wps:bodyPr wrap="square" rtlCol="0">
                            <a:noAutofit/>
                          </wps:bodyPr>
                        </wps:wsp>
                        <wps:wsp>
                          <wps:cNvPr id="10" name="TextBox 9"/>
                          <wps:cNvSpPr txBox="1"/>
                          <wps:spPr>
                            <a:xfrm>
                              <a:off x="1143001" y="608960"/>
                              <a:ext cx="4800598" cy="1055044"/>
                            </a:xfrm>
                            <a:prstGeom prst="rect">
                              <a:avLst/>
                            </a:prstGeom>
                            <a:noFill/>
                          </wps:spPr>
                          <wps:txb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wps:txbx>
                          <wps:bodyPr wrap="square" rtlCol="0">
                            <a:noAutofit/>
                          </wps:bodyPr>
                        </wps:wsp>
                        <wps:wsp>
                          <wps:cNvPr id="11" name="Rectangle 11"/>
                          <wps:cNvSpPr/>
                          <wps:spPr>
                            <a:xfrm>
                              <a:off x="0" y="1"/>
                              <a:ext cx="6172200"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B169C6" id="Group 4" o:spid="_x0000_s1026" style="position:absolute;margin-left:0;margin-top:.4pt;width:285.75pt;height:61.35pt;z-index:251659264;mso-position-horizontal:center;mso-position-horizontal-relative:margin;mso-width-relative:margin;mso-height-relative:margin" coordorigin=",-252" coordsize="61722,1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">
                <v:line id="Straight Connector 6" o:spid="_x0000_s1027" style="position:absolute;visibility:visible;mso-wrap-style:square" from="11430,6096" to="594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group id="Group 7" o:spid="_x0000_s1028" style="position:absolute;top:-252;width:61722;height:17778" coordorigin=",-252" coordsize="61722,1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Box 7" o:spid="_x0000_s1029" type="#_x0000_t202" style="position:absolute;left:11429;top:-252;width:48006;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v:textbox>
                  </v:shape>
                  <v:shape id="TextBox 8" o:spid="_x0000_s1030" type="#_x0000_t202" style="position:absolute;left:1523;top:3047;width:1068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v:textbox>
                  </v:shape>
                  <v:shape id="TextBox 9" o:spid="_x0000_s1031" type="#_x0000_t202" style="position:absolute;left:11430;top:6089;width:48005;height:10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v:textbox>
                  </v:shape>
                  <v:rect id="Rectangle 11" o:spid="_x0000_s1032" style="position:absolute;width:61722;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w10:wrap anchorx="margin"/>
              </v:group>
            </w:pict>
          </mc:Fallback>
        </mc:AlternateContent>
      </w:r>
    </w:p>
    <w:p w14:paraId="39245A25" w14:textId="77777777" w:rsidR="001C1E50" w:rsidRDefault="001C1E50" w:rsidP="00294350">
      <w:pPr>
        <w:keepNext/>
        <w:rPr>
          <w:rFonts w:asciiTheme="minorHAnsi" w:hAnsiTheme="minorHAnsi"/>
          <w:sz w:val="24"/>
          <w:szCs w:val="24"/>
        </w:rPr>
      </w:pPr>
    </w:p>
    <w:p w14:paraId="13252443" w14:textId="3DBC9F45" w:rsidR="001C1E50" w:rsidRDefault="001C1E50">
      <w:pPr>
        <w:spacing w:after="160" w:line="259" w:lineRule="auto"/>
        <w:rPr>
          <w:rFonts w:asciiTheme="minorHAnsi" w:hAnsiTheme="minorHAnsi"/>
          <w:sz w:val="24"/>
          <w:szCs w:val="24"/>
        </w:rPr>
      </w:pPr>
    </w:p>
    <w:p w14:paraId="3D60722A" w14:textId="77777777" w:rsidR="00C01477" w:rsidRDefault="00C01477" w:rsidP="00294350">
      <w:pPr>
        <w:keepNext/>
        <w:rPr>
          <w:rFonts w:asciiTheme="minorHAnsi" w:hAnsiTheme="minorHAnsi"/>
          <w:sz w:val="24"/>
          <w:szCs w:val="24"/>
        </w:rPr>
      </w:pPr>
    </w:p>
    <w:p w14:paraId="6FC06416" w14:textId="0836E79F" w:rsidR="00EF5344" w:rsidRPr="0069537D" w:rsidRDefault="00EF5344" w:rsidP="00294350">
      <w:pPr>
        <w:keepNext/>
        <w:rPr>
          <w:rFonts w:asciiTheme="minorHAnsi" w:hAnsiTheme="minorHAnsi"/>
          <w:sz w:val="24"/>
          <w:szCs w:val="24"/>
        </w:rPr>
      </w:pPr>
      <w:r>
        <w:rPr>
          <w:rFonts w:asciiTheme="minorHAnsi" w:hAnsiTheme="minorHAnsi"/>
          <w:sz w:val="24"/>
          <w:szCs w:val="24"/>
        </w:rPr>
        <w:t>Scoring:</w:t>
      </w:r>
    </w:p>
    <w:p w14:paraId="53CEA3A0" w14:textId="075FC683" w:rsidR="00750DA7" w:rsidRDefault="006C78A4" w:rsidP="00750DA7">
      <w:pPr>
        <w:pStyle w:val="ListParagraph"/>
        <w:numPr>
          <w:ilvl w:val="0"/>
          <w:numId w:val="5"/>
        </w:numPr>
        <w:spacing w:after="240"/>
        <w:rPr>
          <w:rFonts w:asciiTheme="minorHAnsi" w:hAnsiTheme="minorHAnsi"/>
          <w:sz w:val="24"/>
          <w:szCs w:val="24"/>
        </w:rPr>
      </w:pPr>
      <w:r w:rsidRPr="00750DA7">
        <w:rPr>
          <w:rFonts w:asciiTheme="minorHAnsi" w:hAnsiTheme="minorHAnsi"/>
          <w:sz w:val="24"/>
          <w:szCs w:val="24"/>
        </w:rPr>
        <w:t>all</w:t>
      </w:r>
      <w:r w:rsidR="00655800" w:rsidRPr="00750DA7">
        <w:rPr>
          <w:rFonts w:asciiTheme="minorHAnsi" w:hAnsiTheme="minorHAnsi"/>
          <w:sz w:val="24"/>
          <w:szCs w:val="24"/>
        </w:rPr>
        <w:t xml:space="preserve"> </w:t>
      </w:r>
      <w:r w:rsidRPr="00750DA7">
        <w:rPr>
          <w:rFonts w:asciiTheme="minorHAnsi" w:hAnsiTheme="minorHAnsi"/>
          <w:sz w:val="24"/>
          <w:szCs w:val="24"/>
        </w:rPr>
        <w:t xml:space="preserve">three operating ratios are less than 1.00 and the </w:t>
      </w:r>
      <w:r w:rsidR="007B139D">
        <w:rPr>
          <w:rFonts w:asciiTheme="minorHAnsi" w:hAnsiTheme="minorHAnsi"/>
          <w:sz w:val="24"/>
          <w:szCs w:val="24"/>
        </w:rPr>
        <w:t>rates</w:t>
      </w:r>
      <w:r w:rsidRPr="00750DA7">
        <w:rPr>
          <w:rFonts w:asciiTheme="minorHAnsi" w:hAnsiTheme="minorHAnsi"/>
          <w:sz w:val="24"/>
          <w:szCs w:val="24"/>
        </w:rPr>
        <w:t xml:space="preserve"> for 5</w:t>
      </w:r>
      <w:r w:rsidR="006B3776" w:rsidRPr="00750DA7">
        <w:rPr>
          <w:rFonts w:asciiTheme="minorHAnsi" w:hAnsiTheme="minorHAnsi"/>
          <w:sz w:val="24"/>
          <w:szCs w:val="24"/>
        </w:rPr>
        <w:t>,</w:t>
      </w:r>
      <w:r w:rsidRPr="00750DA7">
        <w:rPr>
          <w:rFonts w:asciiTheme="minorHAnsi" w:hAnsiTheme="minorHAnsi"/>
          <w:sz w:val="24"/>
          <w:szCs w:val="24"/>
        </w:rPr>
        <w:t xml:space="preserve">000 gallons </w:t>
      </w:r>
      <w:r w:rsidR="00B94B93" w:rsidRPr="00750DA7">
        <w:rPr>
          <w:rFonts w:asciiTheme="minorHAnsi" w:hAnsiTheme="minorHAnsi"/>
          <w:sz w:val="24"/>
          <w:szCs w:val="24"/>
        </w:rPr>
        <w:t>is</w:t>
      </w:r>
      <w:r w:rsidRPr="00750DA7">
        <w:rPr>
          <w:rFonts w:asciiTheme="minorHAnsi" w:hAnsiTheme="minorHAnsi"/>
          <w:sz w:val="24"/>
          <w:szCs w:val="24"/>
        </w:rPr>
        <w:t xml:space="preserve"> less than $</w:t>
      </w:r>
      <w:r w:rsidR="00750DA7" w:rsidRPr="00750DA7">
        <w:rPr>
          <w:rFonts w:asciiTheme="minorHAnsi" w:hAnsiTheme="minorHAnsi"/>
          <w:sz w:val="24"/>
          <w:szCs w:val="24"/>
        </w:rPr>
        <w:t>107</w:t>
      </w:r>
      <w:r w:rsidRPr="00750DA7">
        <w:rPr>
          <w:rFonts w:asciiTheme="minorHAnsi" w:hAnsiTheme="minorHAnsi"/>
          <w:sz w:val="24"/>
          <w:szCs w:val="24"/>
        </w:rPr>
        <w:t>/month = 0 points</w:t>
      </w:r>
    </w:p>
    <w:p w14:paraId="1189BC91" w14:textId="77777777" w:rsidR="007B139D" w:rsidRDefault="006C78A4" w:rsidP="007B139D">
      <w:pPr>
        <w:pStyle w:val="ListParagraph"/>
        <w:numPr>
          <w:ilvl w:val="0"/>
          <w:numId w:val="5"/>
        </w:numPr>
        <w:spacing w:after="240"/>
        <w:rPr>
          <w:rFonts w:asciiTheme="minorHAnsi" w:hAnsiTheme="minorHAnsi"/>
          <w:sz w:val="24"/>
          <w:szCs w:val="24"/>
        </w:rPr>
      </w:pPr>
      <w:r w:rsidRPr="00750DA7">
        <w:rPr>
          <w:rFonts w:asciiTheme="minorHAnsi" w:hAnsiTheme="minorHAnsi"/>
          <w:sz w:val="24"/>
          <w:szCs w:val="24"/>
        </w:rPr>
        <w:t xml:space="preserve">all three operating ratios are less than 1.00 and the </w:t>
      </w:r>
      <w:r w:rsidR="007B139D">
        <w:rPr>
          <w:rFonts w:asciiTheme="minorHAnsi" w:hAnsiTheme="minorHAnsi"/>
          <w:sz w:val="24"/>
          <w:szCs w:val="24"/>
        </w:rPr>
        <w:t>rates</w:t>
      </w:r>
      <w:r w:rsidRPr="00750DA7">
        <w:rPr>
          <w:rFonts w:asciiTheme="minorHAnsi" w:hAnsiTheme="minorHAnsi"/>
          <w:sz w:val="24"/>
          <w:szCs w:val="24"/>
        </w:rPr>
        <w:t xml:space="preserve"> for 5</w:t>
      </w:r>
      <w:r w:rsidR="006B3776" w:rsidRPr="00750DA7">
        <w:rPr>
          <w:rFonts w:asciiTheme="minorHAnsi" w:hAnsiTheme="minorHAnsi"/>
          <w:sz w:val="24"/>
          <w:szCs w:val="24"/>
        </w:rPr>
        <w:t>,</w:t>
      </w:r>
      <w:r w:rsidRPr="00750DA7">
        <w:rPr>
          <w:rFonts w:asciiTheme="minorHAnsi" w:hAnsiTheme="minorHAnsi"/>
          <w:sz w:val="24"/>
          <w:szCs w:val="24"/>
        </w:rPr>
        <w:t xml:space="preserve">000 gallons </w:t>
      </w:r>
      <w:r w:rsidR="00B94B93" w:rsidRPr="00750DA7">
        <w:rPr>
          <w:rFonts w:asciiTheme="minorHAnsi" w:hAnsiTheme="minorHAnsi"/>
          <w:sz w:val="24"/>
          <w:szCs w:val="24"/>
        </w:rPr>
        <w:t>is</w:t>
      </w:r>
      <w:r w:rsidRPr="00750DA7">
        <w:rPr>
          <w:rFonts w:asciiTheme="minorHAnsi" w:hAnsiTheme="minorHAnsi"/>
          <w:sz w:val="24"/>
          <w:szCs w:val="24"/>
        </w:rPr>
        <w:t xml:space="preserve"> greater than or equal to $</w:t>
      </w:r>
      <w:r w:rsidR="00750DA7" w:rsidRPr="00750DA7">
        <w:rPr>
          <w:rFonts w:asciiTheme="minorHAnsi" w:hAnsiTheme="minorHAnsi"/>
          <w:sz w:val="24"/>
          <w:szCs w:val="24"/>
        </w:rPr>
        <w:t>10</w:t>
      </w:r>
      <w:r w:rsidR="009443B0">
        <w:rPr>
          <w:rFonts w:asciiTheme="minorHAnsi" w:hAnsiTheme="minorHAnsi"/>
          <w:sz w:val="24"/>
          <w:szCs w:val="24"/>
        </w:rPr>
        <w:t>7</w:t>
      </w:r>
      <w:r w:rsidRPr="00750DA7">
        <w:rPr>
          <w:rFonts w:asciiTheme="minorHAnsi" w:hAnsiTheme="minorHAnsi"/>
          <w:sz w:val="24"/>
          <w:szCs w:val="24"/>
        </w:rPr>
        <w:t>/month = 1 point</w:t>
      </w:r>
    </w:p>
    <w:p w14:paraId="3DE2BEA8" w14:textId="5ADA31EA" w:rsidR="006C78A4" w:rsidRPr="007B139D" w:rsidRDefault="007B139D" w:rsidP="007B139D">
      <w:pPr>
        <w:pStyle w:val="ListParagraph"/>
        <w:numPr>
          <w:ilvl w:val="0"/>
          <w:numId w:val="5"/>
        </w:numPr>
        <w:spacing w:after="240"/>
        <w:rPr>
          <w:rFonts w:asciiTheme="minorHAnsi" w:hAnsiTheme="minorHAnsi"/>
          <w:sz w:val="24"/>
          <w:szCs w:val="24"/>
        </w:rPr>
      </w:pPr>
      <w:r>
        <w:rPr>
          <w:rFonts w:asciiTheme="minorHAnsi" w:hAnsiTheme="minorHAnsi"/>
          <w:sz w:val="24"/>
          <w:szCs w:val="24"/>
        </w:rPr>
        <w:t>all three operating ratios are greater than 1.00 = 2 points</w:t>
      </w:r>
    </w:p>
    <w:tbl>
      <w:tblPr>
        <w:tblStyle w:val="TableGrid"/>
        <w:tblpPr w:leftFromText="180" w:rightFromText="180" w:vertAnchor="text" w:horzAnchor="margin" w:tblpY="-2"/>
        <w:tblW w:w="0" w:type="auto"/>
        <w:shd w:val="pct5" w:color="auto" w:fill="auto"/>
        <w:tblLook w:val="04A0" w:firstRow="1" w:lastRow="0" w:firstColumn="1" w:lastColumn="0" w:noHBand="0" w:noVBand="1"/>
      </w:tblPr>
      <w:tblGrid>
        <w:gridCol w:w="9491"/>
      </w:tblGrid>
      <w:tr w:rsidR="007B139D" w:rsidRPr="00C759BE" w14:paraId="4D639D9D" w14:textId="77777777" w:rsidTr="007B139D">
        <w:trPr>
          <w:trHeight w:val="983"/>
        </w:trPr>
        <w:tc>
          <w:tcPr>
            <w:tcW w:w="9491" w:type="dxa"/>
            <w:shd w:val="pct5" w:color="auto" w:fill="auto"/>
          </w:tcPr>
          <w:p w14:paraId="0AD38200" w14:textId="77777777" w:rsidR="007B139D" w:rsidRDefault="007B139D" w:rsidP="007B139D">
            <w:pPr>
              <w:spacing w:before="120"/>
              <w:rPr>
                <w:rFonts w:asciiTheme="minorHAnsi" w:hAnsiTheme="minorHAnsi"/>
                <w:b/>
                <w:color w:val="000000" w:themeColor="text1"/>
                <w:sz w:val="24"/>
                <w:szCs w:val="24"/>
              </w:rPr>
            </w:pPr>
            <w:r w:rsidRPr="001849A4">
              <w:rPr>
                <w:rFonts w:asciiTheme="minorHAnsi" w:hAnsiTheme="minorHAnsi"/>
                <w:b/>
                <w:color w:val="000000" w:themeColor="text1"/>
                <w:sz w:val="24"/>
                <w:szCs w:val="24"/>
              </w:rPr>
              <w:lastRenderedPageBreak/>
              <w:t>Calculation Notes:</w:t>
            </w:r>
          </w:p>
          <w:p w14:paraId="6F2EFC3C" w14:textId="77777777" w:rsidR="007B139D" w:rsidRPr="001849A4" w:rsidRDefault="007B139D" w:rsidP="007B139D">
            <w:pPr>
              <w:pStyle w:val="ListParagraph"/>
              <w:numPr>
                <w:ilvl w:val="0"/>
                <w:numId w:val="14"/>
              </w:numPr>
              <w:spacing w:before="120" w:after="240"/>
              <w:rPr>
                <w:rFonts w:asciiTheme="minorHAnsi" w:hAnsiTheme="minorHAnsi"/>
                <w:color w:val="000000" w:themeColor="text1"/>
                <w:sz w:val="24"/>
                <w:szCs w:val="24"/>
              </w:rPr>
            </w:pPr>
            <w:r w:rsidRPr="001849A4">
              <w:rPr>
                <w:rFonts w:asciiTheme="minorHAnsi" w:hAnsiTheme="minorHAnsi"/>
                <w:color w:val="000000" w:themeColor="text1"/>
                <w:sz w:val="24"/>
                <w:szCs w:val="24"/>
              </w:rPr>
              <w:t>In the narrative and calculations, use the same values entered in Financial Information Form.</w:t>
            </w:r>
          </w:p>
          <w:p w14:paraId="788F7983" w14:textId="77777777" w:rsidR="007B139D" w:rsidRPr="001849A4" w:rsidRDefault="007B139D" w:rsidP="007B139D">
            <w:pPr>
              <w:pStyle w:val="ListParagraph"/>
              <w:numPr>
                <w:ilvl w:val="0"/>
                <w:numId w:val="8"/>
              </w:numPr>
              <w:spacing w:before="120" w:after="240"/>
              <w:rPr>
                <w:rFonts w:asciiTheme="minorHAnsi" w:hAnsiTheme="minorHAnsi"/>
                <w:color w:val="000000" w:themeColor="text1"/>
                <w:sz w:val="24"/>
                <w:szCs w:val="24"/>
              </w:rPr>
            </w:pPr>
            <w:r w:rsidRPr="001849A4">
              <w:rPr>
                <w:rFonts w:asciiTheme="minorHAnsi" w:hAnsiTheme="minorHAnsi"/>
                <w:color w:val="000000" w:themeColor="text1"/>
                <w:sz w:val="24"/>
                <w:szCs w:val="24"/>
                <w:u w:val="single"/>
              </w:rPr>
              <w:t>Do not</w:t>
            </w:r>
            <w:r w:rsidRPr="001849A4">
              <w:rPr>
                <w:rFonts w:asciiTheme="minorHAnsi" w:hAnsiTheme="minorHAnsi"/>
                <w:color w:val="000000" w:themeColor="text1"/>
                <w:sz w:val="24"/>
                <w:szCs w:val="24"/>
              </w:rPr>
              <w:t xml:space="preserve"> include “Non-operating Revenues” in the numerator.</w:t>
            </w:r>
          </w:p>
          <w:p w14:paraId="33359033" w14:textId="77777777" w:rsidR="007B139D" w:rsidRPr="001849A4" w:rsidRDefault="007B139D" w:rsidP="007B139D">
            <w:pPr>
              <w:pStyle w:val="ListParagraph"/>
              <w:numPr>
                <w:ilvl w:val="0"/>
                <w:numId w:val="8"/>
              </w:numPr>
              <w:spacing w:before="120" w:after="240"/>
              <w:rPr>
                <w:rFonts w:asciiTheme="minorHAnsi" w:hAnsiTheme="minorHAnsi"/>
                <w:color w:val="000000" w:themeColor="text1"/>
                <w:sz w:val="24"/>
                <w:szCs w:val="24"/>
              </w:rPr>
            </w:pPr>
            <w:r w:rsidRPr="001849A4">
              <w:rPr>
                <w:rFonts w:asciiTheme="minorHAnsi" w:hAnsiTheme="minorHAnsi"/>
                <w:color w:val="000000" w:themeColor="text1"/>
                <w:sz w:val="24"/>
                <w:szCs w:val="24"/>
              </w:rPr>
              <w:t>Present “Total Expenditures” from Financial Information Form.</w:t>
            </w:r>
          </w:p>
          <w:p w14:paraId="28E9C6E0" w14:textId="77777777" w:rsidR="007B139D" w:rsidRPr="001849A4" w:rsidRDefault="007B139D" w:rsidP="007B139D">
            <w:pPr>
              <w:pStyle w:val="ListParagraph"/>
              <w:numPr>
                <w:ilvl w:val="0"/>
                <w:numId w:val="8"/>
              </w:numPr>
              <w:spacing w:before="120" w:after="240"/>
              <w:rPr>
                <w:rFonts w:asciiTheme="minorHAnsi" w:hAnsiTheme="minorHAnsi"/>
                <w:color w:val="000000" w:themeColor="text1"/>
                <w:sz w:val="24"/>
                <w:szCs w:val="24"/>
              </w:rPr>
            </w:pPr>
            <w:r w:rsidRPr="001849A4">
              <w:rPr>
                <w:rFonts w:asciiTheme="minorHAnsi" w:hAnsiTheme="minorHAnsi"/>
                <w:color w:val="000000" w:themeColor="text1"/>
                <w:sz w:val="24"/>
                <w:szCs w:val="24"/>
              </w:rPr>
              <w:t xml:space="preserve">Present “Debt Principal”, “Interest” and “Capital Outlay” from Financial Information Form; </w:t>
            </w:r>
            <w:r w:rsidRPr="001849A4">
              <w:rPr>
                <w:rFonts w:asciiTheme="minorHAnsi" w:hAnsiTheme="minorHAnsi"/>
                <w:color w:val="000000" w:themeColor="text1"/>
                <w:sz w:val="24"/>
                <w:szCs w:val="24"/>
                <w:u w:val="single"/>
              </w:rPr>
              <w:t>“Capital Outlay” is defined as funded from the enterprise fund.</w:t>
            </w:r>
          </w:p>
          <w:p w14:paraId="2B7F4AC1" w14:textId="77777777" w:rsidR="007B139D" w:rsidRPr="008E029A" w:rsidRDefault="007B139D" w:rsidP="007B139D">
            <w:pPr>
              <w:pStyle w:val="ListParagraph"/>
              <w:numPr>
                <w:ilvl w:val="0"/>
                <w:numId w:val="8"/>
              </w:numPr>
              <w:spacing w:before="120" w:after="240"/>
              <w:rPr>
                <w:rFonts w:asciiTheme="minorHAnsi" w:hAnsiTheme="minorHAnsi"/>
                <w:color w:val="000000" w:themeColor="text1"/>
                <w:sz w:val="24"/>
                <w:szCs w:val="24"/>
              </w:rPr>
            </w:pPr>
            <w:r w:rsidRPr="001849A4">
              <w:rPr>
                <w:rFonts w:asciiTheme="minorHAnsi" w:hAnsiTheme="minorHAnsi"/>
                <w:color w:val="000000" w:themeColor="text1"/>
                <w:sz w:val="24"/>
                <w:szCs w:val="24"/>
              </w:rPr>
              <w:t>Report the Operating Ratio to two decimal points.</w:t>
            </w:r>
          </w:p>
        </w:tc>
      </w:tr>
    </w:tbl>
    <w:p w14:paraId="322F24E0" w14:textId="7CB52DDD" w:rsidR="007B139D" w:rsidRDefault="001C1E50" w:rsidP="0015427B">
      <w:pPr>
        <w:spacing w:after="240"/>
        <w:rPr>
          <w:rFonts w:asciiTheme="minorHAnsi" w:hAnsiTheme="minorHAnsi"/>
          <w:b/>
          <w:sz w:val="24"/>
          <w:szCs w:val="24"/>
          <w:u w:val="single"/>
        </w:rPr>
      </w:pPr>
      <w:r w:rsidRPr="005A1EB4">
        <w:rPr>
          <w:rFonts w:asciiTheme="minorHAnsi" w:hAnsiTheme="minorHAnsi"/>
          <w:noProof/>
          <w:szCs w:val="24"/>
        </w:rPr>
        <mc:AlternateContent>
          <mc:Choice Requires="wps">
            <w:drawing>
              <wp:anchor distT="4294967295" distB="4294967295" distL="114300" distR="114300" simplePos="0" relativeHeight="251669504" behindDoc="0" locked="0" layoutInCell="1" allowOverlap="1" wp14:anchorId="14ACD419" wp14:editId="6A849138">
                <wp:simplePos x="0" y="0"/>
                <wp:positionH relativeFrom="margin">
                  <wp:align>right</wp:align>
                </wp:positionH>
                <wp:positionV relativeFrom="paragraph">
                  <wp:posOffset>2039197</wp:posOffset>
                </wp:positionV>
                <wp:extent cx="6189133" cy="7620"/>
                <wp:effectExtent l="0" t="0" r="2159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9133"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E73CF0" id="Straight Connector 2" o:spid="_x0000_s1026" style="position:absolute;flip:y;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6.15pt,160.55pt" to="923.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" strokeweight="1pt">
                <v:stroke joinstyle="miter"/>
                <o:lock v:ext="edit" shapetype="f"/>
                <w10:wrap anchorx="margin"/>
              </v:line>
            </w:pict>
          </mc:Fallback>
        </mc:AlternateContent>
      </w:r>
    </w:p>
    <w:p w14:paraId="2D327B88" w14:textId="74F8828C" w:rsidR="0015427B" w:rsidRPr="0015427B" w:rsidRDefault="0015427B" w:rsidP="0015427B">
      <w:pPr>
        <w:spacing w:after="240"/>
        <w:rPr>
          <w:rFonts w:asciiTheme="minorHAnsi" w:hAnsiTheme="minorHAnsi"/>
          <w:b/>
          <w:sz w:val="24"/>
          <w:szCs w:val="24"/>
          <w:u w:val="single"/>
        </w:rPr>
      </w:pPr>
      <w:r w:rsidRPr="0015427B">
        <w:rPr>
          <w:rFonts w:asciiTheme="minorHAnsi" w:hAnsiTheme="minorHAnsi"/>
          <w:b/>
          <w:sz w:val="24"/>
          <w:szCs w:val="24"/>
          <w:u w:val="single"/>
        </w:rPr>
        <w:t>Category 3 – Affordability</w:t>
      </w:r>
    </w:p>
    <w:p w14:paraId="04B9DD23" w14:textId="2E302616" w:rsidR="0015427B" w:rsidRPr="0015427B" w:rsidRDefault="0015427B" w:rsidP="0015427B">
      <w:pPr>
        <w:keepNext/>
        <w:keepLines/>
        <w:spacing w:after="240"/>
        <w:ind w:left="360" w:hanging="360"/>
        <w:rPr>
          <w:rFonts w:asciiTheme="minorHAnsi" w:hAnsiTheme="minorHAnsi"/>
          <w:b/>
          <w:bCs/>
          <w:sz w:val="24"/>
          <w:szCs w:val="24"/>
        </w:rPr>
      </w:pPr>
      <w:r w:rsidRPr="0015427B">
        <w:rPr>
          <w:rFonts w:asciiTheme="minorHAnsi" w:hAnsiTheme="minorHAnsi"/>
          <w:b/>
          <w:sz w:val="24"/>
          <w:szCs w:val="24"/>
        </w:rPr>
        <w:t xml:space="preserve">Line Item 3.A </w:t>
      </w:r>
      <w:r w:rsidR="00C862AB">
        <w:rPr>
          <w:rFonts w:asciiTheme="minorHAnsi" w:hAnsiTheme="minorHAnsi"/>
          <w:b/>
          <w:bCs/>
          <w:sz w:val="24"/>
          <w:szCs w:val="24"/>
        </w:rPr>
        <w:t>-</w:t>
      </w:r>
      <w:r w:rsidRPr="0015427B">
        <w:rPr>
          <w:rFonts w:asciiTheme="minorHAnsi" w:hAnsiTheme="minorHAnsi"/>
          <w:b/>
          <w:bCs/>
          <w:sz w:val="24"/>
          <w:szCs w:val="24"/>
        </w:rPr>
        <w:t xml:space="preserve"> Current Rate</w:t>
      </w:r>
    </w:p>
    <w:p w14:paraId="69653B30" w14:textId="77777777" w:rsidR="0015427B" w:rsidRPr="0015427B" w:rsidRDefault="0015427B" w:rsidP="001C1E50">
      <w:pPr>
        <w:keepNext/>
        <w:keepLines/>
        <w:spacing w:after="120"/>
        <w:rPr>
          <w:rFonts w:asciiTheme="minorHAnsi" w:hAnsiTheme="minorHAnsi"/>
          <w:sz w:val="24"/>
          <w:szCs w:val="24"/>
        </w:rPr>
      </w:pPr>
      <w:r w:rsidRPr="0015427B">
        <w:rPr>
          <w:rFonts w:asciiTheme="minorHAnsi" w:hAnsiTheme="minorHAnsi"/>
          <w:bCs/>
          <w:sz w:val="24"/>
          <w:szCs w:val="24"/>
        </w:rPr>
        <w:t>P</w:t>
      </w:r>
      <w:r w:rsidRPr="0015427B">
        <w:rPr>
          <w:rFonts w:asciiTheme="minorHAnsi" w:hAnsiTheme="minorHAnsi"/>
          <w:sz w:val="24"/>
          <w:szCs w:val="24"/>
        </w:rPr>
        <w:t>oints will be scored based on the current monthly utility rate at 5,000 gallons provided on the application form for in-town rates. The Division has determined that the median rate in NC for 5,000 gallons of combined water and sewer is $79/month for in-town rates.</w:t>
      </w:r>
    </w:p>
    <w:p w14:paraId="6B9C9878" w14:textId="77777777" w:rsidR="0015427B" w:rsidRPr="0015427B" w:rsidRDefault="0015427B" w:rsidP="0015427B">
      <w:pPr>
        <w:pStyle w:val="ListParagraph"/>
        <w:numPr>
          <w:ilvl w:val="0"/>
          <w:numId w:val="12"/>
        </w:numPr>
        <w:spacing w:after="240"/>
        <w:rPr>
          <w:rFonts w:asciiTheme="minorHAnsi" w:hAnsiTheme="minorHAnsi"/>
          <w:sz w:val="24"/>
          <w:szCs w:val="24"/>
        </w:rPr>
      </w:pPr>
      <w:r w:rsidRPr="0015427B">
        <w:rPr>
          <w:rFonts w:asciiTheme="minorHAnsi" w:hAnsiTheme="minorHAnsi"/>
          <w:sz w:val="24"/>
          <w:szCs w:val="24"/>
        </w:rPr>
        <w:t>Less than or equal to $79/month = 0 points</w:t>
      </w:r>
    </w:p>
    <w:p w14:paraId="71923358" w14:textId="77777777" w:rsidR="0015427B" w:rsidRPr="0015427B" w:rsidRDefault="0015427B" w:rsidP="0015427B">
      <w:pPr>
        <w:pStyle w:val="ListParagraph"/>
        <w:numPr>
          <w:ilvl w:val="0"/>
          <w:numId w:val="12"/>
        </w:numPr>
        <w:spacing w:after="240"/>
        <w:rPr>
          <w:rFonts w:asciiTheme="minorHAnsi" w:hAnsiTheme="minorHAnsi"/>
          <w:sz w:val="24"/>
          <w:szCs w:val="24"/>
        </w:rPr>
      </w:pPr>
      <w:r w:rsidRPr="0015427B">
        <w:rPr>
          <w:rFonts w:asciiTheme="minorHAnsi" w:hAnsiTheme="minorHAnsi"/>
          <w:sz w:val="24"/>
          <w:szCs w:val="24"/>
        </w:rPr>
        <w:t>More than $79/month and less than or equal to $107/month = 2 points</w:t>
      </w:r>
    </w:p>
    <w:p w14:paraId="10C8ABA3" w14:textId="77777777" w:rsidR="0015427B" w:rsidRPr="0015427B" w:rsidRDefault="0015427B" w:rsidP="0015427B">
      <w:pPr>
        <w:pStyle w:val="ListParagraph"/>
        <w:numPr>
          <w:ilvl w:val="0"/>
          <w:numId w:val="12"/>
        </w:numPr>
        <w:spacing w:after="240"/>
        <w:contextualSpacing w:val="0"/>
        <w:rPr>
          <w:rFonts w:asciiTheme="minorHAnsi" w:hAnsiTheme="minorHAnsi"/>
          <w:sz w:val="24"/>
          <w:szCs w:val="24"/>
        </w:rPr>
      </w:pPr>
      <w:r w:rsidRPr="0015427B">
        <w:rPr>
          <w:rFonts w:asciiTheme="minorHAnsi" w:hAnsiTheme="minorHAnsi"/>
          <w:sz w:val="24"/>
          <w:szCs w:val="24"/>
        </w:rPr>
        <w:t>Greater than $107/month = 4 points</w:t>
      </w:r>
    </w:p>
    <w:p w14:paraId="7D6D38A5" w14:textId="77777777" w:rsidR="0015427B" w:rsidRPr="0015427B" w:rsidRDefault="0015427B" w:rsidP="0015427B">
      <w:pPr>
        <w:spacing w:after="240"/>
        <w:rPr>
          <w:rFonts w:asciiTheme="minorHAnsi" w:hAnsiTheme="minorHAnsi"/>
          <w:b/>
          <w:sz w:val="24"/>
          <w:szCs w:val="24"/>
        </w:rPr>
      </w:pPr>
      <w:r w:rsidRPr="0015427B">
        <w:rPr>
          <w:rFonts w:asciiTheme="minorHAnsi" w:hAnsiTheme="minorHAnsi"/>
          <w:b/>
          <w:iCs/>
          <w:sz w:val="24"/>
          <w:szCs w:val="24"/>
        </w:rPr>
        <w:t>Line Item 3.B - Local Government Unit Indicators</w:t>
      </w:r>
    </w:p>
    <w:p w14:paraId="62230721" w14:textId="77777777" w:rsidR="0015427B" w:rsidRPr="0015427B" w:rsidRDefault="0015427B" w:rsidP="001C1E50">
      <w:pPr>
        <w:spacing w:after="120"/>
        <w:rPr>
          <w:rFonts w:asciiTheme="minorHAnsi" w:hAnsiTheme="minorHAnsi"/>
          <w:sz w:val="24"/>
          <w:szCs w:val="24"/>
        </w:rPr>
      </w:pPr>
      <w:r w:rsidRPr="0015427B">
        <w:rPr>
          <w:rFonts w:asciiTheme="minorHAnsi" w:hAnsiTheme="minorHAnsi"/>
          <w:sz w:val="24"/>
          <w:szCs w:val="24"/>
        </w:rPr>
        <w:t>Points will be awarded based on the Local Government Unit (LGU) indicators provided on the application form and how these indicators compare with the state benchmarks. For systems that serve multiple local government units, a weighted average of indicators will be used.</w:t>
      </w:r>
    </w:p>
    <w:p w14:paraId="74D55A1F" w14:textId="77777777" w:rsidR="0015427B" w:rsidRPr="0015427B" w:rsidRDefault="0015427B" w:rsidP="0015427B">
      <w:pPr>
        <w:pStyle w:val="ListParagraph"/>
        <w:numPr>
          <w:ilvl w:val="0"/>
          <w:numId w:val="13"/>
        </w:numPr>
        <w:spacing w:after="240"/>
        <w:rPr>
          <w:rFonts w:ascii="Calibri" w:hAnsi="Calibri"/>
          <w:sz w:val="24"/>
          <w:szCs w:val="24"/>
        </w:rPr>
      </w:pPr>
      <w:r w:rsidRPr="0015427B">
        <w:rPr>
          <w:rFonts w:ascii="Calibri" w:hAnsi="Calibri"/>
          <w:sz w:val="24"/>
          <w:szCs w:val="24"/>
        </w:rPr>
        <w:t>Percent population change</w:t>
      </w:r>
    </w:p>
    <w:p w14:paraId="37EF4EFF" w14:textId="77777777" w:rsidR="0015427B" w:rsidRPr="0015427B" w:rsidRDefault="0015427B" w:rsidP="0015427B">
      <w:pPr>
        <w:pStyle w:val="ListParagraph"/>
        <w:numPr>
          <w:ilvl w:val="0"/>
          <w:numId w:val="13"/>
        </w:numPr>
        <w:spacing w:after="240"/>
        <w:rPr>
          <w:rFonts w:ascii="Calibri" w:hAnsi="Calibri"/>
          <w:sz w:val="24"/>
          <w:szCs w:val="24"/>
        </w:rPr>
      </w:pPr>
      <w:r w:rsidRPr="0015427B">
        <w:rPr>
          <w:rFonts w:ascii="Calibri" w:hAnsi="Calibri"/>
          <w:sz w:val="24"/>
          <w:szCs w:val="24"/>
        </w:rPr>
        <w:t>Poverty rate</w:t>
      </w:r>
    </w:p>
    <w:p w14:paraId="72B670AA" w14:textId="77777777" w:rsidR="0015427B" w:rsidRPr="0015427B" w:rsidRDefault="0015427B" w:rsidP="0015427B">
      <w:pPr>
        <w:pStyle w:val="ListParagraph"/>
        <w:numPr>
          <w:ilvl w:val="0"/>
          <w:numId w:val="13"/>
        </w:numPr>
        <w:spacing w:after="240"/>
        <w:rPr>
          <w:rFonts w:ascii="Calibri" w:hAnsi="Calibri"/>
          <w:sz w:val="24"/>
          <w:szCs w:val="24"/>
        </w:rPr>
      </w:pPr>
      <w:r w:rsidRPr="0015427B">
        <w:rPr>
          <w:rFonts w:ascii="Calibri" w:hAnsi="Calibri"/>
          <w:sz w:val="24"/>
          <w:szCs w:val="24"/>
        </w:rPr>
        <w:t>Median household income</w:t>
      </w:r>
    </w:p>
    <w:p w14:paraId="77102FE6" w14:textId="77777777" w:rsidR="0010288F" w:rsidRDefault="0015427B" w:rsidP="0010288F">
      <w:pPr>
        <w:pStyle w:val="ListParagraph"/>
        <w:numPr>
          <w:ilvl w:val="0"/>
          <w:numId w:val="13"/>
        </w:numPr>
        <w:spacing w:after="240"/>
        <w:rPr>
          <w:rFonts w:ascii="Calibri" w:hAnsi="Calibri"/>
          <w:sz w:val="24"/>
          <w:szCs w:val="24"/>
        </w:rPr>
      </w:pPr>
      <w:r w:rsidRPr="0015427B">
        <w:rPr>
          <w:rFonts w:ascii="Calibri" w:hAnsi="Calibri"/>
          <w:sz w:val="24"/>
          <w:szCs w:val="24"/>
        </w:rPr>
        <w:t>Unemployment</w:t>
      </w:r>
    </w:p>
    <w:p w14:paraId="5136F609" w14:textId="7CF5A6E2" w:rsidR="005927AA" w:rsidRPr="0010288F" w:rsidRDefault="0015427B" w:rsidP="0010288F">
      <w:pPr>
        <w:pStyle w:val="ListParagraph"/>
        <w:numPr>
          <w:ilvl w:val="0"/>
          <w:numId w:val="13"/>
        </w:numPr>
        <w:spacing w:after="240"/>
        <w:rPr>
          <w:rFonts w:ascii="Calibri" w:hAnsi="Calibri"/>
          <w:sz w:val="24"/>
          <w:szCs w:val="24"/>
        </w:rPr>
      </w:pPr>
      <w:r w:rsidRPr="0010288F">
        <w:rPr>
          <w:rFonts w:ascii="Calibri" w:hAnsi="Calibri"/>
          <w:sz w:val="24"/>
          <w:szCs w:val="24"/>
        </w:rPr>
        <w:t>Property valuation per capita</w:t>
      </w:r>
    </w:p>
    <w:p w14:paraId="733CE82C" w14:textId="77777777" w:rsidR="00260470" w:rsidRDefault="00260470" w:rsidP="0010288F">
      <w:pPr>
        <w:spacing w:after="160" w:line="259" w:lineRule="auto"/>
        <w:rPr>
          <w:rFonts w:asciiTheme="minorHAnsi" w:hAnsiTheme="minorHAnsi"/>
          <w:b/>
          <w:sz w:val="24"/>
          <w:szCs w:val="24"/>
          <w:highlight w:val="yellow"/>
          <w:u w:val="single"/>
        </w:rPr>
      </w:pPr>
    </w:p>
    <w:p w14:paraId="62ECA37A" w14:textId="4E6F8881" w:rsidR="0010288F" w:rsidRPr="00260470" w:rsidRDefault="009B7513" w:rsidP="0010288F">
      <w:pPr>
        <w:spacing w:after="160" w:line="259" w:lineRule="auto"/>
        <w:rPr>
          <w:rFonts w:asciiTheme="minorHAnsi" w:hAnsiTheme="minorHAnsi"/>
          <w:b/>
          <w:sz w:val="24"/>
          <w:szCs w:val="24"/>
        </w:rPr>
      </w:pPr>
      <w:r w:rsidRPr="00260470">
        <w:rPr>
          <w:rFonts w:asciiTheme="minorHAnsi" w:hAnsiTheme="minorHAnsi"/>
          <w:b/>
          <w:sz w:val="24"/>
          <w:szCs w:val="24"/>
          <w:u w:val="single"/>
        </w:rPr>
        <w:t>M</w:t>
      </w:r>
      <w:r w:rsidR="00655800" w:rsidRPr="00260470">
        <w:rPr>
          <w:rFonts w:asciiTheme="minorHAnsi" w:hAnsiTheme="minorHAnsi"/>
          <w:b/>
          <w:sz w:val="24"/>
          <w:szCs w:val="24"/>
          <w:u w:val="single"/>
        </w:rPr>
        <w:t>atch Requirement</w:t>
      </w:r>
      <w:r w:rsidR="00260470">
        <w:rPr>
          <w:rFonts w:asciiTheme="minorHAnsi" w:hAnsiTheme="minorHAnsi"/>
          <w:b/>
          <w:sz w:val="24"/>
          <w:szCs w:val="24"/>
        </w:rPr>
        <w:t xml:space="preserve"> (change as of Spring 2022)</w:t>
      </w:r>
    </w:p>
    <w:p w14:paraId="057CD4A4" w14:textId="248F45C7" w:rsidR="00260470" w:rsidRPr="00260470" w:rsidRDefault="00260470" w:rsidP="001C1E50">
      <w:pPr>
        <w:spacing w:after="120" w:line="259" w:lineRule="auto"/>
        <w:rPr>
          <w:rFonts w:asciiTheme="minorHAnsi" w:hAnsiTheme="minorHAnsi"/>
          <w:sz w:val="24"/>
          <w:szCs w:val="24"/>
        </w:rPr>
      </w:pPr>
      <w:r w:rsidRPr="00260470">
        <w:rPr>
          <w:rFonts w:asciiTheme="minorHAnsi" w:hAnsiTheme="minorHAnsi"/>
          <w:sz w:val="24"/>
          <w:szCs w:val="24"/>
        </w:rPr>
        <w:t xml:space="preserve">A match is </w:t>
      </w:r>
      <w:r w:rsidRPr="00260470">
        <w:rPr>
          <w:rFonts w:asciiTheme="minorHAnsi" w:hAnsiTheme="minorHAnsi"/>
          <w:sz w:val="24"/>
          <w:szCs w:val="24"/>
          <w:u w:val="single"/>
        </w:rPr>
        <w:t>not</w:t>
      </w:r>
      <w:r w:rsidRPr="00260470">
        <w:rPr>
          <w:rFonts w:asciiTheme="minorHAnsi" w:hAnsiTheme="minorHAnsi"/>
          <w:sz w:val="24"/>
          <w:szCs w:val="24"/>
        </w:rPr>
        <w:t xml:space="preserve"> required for projects funded in this round.</w:t>
      </w:r>
    </w:p>
    <w:p w14:paraId="6B0402B0" w14:textId="435DA079" w:rsidR="00375BCF" w:rsidRDefault="00375BCF" w:rsidP="0010288F">
      <w:pPr>
        <w:spacing w:after="160" w:line="259" w:lineRule="auto"/>
        <w:rPr>
          <w:rFonts w:asciiTheme="minorHAnsi" w:hAnsiTheme="minorHAnsi"/>
          <w:sz w:val="24"/>
          <w:szCs w:val="24"/>
        </w:rPr>
      </w:pPr>
    </w:p>
    <w:p w14:paraId="3C83D1C2" w14:textId="18A8D2E2" w:rsidR="00655800" w:rsidRDefault="00375BCF" w:rsidP="0010288F">
      <w:pPr>
        <w:spacing w:after="160" w:line="259" w:lineRule="auto"/>
        <w:rPr>
          <w:rFonts w:asciiTheme="minorHAnsi" w:hAnsiTheme="minorHAnsi"/>
          <w:sz w:val="24"/>
          <w:szCs w:val="24"/>
        </w:rPr>
      </w:pPr>
      <w:r>
        <w:rPr>
          <w:rFonts w:asciiTheme="minorHAnsi" w:hAnsiTheme="minorHAnsi"/>
          <w:sz w:val="24"/>
          <w:szCs w:val="24"/>
        </w:rPr>
        <w:br w:type="page"/>
      </w:r>
    </w:p>
    <w:tbl>
      <w:tblPr>
        <w:tblpPr w:leftFromText="180" w:rightFromText="180" w:vertAnchor="text" w:horzAnchor="margin" w:tblpY="76"/>
        <w:tblW w:w="10098" w:type="dxa"/>
        <w:tblLook w:val="04A0" w:firstRow="1" w:lastRow="0" w:firstColumn="1" w:lastColumn="0" w:noHBand="0" w:noVBand="1"/>
      </w:tblPr>
      <w:tblGrid>
        <w:gridCol w:w="820"/>
        <w:gridCol w:w="7838"/>
        <w:gridCol w:w="1440"/>
      </w:tblGrid>
      <w:tr w:rsidR="00655800" w:rsidRPr="003127BD" w14:paraId="68989FC8" w14:textId="77777777" w:rsidTr="00AF4757">
        <w:trPr>
          <w:trHeight w:val="576"/>
        </w:trPr>
        <w:tc>
          <w:tcPr>
            <w:tcW w:w="1009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E896947" w14:textId="77777777" w:rsidR="00655800" w:rsidRPr="00A51C4C" w:rsidRDefault="00655800" w:rsidP="00AF4757">
            <w:pPr>
              <w:jc w:val="center"/>
              <w:rPr>
                <w:rFonts w:ascii="Calibri" w:hAnsi="Calibri" w:cs="Calibri"/>
                <w:b/>
                <w:bCs/>
                <w:color w:val="000000"/>
                <w:sz w:val="24"/>
                <w:szCs w:val="24"/>
              </w:rPr>
            </w:pPr>
            <w:r w:rsidRPr="00A51C4C">
              <w:rPr>
                <w:rFonts w:ascii="Calibri" w:hAnsi="Calibri" w:cs="Calibri"/>
                <w:b/>
                <w:bCs/>
                <w:color w:val="000000"/>
                <w:sz w:val="24"/>
                <w:szCs w:val="24"/>
              </w:rPr>
              <w:lastRenderedPageBreak/>
              <w:t>Asset Inventory and Assessment</w:t>
            </w:r>
            <w:r>
              <w:rPr>
                <w:rFonts w:ascii="Calibri" w:hAnsi="Calibri" w:cs="Calibri"/>
                <w:b/>
                <w:bCs/>
                <w:color w:val="000000"/>
                <w:sz w:val="24"/>
                <w:szCs w:val="24"/>
              </w:rPr>
              <w:t xml:space="preserve"> Grant</w:t>
            </w:r>
            <w:r w:rsidRPr="00A51C4C">
              <w:rPr>
                <w:rFonts w:ascii="Calibri" w:hAnsi="Calibri" w:cs="Calibri"/>
                <w:b/>
                <w:bCs/>
                <w:color w:val="000000"/>
                <w:sz w:val="24"/>
                <w:szCs w:val="24"/>
              </w:rPr>
              <w:t xml:space="preserve"> Priority Rating System</w:t>
            </w:r>
          </w:p>
        </w:tc>
      </w:tr>
      <w:tr w:rsidR="00655800" w:rsidRPr="003127BD" w14:paraId="47C04AEF" w14:textId="77777777" w:rsidTr="00AF4757">
        <w:trPr>
          <w:trHeight w:val="57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B770" w14:textId="77777777" w:rsidR="00655800" w:rsidRPr="003127BD" w:rsidRDefault="00655800" w:rsidP="00AF4757">
            <w:pPr>
              <w:jc w:val="center"/>
              <w:rPr>
                <w:rFonts w:ascii="Calibri" w:hAnsi="Calibri" w:cs="Calibri"/>
                <w:b/>
                <w:bCs/>
                <w:color w:val="000000"/>
                <w:szCs w:val="22"/>
              </w:rPr>
            </w:pPr>
            <w:r w:rsidRPr="003127BD">
              <w:rPr>
                <w:rFonts w:ascii="Calibri" w:hAnsi="Calibri" w:cs="Calibri"/>
                <w:b/>
                <w:bCs/>
                <w:color w:val="000000"/>
                <w:szCs w:val="22"/>
              </w:rPr>
              <w:t>Line Item #</w:t>
            </w:r>
          </w:p>
        </w:tc>
        <w:tc>
          <w:tcPr>
            <w:tcW w:w="7838" w:type="dxa"/>
            <w:tcBorders>
              <w:top w:val="single" w:sz="4" w:space="0" w:color="auto"/>
              <w:left w:val="nil"/>
              <w:bottom w:val="single" w:sz="4" w:space="0" w:color="auto"/>
              <w:right w:val="single" w:sz="4" w:space="0" w:color="auto"/>
            </w:tcBorders>
            <w:shd w:val="clear" w:color="auto" w:fill="auto"/>
            <w:noWrap/>
            <w:vAlign w:val="center"/>
            <w:hideMark/>
          </w:tcPr>
          <w:p w14:paraId="48282039" w14:textId="77777777" w:rsidR="00655800" w:rsidRPr="003127BD" w:rsidRDefault="00655800" w:rsidP="00AF4757">
            <w:pPr>
              <w:rPr>
                <w:rFonts w:ascii="Calibri" w:hAnsi="Calibri" w:cs="Calibri"/>
                <w:b/>
                <w:bCs/>
                <w:color w:val="000000"/>
                <w:szCs w:val="22"/>
              </w:rPr>
            </w:pPr>
            <w:r w:rsidRPr="003127BD">
              <w:rPr>
                <w:rFonts w:ascii="Calibri" w:hAnsi="Calibri" w:cs="Calibri"/>
                <w:b/>
                <w:bCs/>
                <w:color w:val="000000"/>
                <w:szCs w:val="22"/>
              </w:rPr>
              <w:t> </w:t>
            </w:r>
            <w:r>
              <w:rPr>
                <w:rFonts w:ascii="Calibri" w:hAnsi="Calibri" w:cs="Calibri"/>
                <w:b/>
                <w:bCs/>
                <w:color w:val="000000"/>
                <w:szCs w:val="22"/>
              </w:rPr>
              <w:t>Category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669110F" w14:textId="77777777" w:rsidR="00655800" w:rsidRPr="003127BD" w:rsidRDefault="00655800" w:rsidP="00AF4757">
            <w:pPr>
              <w:jc w:val="center"/>
              <w:rPr>
                <w:rFonts w:ascii="Calibri" w:hAnsi="Calibri" w:cs="Calibri"/>
                <w:b/>
                <w:bCs/>
                <w:color w:val="000000"/>
                <w:szCs w:val="22"/>
              </w:rPr>
            </w:pPr>
            <w:r w:rsidRPr="003127BD">
              <w:rPr>
                <w:rFonts w:ascii="Calibri" w:hAnsi="Calibri" w:cs="Calibri"/>
                <w:b/>
                <w:bCs/>
                <w:color w:val="000000"/>
                <w:szCs w:val="22"/>
              </w:rPr>
              <w:t>Points</w:t>
            </w:r>
          </w:p>
        </w:tc>
      </w:tr>
      <w:tr w:rsidR="00655800" w:rsidRPr="003127BD" w14:paraId="09C99FFE"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7078E8A" w14:textId="77777777" w:rsidR="00655800" w:rsidRPr="003127BD" w:rsidRDefault="00655800" w:rsidP="00AF4757">
            <w:pPr>
              <w:jc w:val="center"/>
              <w:rPr>
                <w:rFonts w:ascii="Calibri" w:hAnsi="Calibri" w:cs="Calibri"/>
                <w:b/>
                <w:color w:val="000000"/>
                <w:szCs w:val="22"/>
              </w:rPr>
            </w:pPr>
            <w:r>
              <w:rPr>
                <w:rFonts w:ascii="Calibri" w:hAnsi="Calibri" w:cs="Calibri"/>
                <w:b/>
                <w:color w:val="000000"/>
                <w:szCs w:val="22"/>
              </w:rPr>
              <w:t>1.</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40433" w14:textId="77777777" w:rsidR="00655800" w:rsidRPr="003127BD" w:rsidRDefault="00655800" w:rsidP="00AF4757">
            <w:pPr>
              <w:rPr>
                <w:rFonts w:ascii="Calibri" w:hAnsi="Calibri" w:cs="Calibri"/>
                <w:color w:val="000000"/>
                <w:szCs w:val="22"/>
              </w:rPr>
            </w:pPr>
            <w:r>
              <w:rPr>
                <w:rFonts w:ascii="Calibri" w:hAnsi="Calibri"/>
                <w:color w:val="000000"/>
                <w:szCs w:val="22"/>
              </w:rPr>
              <w:t>Project</w:t>
            </w:r>
            <w:r w:rsidRPr="005F355A">
              <w:rPr>
                <w:rFonts w:ascii="Calibri" w:hAnsi="Calibri"/>
                <w:color w:val="000000"/>
                <w:szCs w:val="22"/>
              </w:rPr>
              <w:t xml:space="preserve"> Benefits</w:t>
            </w:r>
          </w:p>
        </w:tc>
        <w:tc>
          <w:tcPr>
            <w:tcW w:w="1440" w:type="dxa"/>
            <w:tcBorders>
              <w:top w:val="nil"/>
              <w:left w:val="nil"/>
              <w:bottom w:val="single" w:sz="4" w:space="0" w:color="auto"/>
              <w:right w:val="single" w:sz="4" w:space="0" w:color="auto"/>
            </w:tcBorders>
            <w:shd w:val="clear" w:color="auto" w:fill="auto"/>
            <w:noWrap/>
            <w:vAlign w:val="center"/>
          </w:tcPr>
          <w:p w14:paraId="2751D79E" w14:textId="7E4EEE93" w:rsidR="00655800" w:rsidRPr="003127BD" w:rsidRDefault="00655800" w:rsidP="00AF4757">
            <w:pPr>
              <w:jc w:val="center"/>
              <w:rPr>
                <w:rFonts w:ascii="Calibri" w:hAnsi="Calibri" w:cs="Calibri"/>
                <w:color w:val="000000"/>
                <w:szCs w:val="22"/>
              </w:rPr>
            </w:pPr>
            <w:r>
              <w:rPr>
                <w:rFonts w:ascii="Calibri" w:hAnsi="Calibri"/>
                <w:color w:val="000000"/>
                <w:szCs w:val="22"/>
              </w:rPr>
              <w:t>0</w:t>
            </w:r>
            <w:r w:rsidR="00B94B93">
              <w:rPr>
                <w:rFonts w:ascii="Calibri" w:hAnsi="Calibri"/>
                <w:color w:val="000000"/>
                <w:szCs w:val="22"/>
              </w:rPr>
              <w:t xml:space="preserve"> - 8</w:t>
            </w:r>
          </w:p>
        </w:tc>
      </w:tr>
      <w:tr w:rsidR="005A67F3" w:rsidRPr="003127BD" w14:paraId="0471269F" w14:textId="77777777" w:rsidTr="005A67F3">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156160FF" w14:textId="12B394BA" w:rsidR="005A67F3" w:rsidRPr="005A67F3" w:rsidRDefault="005A67F3" w:rsidP="005A67F3">
            <w:pPr>
              <w:jc w:val="right"/>
              <w:rPr>
                <w:rFonts w:ascii="Calibri" w:hAnsi="Calibri" w:cs="Calibri"/>
                <w:color w:val="000000"/>
                <w:szCs w:val="22"/>
              </w:rPr>
            </w:pPr>
            <w:r>
              <w:rPr>
                <w:rFonts w:ascii="Calibri" w:hAnsi="Calibri" w:cs="Calibri"/>
                <w:color w:val="000000"/>
                <w:szCs w:val="22"/>
              </w:rPr>
              <w:t>1.A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3D2D25B" w14:textId="5FCFBF28" w:rsidR="005A67F3" w:rsidRPr="005A67F3" w:rsidRDefault="00907AB1" w:rsidP="00375BCF">
            <w:pPr>
              <w:spacing w:before="120" w:after="120"/>
              <w:ind w:left="288"/>
              <w:rPr>
                <w:rFonts w:ascii="Calibri" w:hAnsi="Calibri"/>
                <w:color w:val="000000"/>
                <w:szCs w:val="22"/>
              </w:rPr>
            </w:pPr>
            <w:r w:rsidRPr="00907AB1">
              <w:rPr>
                <w:rFonts w:ascii="Calibri" w:hAnsi="Calibri"/>
                <w:color w:val="000000"/>
                <w:szCs w:val="22"/>
              </w:rPr>
              <w:t>The LGU has been designated as “distressed” by the Authority and Commission, has initiated fulfilling the requirements outlined in 45(b), and continues to make adequate progress fulfilling the requirements outlined in 45(b) as determined by the Division. If it receives an AIA grant, the LGU commits to completing the grant in accordance with the requirements of the VU program.</w:t>
            </w:r>
            <w:r>
              <w:rPr>
                <w:rFonts w:ascii="Calibri" w:hAnsi="Calibri"/>
                <w:color w:val="000000"/>
                <w:szCs w:val="22"/>
              </w:rPr>
              <w:t xml:space="preserve"> </w:t>
            </w:r>
            <w:r w:rsidR="005A67F3" w:rsidRPr="005A67F3">
              <w:rPr>
                <w:rFonts w:ascii="Calibri" w:hAnsi="Calibri"/>
                <w:color w:val="000000"/>
                <w:szCs w:val="22"/>
              </w:rPr>
              <w:t>If it receives an AIA grant, the LGU commits to completing the grant in accordance with the requirements of the VU program</w:t>
            </w:r>
            <w:r>
              <w:rPr>
                <w:rFonts w:ascii="Calibri" w:hAnsi="Calibri"/>
                <w:color w:val="000000"/>
                <w:szCs w:val="22"/>
              </w:rPr>
              <w:t>.</w:t>
            </w:r>
          </w:p>
        </w:tc>
        <w:tc>
          <w:tcPr>
            <w:tcW w:w="1440" w:type="dxa"/>
            <w:tcBorders>
              <w:top w:val="nil"/>
              <w:left w:val="nil"/>
              <w:bottom w:val="single" w:sz="4" w:space="0" w:color="auto"/>
              <w:right w:val="single" w:sz="4" w:space="0" w:color="auto"/>
            </w:tcBorders>
            <w:shd w:val="clear" w:color="auto" w:fill="auto"/>
            <w:noWrap/>
            <w:vAlign w:val="center"/>
          </w:tcPr>
          <w:p w14:paraId="59DCBDFB" w14:textId="61EB5866" w:rsidR="005A67F3" w:rsidRPr="005A67F3" w:rsidRDefault="005A67F3" w:rsidP="005A67F3">
            <w:pPr>
              <w:jc w:val="center"/>
              <w:rPr>
                <w:rFonts w:ascii="Calibri" w:hAnsi="Calibri" w:cs="Calibri"/>
                <w:color w:val="000000"/>
                <w:szCs w:val="22"/>
              </w:rPr>
            </w:pPr>
            <w:r>
              <w:rPr>
                <w:rFonts w:ascii="Calibri" w:hAnsi="Calibri" w:cs="Calibri"/>
                <w:color w:val="000000"/>
                <w:szCs w:val="22"/>
              </w:rPr>
              <w:t>2</w:t>
            </w:r>
          </w:p>
        </w:tc>
      </w:tr>
      <w:tr w:rsidR="00655800" w:rsidRPr="003127BD" w14:paraId="157F106F"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70B93B7" w14:textId="77777777" w:rsidR="00655800" w:rsidRPr="003127BD" w:rsidRDefault="00655800" w:rsidP="00AF4757">
            <w:pPr>
              <w:jc w:val="center"/>
              <w:rPr>
                <w:rFonts w:ascii="Calibri" w:hAnsi="Calibri" w:cs="Calibri"/>
                <w:b/>
                <w:color w:val="000000"/>
                <w:szCs w:val="22"/>
              </w:rPr>
            </w:pPr>
            <w:r>
              <w:rPr>
                <w:rFonts w:ascii="Calibri" w:hAnsi="Calibri" w:cs="Calibri"/>
                <w:b/>
                <w:color w:val="000000"/>
                <w:szCs w:val="22"/>
              </w:rPr>
              <w:t>2.</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E8F0D" w14:textId="77777777" w:rsidR="00655800" w:rsidRPr="003127BD" w:rsidRDefault="00655800" w:rsidP="00AF4757">
            <w:pPr>
              <w:rPr>
                <w:rFonts w:ascii="Calibri" w:hAnsi="Calibri" w:cs="Calibri"/>
                <w:color w:val="000000"/>
                <w:szCs w:val="22"/>
              </w:rPr>
            </w:pPr>
            <w:r w:rsidRPr="005F355A">
              <w:rPr>
                <w:rFonts w:ascii="Calibri" w:hAnsi="Calibri"/>
                <w:color w:val="000000"/>
                <w:szCs w:val="22"/>
              </w:rPr>
              <w:t>System Management</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3F32A8B5" w14:textId="77777777" w:rsidR="00655800" w:rsidRPr="003127BD" w:rsidRDefault="00655800" w:rsidP="00AF4757">
            <w:pPr>
              <w:jc w:val="center"/>
              <w:rPr>
                <w:rFonts w:ascii="Calibri" w:hAnsi="Calibri" w:cs="Calibri"/>
                <w:color w:val="000000"/>
                <w:szCs w:val="22"/>
              </w:rPr>
            </w:pPr>
          </w:p>
        </w:tc>
      </w:tr>
      <w:tr w:rsidR="00655800" w:rsidRPr="003127BD" w14:paraId="260F5701"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46A61C49"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2.A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D97EB91" w14:textId="77777777" w:rsidR="00655800" w:rsidRPr="00375BCF" w:rsidRDefault="00655800" w:rsidP="00375BCF">
            <w:pPr>
              <w:spacing w:before="120" w:after="120"/>
              <w:ind w:left="288"/>
              <w:rPr>
                <w:rFonts w:ascii="Calibri" w:hAnsi="Calibri"/>
                <w:color w:val="000000"/>
                <w:szCs w:val="22"/>
              </w:rPr>
            </w:pPr>
            <w:r w:rsidRPr="005F355A">
              <w:rPr>
                <w:rFonts w:ascii="Calibri" w:hAnsi="Calibri"/>
                <w:color w:val="000000"/>
                <w:szCs w:val="22"/>
              </w:rPr>
              <w:t>Knowledge base of</w:t>
            </w:r>
            <w:r>
              <w:rPr>
                <w:rFonts w:ascii="Calibri" w:hAnsi="Calibri"/>
                <w:color w:val="000000"/>
                <w:szCs w:val="22"/>
              </w:rPr>
              <w:t xml:space="preserve"> utility’s </w:t>
            </w:r>
            <w:r w:rsidRPr="005F355A">
              <w:rPr>
                <w:rFonts w:ascii="Calibri" w:hAnsi="Calibri"/>
                <w:color w:val="000000"/>
                <w:szCs w:val="22"/>
              </w:rPr>
              <w:t xml:space="preserve">internal asset management team </w:t>
            </w:r>
          </w:p>
        </w:tc>
        <w:tc>
          <w:tcPr>
            <w:tcW w:w="1440" w:type="dxa"/>
            <w:tcBorders>
              <w:top w:val="nil"/>
              <w:left w:val="nil"/>
              <w:bottom w:val="single" w:sz="4" w:space="0" w:color="auto"/>
              <w:right w:val="single" w:sz="4" w:space="0" w:color="auto"/>
            </w:tcBorders>
            <w:shd w:val="clear" w:color="auto" w:fill="auto"/>
            <w:noWrap/>
            <w:vAlign w:val="center"/>
          </w:tcPr>
          <w:p w14:paraId="78350BB7" w14:textId="11EC4D67" w:rsidR="00655800" w:rsidRPr="003127BD" w:rsidRDefault="00655800" w:rsidP="00AF4757">
            <w:pPr>
              <w:jc w:val="center"/>
              <w:rPr>
                <w:rFonts w:ascii="Calibri" w:hAnsi="Calibri" w:cs="Calibri"/>
                <w:color w:val="000000"/>
                <w:szCs w:val="22"/>
              </w:rPr>
            </w:pPr>
            <w:r w:rsidRPr="005F355A">
              <w:rPr>
                <w:rFonts w:ascii="Calibri" w:hAnsi="Calibri"/>
                <w:color w:val="000000"/>
                <w:szCs w:val="22"/>
              </w:rPr>
              <w:t>0</w:t>
            </w:r>
            <w:r w:rsidR="00B94B93">
              <w:rPr>
                <w:rFonts w:ascii="Calibri" w:hAnsi="Calibri"/>
                <w:color w:val="000000"/>
                <w:szCs w:val="22"/>
              </w:rPr>
              <w:t xml:space="preserve"> - </w:t>
            </w:r>
            <w:r w:rsidRPr="005F355A">
              <w:rPr>
                <w:rFonts w:ascii="Calibri" w:hAnsi="Calibri"/>
                <w:color w:val="000000"/>
                <w:szCs w:val="22"/>
              </w:rPr>
              <w:t>4</w:t>
            </w:r>
          </w:p>
        </w:tc>
      </w:tr>
      <w:tr w:rsidR="00655800" w:rsidRPr="003127BD" w14:paraId="7A82C000"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35898E04"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2.B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791A0252" w14:textId="77777777" w:rsidR="00655800" w:rsidRPr="00375BCF" w:rsidRDefault="00655800" w:rsidP="00375BCF">
            <w:pPr>
              <w:spacing w:before="120" w:after="120"/>
              <w:ind w:left="288"/>
              <w:rPr>
                <w:rFonts w:ascii="Calibri" w:hAnsi="Calibri"/>
                <w:color w:val="000000"/>
                <w:szCs w:val="22"/>
              </w:rPr>
            </w:pPr>
            <w:r w:rsidRPr="005F355A">
              <w:rPr>
                <w:rFonts w:ascii="Calibri" w:hAnsi="Calibri"/>
                <w:color w:val="000000"/>
                <w:szCs w:val="22"/>
              </w:rPr>
              <w:t xml:space="preserve">Current and past rate setting practices, CIPs, etc. </w:t>
            </w:r>
          </w:p>
        </w:tc>
        <w:tc>
          <w:tcPr>
            <w:tcW w:w="1440" w:type="dxa"/>
            <w:tcBorders>
              <w:top w:val="nil"/>
              <w:left w:val="nil"/>
              <w:bottom w:val="single" w:sz="4" w:space="0" w:color="auto"/>
              <w:right w:val="single" w:sz="4" w:space="0" w:color="auto"/>
            </w:tcBorders>
            <w:shd w:val="clear" w:color="auto" w:fill="auto"/>
            <w:noWrap/>
            <w:vAlign w:val="center"/>
          </w:tcPr>
          <w:p w14:paraId="75D7FFF1" w14:textId="77777777" w:rsidR="00655800" w:rsidRPr="003127BD" w:rsidRDefault="00655800" w:rsidP="00AF4757">
            <w:pPr>
              <w:jc w:val="center"/>
              <w:rPr>
                <w:rFonts w:ascii="Calibri" w:hAnsi="Calibri" w:cs="Calibri"/>
                <w:color w:val="000000"/>
                <w:szCs w:val="22"/>
              </w:rPr>
            </w:pPr>
            <w:r w:rsidRPr="005F355A">
              <w:rPr>
                <w:rFonts w:ascii="Calibri" w:hAnsi="Calibri"/>
                <w:color w:val="000000"/>
                <w:szCs w:val="22"/>
              </w:rPr>
              <w:t>0, 1, or 2</w:t>
            </w:r>
          </w:p>
        </w:tc>
      </w:tr>
      <w:tr w:rsidR="00655800" w:rsidRPr="003127BD" w14:paraId="008BA3AC"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050CBF28"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2.C</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50E1E72" w14:textId="77777777" w:rsidR="00655800" w:rsidRPr="00375BCF" w:rsidRDefault="00655800" w:rsidP="00375BCF">
            <w:pPr>
              <w:spacing w:before="120" w:after="120"/>
              <w:ind w:left="288"/>
              <w:rPr>
                <w:rFonts w:ascii="Calibri" w:hAnsi="Calibri"/>
                <w:color w:val="000000"/>
                <w:szCs w:val="22"/>
              </w:rPr>
            </w:pPr>
            <w:r>
              <w:rPr>
                <w:rFonts w:ascii="Calibri" w:hAnsi="Calibri"/>
                <w:color w:val="000000"/>
                <w:szCs w:val="22"/>
              </w:rPr>
              <w:t>Management of asset inventory data</w:t>
            </w:r>
          </w:p>
        </w:tc>
        <w:tc>
          <w:tcPr>
            <w:tcW w:w="1440" w:type="dxa"/>
            <w:tcBorders>
              <w:top w:val="nil"/>
              <w:left w:val="nil"/>
              <w:bottom w:val="single" w:sz="4" w:space="0" w:color="auto"/>
              <w:right w:val="single" w:sz="4" w:space="0" w:color="auto"/>
            </w:tcBorders>
            <w:shd w:val="clear" w:color="auto" w:fill="auto"/>
            <w:noWrap/>
            <w:vAlign w:val="center"/>
          </w:tcPr>
          <w:p w14:paraId="19B2EF1B" w14:textId="1A0561E2" w:rsidR="00655800" w:rsidRPr="003127BD" w:rsidRDefault="00655800" w:rsidP="00AF4757">
            <w:pPr>
              <w:jc w:val="center"/>
              <w:rPr>
                <w:rFonts w:ascii="Calibri" w:hAnsi="Calibri" w:cs="Calibri"/>
                <w:color w:val="000000"/>
                <w:szCs w:val="22"/>
              </w:rPr>
            </w:pPr>
            <w:r w:rsidRPr="005F355A">
              <w:rPr>
                <w:rFonts w:ascii="Calibri" w:hAnsi="Calibri"/>
                <w:color w:val="000000"/>
                <w:szCs w:val="22"/>
              </w:rPr>
              <w:t>0</w:t>
            </w:r>
            <w:r w:rsidR="00B94B93">
              <w:rPr>
                <w:rFonts w:ascii="Calibri" w:hAnsi="Calibri"/>
                <w:color w:val="000000"/>
                <w:szCs w:val="22"/>
              </w:rPr>
              <w:t xml:space="preserve"> - </w:t>
            </w:r>
            <w:r w:rsidRPr="005F355A">
              <w:rPr>
                <w:rFonts w:ascii="Calibri" w:hAnsi="Calibri"/>
                <w:color w:val="000000"/>
                <w:szCs w:val="22"/>
              </w:rPr>
              <w:t>4</w:t>
            </w:r>
          </w:p>
        </w:tc>
      </w:tr>
      <w:tr w:rsidR="00655800" w:rsidRPr="003127BD" w14:paraId="033E8504"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0812AE31"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2.D</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FB143D3" w14:textId="77777777" w:rsidR="00655800" w:rsidRPr="003127BD" w:rsidRDefault="00655800" w:rsidP="00375BCF">
            <w:pPr>
              <w:spacing w:before="120" w:after="120"/>
              <w:ind w:left="288"/>
              <w:rPr>
                <w:rFonts w:ascii="Calibri" w:hAnsi="Calibri" w:cs="Calibri"/>
                <w:color w:val="000000"/>
                <w:szCs w:val="22"/>
              </w:rPr>
            </w:pPr>
            <w:r w:rsidRPr="005F355A">
              <w:rPr>
                <w:rFonts w:ascii="Calibri" w:hAnsi="Calibri"/>
                <w:color w:val="000000"/>
                <w:szCs w:val="22"/>
              </w:rPr>
              <w:t>O</w:t>
            </w:r>
            <w:r>
              <w:rPr>
                <w:rFonts w:ascii="Calibri" w:hAnsi="Calibri"/>
                <w:color w:val="000000"/>
                <w:szCs w:val="22"/>
              </w:rPr>
              <w:t xml:space="preserve">perating Ratio (OR) </w:t>
            </w:r>
            <w:r w:rsidRPr="005F355A">
              <w:rPr>
                <w:rFonts w:ascii="Calibri" w:hAnsi="Calibri"/>
                <w:color w:val="000000"/>
                <w:szCs w:val="22"/>
              </w:rPr>
              <w:t>is greater than or equal to 1.00 based on a current audit, or is less than 1.00</w:t>
            </w:r>
            <w:r w:rsidR="00D36D8F">
              <w:rPr>
                <w:rFonts w:ascii="Calibri" w:hAnsi="Calibri"/>
                <w:color w:val="000000"/>
                <w:szCs w:val="22"/>
              </w:rPr>
              <w:t xml:space="preserve"> and water/sewer r</w:t>
            </w:r>
            <w:r w:rsidR="00E32E7A">
              <w:rPr>
                <w:rFonts w:ascii="Calibri" w:hAnsi="Calibri"/>
                <w:color w:val="000000"/>
                <w:szCs w:val="22"/>
              </w:rPr>
              <w:t>ates are greater than $47/month</w:t>
            </w:r>
          </w:p>
        </w:tc>
        <w:tc>
          <w:tcPr>
            <w:tcW w:w="1440" w:type="dxa"/>
            <w:tcBorders>
              <w:top w:val="nil"/>
              <w:left w:val="nil"/>
              <w:bottom w:val="single" w:sz="4" w:space="0" w:color="auto"/>
              <w:right w:val="single" w:sz="4" w:space="0" w:color="auto"/>
            </w:tcBorders>
            <w:shd w:val="clear" w:color="auto" w:fill="auto"/>
            <w:noWrap/>
            <w:vAlign w:val="center"/>
          </w:tcPr>
          <w:p w14:paraId="5E83D991" w14:textId="77777777" w:rsidR="00655800" w:rsidRPr="003127BD" w:rsidRDefault="00655800" w:rsidP="00AF4757">
            <w:pPr>
              <w:jc w:val="center"/>
              <w:rPr>
                <w:rFonts w:ascii="Calibri" w:hAnsi="Calibri" w:cs="Calibri"/>
                <w:color w:val="000000"/>
                <w:szCs w:val="22"/>
              </w:rPr>
            </w:pPr>
            <w:r w:rsidRPr="005F355A">
              <w:rPr>
                <w:rFonts w:ascii="Calibri" w:hAnsi="Calibri"/>
                <w:color w:val="000000"/>
                <w:szCs w:val="22"/>
              </w:rPr>
              <w:t>0, 1, or 2</w:t>
            </w:r>
          </w:p>
        </w:tc>
      </w:tr>
      <w:tr w:rsidR="00655800" w:rsidRPr="003127BD" w14:paraId="3943C82F"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081AF2A" w14:textId="77777777" w:rsidR="00655800" w:rsidRPr="003127BD" w:rsidRDefault="00655800" w:rsidP="00AF4757">
            <w:pPr>
              <w:jc w:val="center"/>
              <w:rPr>
                <w:rFonts w:ascii="Calibri" w:hAnsi="Calibri" w:cs="Calibri"/>
                <w:b/>
                <w:color w:val="000000"/>
                <w:szCs w:val="22"/>
              </w:rPr>
            </w:pPr>
            <w:r>
              <w:rPr>
                <w:rFonts w:ascii="Calibri" w:hAnsi="Calibri" w:cs="Calibri"/>
                <w:b/>
                <w:color w:val="000000"/>
                <w:szCs w:val="22"/>
              </w:rPr>
              <w:t>3.</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29A764" w14:textId="77777777" w:rsidR="00655800" w:rsidRPr="003127BD" w:rsidRDefault="00655800" w:rsidP="00AF4757">
            <w:pPr>
              <w:rPr>
                <w:rFonts w:ascii="Calibri" w:hAnsi="Calibri" w:cs="Calibri"/>
                <w:color w:val="000000"/>
                <w:szCs w:val="22"/>
              </w:rPr>
            </w:pPr>
            <w:r w:rsidRPr="00381AB7">
              <w:rPr>
                <w:rFonts w:ascii="Calibri" w:hAnsi="Calibri"/>
                <w:color w:val="000000"/>
                <w:szCs w:val="22"/>
              </w:rPr>
              <w:t>Affordability</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B077C9A" w14:textId="77777777" w:rsidR="00655800" w:rsidRPr="003127BD" w:rsidRDefault="00655800" w:rsidP="00AF4757">
            <w:pPr>
              <w:jc w:val="center"/>
              <w:rPr>
                <w:rFonts w:ascii="Calibri" w:hAnsi="Calibri" w:cs="Calibri"/>
                <w:color w:val="000000"/>
                <w:szCs w:val="22"/>
              </w:rPr>
            </w:pPr>
          </w:p>
        </w:tc>
      </w:tr>
      <w:tr w:rsidR="00655800" w:rsidRPr="003127BD" w14:paraId="0C090C65" w14:textId="77777777" w:rsidTr="00AF4757">
        <w:trPr>
          <w:trHeight w:val="635"/>
        </w:trPr>
        <w:tc>
          <w:tcPr>
            <w:tcW w:w="820" w:type="dxa"/>
            <w:tcBorders>
              <w:top w:val="nil"/>
              <w:left w:val="single" w:sz="4" w:space="0" w:color="auto"/>
              <w:bottom w:val="single" w:sz="4" w:space="0" w:color="auto"/>
              <w:right w:val="single" w:sz="4" w:space="0" w:color="auto"/>
            </w:tcBorders>
            <w:shd w:val="clear" w:color="auto" w:fill="auto"/>
            <w:vAlign w:val="center"/>
          </w:tcPr>
          <w:p w14:paraId="78637B4D"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3.A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B7E3D13" w14:textId="77777777" w:rsidR="00655800" w:rsidRPr="003127BD" w:rsidRDefault="00655800" w:rsidP="00375BCF">
            <w:pPr>
              <w:spacing w:before="120" w:after="120"/>
              <w:ind w:left="288"/>
              <w:rPr>
                <w:rFonts w:ascii="Calibri" w:hAnsi="Calibri" w:cs="Calibri"/>
                <w:color w:val="000000"/>
                <w:szCs w:val="22"/>
              </w:rPr>
            </w:pPr>
            <w:r>
              <w:rPr>
                <w:rFonts w:ascii="Calibri" w:hAnsi="Calibri" w:cs="Calibri"/>
                <w:szCs w:val="22"/>
              </w:rPr>
              <w:t>Current Monthly Utility Rate at 5,000 gallons usage</w:t>
            </w:r>
          </w:p>
        </w:tc>
        <w:tc>
          <w:tcPr>
            <w:tcW w:w="1440" w:type="dxa"/>
            <w:tcBorders>
              <w:top w:val="nil"/>
              <w:left w:val="nil"/>
              <w:bottom w:val="single" w:sz="4" w:space="0" w:color="auto"/>
              <w:right w:val="single" w:sz="4" w:space="0" w:color="auto"/>
            </w:tcBorders>
            <w:shd w:val="clear" w:color="auto" w:fill="auto"/>
            <w:noWrap/>
            <w:vAlign w:val="center"/>
          </w:tcPr>
          <w:p w14:paraId="54F9BE5E" w14:textId="77777777" w:rsidR="00655800" w:rsidRPr="003127BD" w:rsidRDefault="00655800" w:rsidP="00AF4757">
            <w:pPr>
              <w:jc w:val="center"/>
              <w:rPr>
                <w:rFonts w:ascii="Calibri" w:hAnsi="Calibri" w:cs="Calibri"/>
                <w:color w:val="000000"/>
                <w:szCs w:val="22"/>
              </w:rPr>
            </w:pPr>
            <w:r w:rsidRPr="005F355A">
              <w:rPr>
                <w:rFonts w:ascii="Calibri" w:hAnsi="Calibri"/>
                <w:color w:val="000000"/>
                <w:szCs w:val="22"/>
              </w:rPr>
              <w:t>0, 1, or 2</w:t>
            </w:r>
          </w:p>
        </w:tc>
      </w:tr>
      <w:tr w:rsidR="00655800" w:rsidRPr="003127BD" w14:paraId="42997894"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522D35EA"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3.B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2B7A26D4" w14:textId="77777777" w:rsidR="00655800" w:rsidRPr="005F355A" w:rsidRDefault="00655800" w:rsidP="00375BCF">
            <w:pPr>
              <w:spacing w:before="120" w:after="120"/>
              <w:ind w:left="288"/>
              <w:rPr>
                <w:rFonts w:ascii="Calibri" w:hAnsi="Calibri" w:cs="Calibri"/>
                <w:color w:val="000000"/>
                <w:szCs w:val="22"/>
              </w:rPr>
            </w:pPr>
            <w:r w:rsidRPr="005F355A">
              <w:rPr>
                <w:rFonts w:ascii="Calibri" w:hAnsi="Calibri"/>
                <w:color w:val="000000"/>
                <w:szCs w:val="22"/>
              </w:rPr>
              <w:t>L</w:t>
            </w:r>
            <w:r>
              <w:rPr>
                <w:rFonts w:ascii="Calibri" w:hAnsi="Calibri"/>
                <w:color w:val="000000"/>
                <w:szCs w:val="22"/>
              </w:rPr>
              <w:t xml:space="preserve">ocal </w:t>
            </w:r>
            <w:r w:rsidRPr="005F355A">
              <w:rPr>
                <w:rFonts w:ascii="Calibri" w:hAnsi="Calibri"/>
                <w:color w:val="000000"/>
                <w:szCs w:val="22"/>
              </w:rPr>
              <w:t>G</w:t>
            </w:r>
            <w:r>
              <w:rPr>
                <w:rFonts w:ascii="Calibri" w:hAnsi="Calibri"/>
                <w:color w:val="000000"/>
                <w:szCs w:val="22"/>
              </w:rPr>
              <w:t xml:space="preserve">overnment </w:t>
            </w:r>
            <w:r w:rsidRPr="005F355A">
              <w:rPr>
                <w:rFonts w:ascii="Calibri" w:hAnsi="Calibri"/>
                <w:color w:val="000000"/>
                <w:szCs w:val="22"/>
              </w:rPr>
              <w:t>U</w:t>
            </w:r>
            <w:r>
              <w:rPr>
                <w:rFonts w:ascii="Calibri" w:hAnsi="Calibri"/>
                <w:color w:val="000000"/>
                <w:szCs w:val="22"/>
              </w:rPr>
              <w:t>nit (LGU) Indicators</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8305E2C" w14:textId="77777777" w:rsidR="00655800" w:rsidRPr="005F355A" w:rsidRDefault="00655800" w:rsidP="00AF4757">
            <w:pPr>
              <w:jc w:val="center"/>
              <w:rPr>
                <w:rFonts w:ascii="Calibri" w:hAnsi="Calibri" w:cs="Calibri"/>
                <w:color w:val="000000"/>
                <w:szCs w:val="22"/>
              </w:rPr>
            </w:pPr>
          </w:p>
        </w:tc>
      </w:tr>
      <w:tr w:rsidR="00655800" w:rsidRPr="003127BD" w14:paraId="2BB05617"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14B3A142"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3.B.1</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A3E0C23" w14:textId="77777777" w:rsidR="00655800" w:rsidRPr="007F6A8E" w:rsidRDefault="00655800" w:rsidP="00375BCF">
            <w:pPr>
              <w:spacing w:before="120" w:after="120"/>
              <w:ind w:left="576"/>
              <w:rPr>
                <w:rFonts w:ascii="Calibri" w:hAnsi="Calibri"/>
                <w:b/>
                <w:color w:val="000000"/>
                <w:szCs w:val="22"/>
              </w:rPr>
            </w:pPr>
            <w:r w:rsidRPr="005F355A">
              <w:rPr>
                <w:rFonts w:ascii="Calibri" w:hAnsi="Calibri"/>
                <w:color w:val="000000"/>
                <w:szCs w:val="22"/>
              </w:rPr>
              <w:t xml:space="preserve">3 out of 5 LGU </w:t>
            </w:r>
            <w:r>
              <w:rPr>
                <w:rFonts w:ascii="Calibri" w:hAnsi="Calibri"/>
                <w:color w:val="000000"/>
                <w:szCs w:val="22"/>
              </w:rPr>
              <w:t>indicators are worse than the</w:t>
            </w:r>
            <w:r w:rsidRPr="005F355A">
              <w:rPr>
                <w:rFonts w:ascii="Calibri" w:hAnsi="Calibri"/>
                <w:color w:val="000000"/>
                <w:szCs w:val="22"/>
              </w:rPr>
              <w:t xml:space="preserve"> state benchmark </w:t>
            </w:r>
            <w:r>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4964662B" w14:textId="77777777" w:rsidR="00655800" w:rsidRPr="005F355A" w:rsidRDefault="00655800" w:rsidP="00AF4757">
            <w:pPr>
              <w:jc w:val="center"/>
              <w:rPr>
                <w:rFonts w:ascii="Calibri" w:hAnsi="Calibri" w:cs="Calibri"/>
                <w:color w:val="000000"/>
                <w:szCs w:val="22"/>
              </w:rPr>
            </w:pPr>
            <w:r w:rsidRPr="005F355A">
              <w:rPr>
                <w:rFonts w:ascii="Calibri" w:hAnsi="Calibri"/>
                <w:color w:val="000000"/>
                <w:szCs w:val="22"/>
              </w:rPr>
              <w:t>0</w:t>
            </w:r>
          </w:p>
        </w:tc>
      </w:tr>
      <w:tr w:rsidR="00655800" w:rsidRPr="003127BD" w14:paraId="0EC5F66F"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6E37B5C"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3.B.2</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0004B72" w14:textId="77777777" w:rsidR="00655800" w:rsidRPr="007F6A8E" w:rsidRDefault="00655800" w:rsidP="00375BCF">
            <w:pPr>
              <w:spacing w:before="120" w:after="120"/>
              <w:ind w:left="576"/>
              <w:rPr>
                <w:rFonts w:ascii="Calibri" w:hAnsi="Calibri" w:cs="Calibri"/>
                <w:b/>
                <w:color w:val="000000"/>
                <w:szCs w:val="22"/>
              </w:rPr>
            </w:pPr>
            <w:r w:rsidRPr="005F355A">
              <w:rPr>
                <w:rFonts w:ascii="Calibri" w:hAnsi="Calibri"/>
                <w:color w:val="000000"/>
                <w:szCs w:val="22"/>
              </w:rPr>
              <w:t xml:space="preserve">4 out of 5 LGU </w:t>
            </w:r>
            <w:r>
              <w:rPr>
                <w:rFonts w:ascii="Calibri" w:hAnsi="Calibri"/>
                <w:color w:val="000000"/>
                <w:szCs w:val="22"/>
              </w:rPr>
              <w:t>indicators are worse than the</w:t>
            </w:r>
            <w:r w:rsidRPr="005F355A">
              <w:rPr>
                <w:rFonts w:ascii="Calibri" w:hAnsi="Calibri"/>
                <w:color w:val="000000"/>
                <w:szCs w:val="22"/>
              </w:rPr>
              <w:t xml:space="preserve"> state benchmark</w:t>
            </w:r>
            <w:r>
              <w:rPr>
                <w:rFonts w:ascii="Calibri" w:hAnsi="Calibri"/>
                <w:color w:val="000000"/>
                <w:szCs w:val="22"/>
              </w:rPr>
              <w:t xml:space="preserve"> </w:t>
            </w:r>
            <w:r>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265B11C8" w14:textId="77777777" w:rsidR="00655800" w:rsidRPr="005F355A" w:rsidRDefault="00655800" w:rsidP="00AF4757">
            <w:pPr>
              <w:jc w:val="center"/>
              <w:rPr>
                <w:rFonts w:ascii="Calibri" w:hAnsi="Calibri" w:cs="Calibri"/>
                <w:color w:val="000000"/>
                <w:szCs w:val="22"/>
              </w:rPr>
            </w:pPr>
            <w:r w:rsidRPr="005F355A">
              <w:rPr>
                <w:rFonts w:ascii="Calibri" w:hAnsi="Calibri"/>
                <w:color w:val="000000"/>
                <w:szCs w:val="22"/>
              </w:rPr>
              <w:t>1</w:t>
            </w:r>
          </w:p>
        </w:tc>
      </w:tr>
      <w:tr w:rsidR="00655800" w:rsidRPr="003127BD" w14:paraId="2DF9D80B" w14:textId="77777777" w:rsidTr="00AF4757">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BA3E" w14:textId="77777777" w:rsidR="00655800" w:rsidRPr="003A5E3F" w:rsidRDefault="00655800" w:rsidP="00AF4757">
            <w:pPr>
              <w:jc w:val="right"/>
              <w:rPr>
                <w:rFonts w:ascii="Calibri" w:hAnsi="Calibri" w:cs="Calibri"/>
                <w:color w:val="000000"/>
                <w:szCs w:val="22"/>
              </w:rPr>
            </w:pPr>
            <w:r w:rsidRPr="003A5E3F">
              <w:rPr>
                <w:rFonts w:ascii="Calibri" w:hAnsi="Calibri" w:cs="Calibri"/>
                <w:color w:val="000000"/>
                <w:szCs w:val="22"/>
              </w:rPr>
              <w:t>3.B.3</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A74C606" w14:textId="77777777" w:rsidR="00655800" w:rsidRPr="007F6A8E" w:rsidRDefault="00655800" w:rsidP="00375BCF">
            <w:pPr>
              <w:spacing w:before="120" w:after="120"/>
              <w:ind w:left="576"/>
              <w:rPr>
                <w:rFonts w:ascii="Calibri" w:hAnsi="Calibri" w:cs="Calibri"/>
                <w:b/>
                <w:color w:val="000000"/>
                <w:szCs w:val="22"/>
              </w:rPr>
            </w:pPr>
            <w:r w:rsidRPr="005F355A">
              <w:rPr>
                <w:rFonts w:ascii="Calibri" w:hAnsi="Calibri"/>
                <w:color w:val="000000"/>
                <w:szCs w:val="22"/>
              </w:rPr>
              <w:t xml:space="preserve">5 out of 5 LGU </w:t>
            </w:r>
            <w:r>
              <w:rPr>
                <w:rFonts w:ascii="Calibri" w:hAnsi="Calibri"/>
                <w:color w:val="000000"/>
                <w:szCs w:val="22"/>
              </w:rPr>
              <w:t>indicators are worse than the</w:t>
            </w:r>
            <w:r w:rsidRPr="005F355A">
              <w:rPr>
                <w:rFonts w:ascii="Calibri" w:hAnsi="Calibri"/>
                <w:color w:val="000000"/>
                <w:szCs w:val="22"/>
              </w:rPr>
              <w:t xml:space="preserve"> state benchmark</w:t>
            </w:r>
            <w:r>
              <w:rPr>
                <w:rFonts w:ascii="Calibri" w:hAnsi="Calibri"/>
                <w:color w:val="000000"/>
                <w:szCs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DDA46E" w14:textId="77777777" w:rsidR="00655800" w:rsidRPr="005F355A" w:rsidRDefault="00655800" w:rsidP="00AF4757">
            <w:pPr>
              <w:jc w:val="center"/>
              <w:rPr>
                <w:rFonts w:ascii="Calibri" w:hAnsi="Calibri" w:cs="Calibri"/>
                <w:color w:val="000000"/>
                <w:szCs w:val="22"/>
              </w:rPr>
            </w:pPr>
            <w:r w:rsidRPr="005F355A">
              <w:rPr>
                <w:rFonts w:ascii="Calibri" w:hAnsi="Calibri"/>
                <w:color w:val="000000"/>
                <w:szCs w:val="22"/>
              </w:rPr>
              <w:t>2</w:t>
            </w:r>
          </w:p>
        </w:tc>
      </w:tr>
      <w:tr w:rsidR="00655800" w:rsidRPr="003127BD" w14:paraId="3D07B48D" w14:textId="77777777" w:rsidTr="00AF4757">
        <w:trPr>
          <w:trHeight w:val="504"/>
        </w:trPr>
        <w:tc>
          <w:tcPr>
            <w:tcW w:w="8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1EDCB" w14:textId="77777777" w:rsidR="00655800" w:rsidRPr="002A4F80" w:rsidRDefault="00655800" w:rsidP="00AF4757">
            <w:pPr>
              <w:jc w:val="right"/>
              <w:rPr>
                <w:rFonts w:ascii="Calibri" w:hAnsi="Calibri"/>
                <w:b/>
                <w:color w:val="000000"/>
                <w:szCs w:val="22"/>
              </w:rPr>
            </w:pPr>
            <w:r w:rsidRPr="002A4F80">
              <w:rPr>
                <w:rFonts w:ascii="Calibri" w:hAnsi="Calibri"/>
                <w:b/>
                <w:color w:val="000000"/>
                <w:szCs w:val="22"/>
              </w:rPr>
              <w:t>Total Points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A6C6FBE" w14:textId="77777777" w:rsidR="00655800" w:rsidRPr="002A4F80" w:rsidRDefault="00655800" w:rsidP="00AF4757">
            <w:pPr>
              <w:jc w:val="center"/>
              <w:rPr>
                <w:rFonts w:ascii="Calibri" w:hAnsi="Calibri"/>
                <w:b/>
                <w:color w:val="000000"/>
                <w:szCs w:val="22"/>
              </w:rPr>
            </w:pPr>
            <w:r>
              <w:rPr>
                <w:rFonts w:ascii="Calibri" w:hAnsi="Calibri"/>
                <w:b/>
                <w:color w:val="000000"/>
                <w:szCs w:val="22"/>
              </w:rPr>
              <w:t>24</w:t>
            </w:r>
            <w:r w:rsidRPr="002A4F80">
              <w:rPr>
                <w:rFonts w:ascii="Calibri" w:hAnsi="Calibri"/>
                <w:b/>
                <w:color w:val="000000"/>
                <w:szCs w:val="22"/>
              </w:rPr>
              <w:t xml:space="preserve"> Max</w:t>
            </w:r>
          </w:p>
        </w:tc>
      </w:tr>
    </w:tbl>
    <w:p w14:paraId="6BA6479B" w14:textId="77777777" w:rsidR="00F50E8D" w:rsidRDefault="00F50E8D" w:rsidP="00EB08A5"/>
    <w:sectPr w:rsidR="00F50E8D" w:rsidSect="00294350">
      <w:footerReference w:type="default" r:id="rId9"/>
      <w:footerReference w:type="first" r:id="rId10"/>
      <w:pgSz w:w="12240" w:h="15840"/>
      <w:pgMar w:top="1296"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9308" w14:textId="77777777" w:rsidR="0038161D" w:rsidRDefault="0038161D" w:rsidP="00655800">
      <w:r>
        <w:separator/>
      </w:r>
    </w:p>
  </w:endnote>
  <w:endnote w:type="continuationSeparator" w:id="0">
    <w:p w14:paraId="14B99433" w14:textId="77777777" w:rsidR="0038161D" w:rsidRDefault="0038161D" w:rsidP="0065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2F9" w14:textId="386382E5" w:rsidR="00655800" w:rsidRPr="00EE5056" w:rsidRDefault="00655800" w:rsidP="0095179D">
    <w:pPr>
      <w:pStyle w:val="Footer"/>
      <w:pBdr>
        <w:top w:val="single" w:sz="4" w:space="1" w:color="auto"/>
      </w:pBdr>
      <w:rPr>
        <w:rFonts w:asciiTheme="minorHAnsi" w:hAnsiTheme="minorHAnsi"/>
        <w:sz w:val="18"/>
        <w:szCs w:val="18"/>
      </w:rPr>
    </w:pPr>
    <w:r w:rsidRPr="00EE5056">
      <w:rPr>
        <w:rFonts w:asciiTheme="minorHAnsi" w:hAnsiTheme="minorHAnsi"/>
        <w:sz w:val="18"/>
        <w:szCs w:val="18"/>
      </w:rPr>
      <w:t xml:space="preserve">Asset Inventory and Assessment Grant Priority Rating System </w:t>
    </w:r>
    <w:r w:rsidR="003434B8" w:rsidRPr="00EE5056">
      <w:rPr>
        <w:rFonts w:asciiTheme="minorHAnsi" w:hAnsiTheme="minorHAnsi"/>
        <w:sz w:val="18"/>
        <w:szCs w:val="18"/>
      </w:rPr>
      <w:t>Guidance (</w:t>
    </w:r>
    <w:r w:rsidR="00210F44">
      <w:rPr>
        <w:rFonts w:asciiTheme="minorHAnsi" w:hAnsiTheme="minorHAnsi"/>
        <w:sz w:val="18"/>
        <w:szCs w:val="18"/>
      </w:rPr>
      <w:t>February 2022</w:t>
    </w:r>
    <w:r w:rsidRPr="00EE5056">
      <w:rPr>
        <w:rFonts w:asciiTheme="minorHAnsi" w:hAnsiTheme="minorHAnsi"/>
        <w:sz w:val="18"/>
        <w:szCs w:val="18"/>
      </w:rPr>
      <w:t>)</w:t>
    </w:r>
    <w:r w:rsidR="00EE5056" w:rsidRPr="00EE5056">
      <w:rPr>
        <w:rFonts w:asciiTheme="minorHAnsi" w:hAnsiTheme="minorHAnsi"/>
        <w:sz w:val="18"/>
        <w:szCs w:val="18"/>
      </w:rPr>
      <w:t xml:space="preserve"> </w:t>
    </w:r>
    <w:r w:rsidR="00E20896">
      <w:rPr>
        <w:rFonts w:asciiTheme="minorHAnsi" w:hAnsiTheme="minorHAnsi"/>
        <w:sz w:val="18"/>
        <w:szCs w:val="18"/>
      </w:rPr>
      <w:tab/>
    </w:r>
    <w:r w:rsidR="00EE5056" w:rsidRPr="008D5AE7">
      <w:rPr>
        <w:rFonts w:asciiTheme="minorHAnsi" w:hAnsiTheme="minorHAnsi"/>
        <w:szCs w:val="22"/>
      </w:rPr>
      <w:t xml:space="preserve">Page </w:t>
    </w:r>
    <w:r w:rsidR="00EE5056" w:rsidRPr="008D5AE7">
      <w:rPr>
        <w:rFonts w:asciiTheme="minorHAnsi" w:hAnsiTheme="minorHAnsi"/>
        <w:szCs w:val="22"/>
      </w:rPr>
      <w:fldChar w:fldCharType="begin"/>
    </w:r>
    <w:r w:rsidR="00EE5056" w:rsidRPr="008D5AE7">
      <w:rPr>
        <w:rFonts w:asciiTheme="minorHAnsi" w:hAnsiTheme="minorHAnsi"/>
        <w:szCs w:val="22"/>
      </w:rPr>
      <w:instrText xml:space="preserve"> PAGE   \* MERGEFORMAT </w:instrText>
    </w:r>
    <w:r w:rsidR="00EE5056" w:rsidRPr="008D5AE7">
      <w:rPr>
        <w:rFonts w:asciiTheme="minorHAnsi" w:hAnsiTheme="minorHAnsi"/>
        <w:szCs w:val="22"/>
      </w:rPr>
      <w:fldChar w:fldCharType="separate"/>
    </w:r>
    <w:r w:rsidR="00E20896">
      <w:rPr>
        <w:rFonts w:asciiTheme="minorHAnsi" w:hAnsiTheme="minorHAnsi"/>
        <w:noProof/>
        <w:szCs w:val="22"/>
      </w:rPr>
      <w:t>1</w:t>
    </w:r>
    <w:r w:rsidR="00EE5056" w:rsidRPr="008D5AE7">
      <w:rPr>
        <w:rFonts w:asciiTheme="minorHAnsi" w:hAnsiTheme="minorHAnsi"/>
        <w:szCs w:val="22"/>
      </w:rPr>
      <w:fldChar w:fldCharType="end"/>
    </w:r>
    <w:r w:rsidR="00EE5056" w:rsidRPr="008D5AE7">
      <w:rPr>
        <w:rFonts w:asciiTheme="minorHAnsi" w:hAnsiTheme="minorHAnsi"/>
        <w:szCs w:val="22"/>
      </w:rPr>
      <w:t xml:space="preserve"> of </w:t>
    </w:r>
    <w:r w:rsidR="00EE5056">
      <w:rPr>
        <w:rFonts w:asciiTheme="minorHAnsi" w:hAnsiTheme="minorHAnsi"/>
        <w:noProof/>
        <w:szCs w:val="22"/>
      </w:rPr>
      <w:fldChar w:fldCharType="begin"/>
    </w:r>
    <w:r w:rsidR="00EE5056">
      <w:rPr>
        <w:rFonts w:asciiTheme="minorHAnsi" w:hAnsiTheme="minorHAnsi"/>
        <w:noProof/>
        <w:szCs w:val="22"/>
      </w:rPr>
      <w:instrText xml:space="preserve"> NUMPAGES   \* MERGEFORMAT </w:instrText>
    </w:r>
    <w:r w:rsidR="00EE5056">
      <w:rPr>
        <w:rFonts w:asciiTheme="minorHAnsi" w:hAnsiTheme="minorHAnsi"/>
        <w:noProof/>
        <w:szCs w:val="22"/>
      </w:rPr>
      <w:fldChar w:fldCharType="separate"/>
    </w:r>
    <w:r w:rsidR="00E20896">
      <w:rPr>
        <w:rFonts w:asciiTheme="minorHAnsi" w:hAnsiTheme="minorHAnsi"/>
        <w:noProof/>
        <w:szCs w:val="22"/>
      </w:rPr>
      <w:t>6</w:t>
    </w:r>
    <w:r w:rsidR="00EE5056">
      <w:rPr>
        <w:rFonts w:asciiTheme="minorHAnsi" w:hAnsiTheme="minorHAnsi"/>
        <w:noProof/>
        <w:szCs w:val="22"/>
      </w:rPr>
      <w:fldChar w:fldCharType="end"/>
    </w:r>
  </w:p>
  <w:p w14:paraId="4497CE2E" w14:textId="57C955E5" w:rsidR="00655800" w:rsidRDefault="0065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5AE" w14:textId="61DEBE45" w:rsidR="00294350" w:rsidRPr="00EE5056" w:rsidRDefault="00294350" w:rsidP="00294350">
    <w:pPr>
      <w:pStyle w:val="Footer"/>
      <w:rPr>
        <w:rFonts w:asciiTheme="minorHAnsi" w:hAnsiTheme="minorHAnsi"/>
        <w:sz w:val="18"/>
        <w:szCs w:val="18"/>
      </w:rPr>
    </w:pPr>
    <w:r w:rsidRPr="00EE5056">
      <w:rPr>
        <w:rFonts w:asciiTheme="minorHAnsi" w:hAnsiTheme="minorHAnsi"/>
        <w:sz w:val="18"/>
        <w:szCs w:val="18"/>
      </w:rPr>
      <w:t xml:space="preserve">Asset Inventory and Assessment Grant Priority Rating System Guidance (July 2020) </w:t>
    </w:r>
    <w:r>
      <w:rPr>
        <w:rFonts w:asciiTheme="minorHAnsi" w:hAnsiTheme="minorHAnsi"/>
        <w:sz w:val="18"/>
        <w:szCs w:val="18"/>
      </w:rPr>
      <w:tab/>
    </w:r>
    <w:r>
      <w:rPr>
        <w:rFonts w:asciiTheme="minorHAnsi" w:hAnsiTheme="minorHAnsi"/>
        <w:sz w:val="18"/>
        <w:szCs w:val="18"/>
      </w:rPr>
      <w:tab/>
    </w:r>
    <w:r w:rsidRPr="008D5AE7">
      <w:rPr>
        <w:rFonts w:asciiTheme="minorHAnsi" w:hAnsiTheme="minorHAnsi"/>
        <w:szCs w:val="22"/>
      </w:rPr>
      <w:t xml:space="preserve">Page </w:t>
    </w:r>
    <w:r w:rsidRPr="008D5AE7">
      <w:rPr>
        <w:rFonts w:asciiTheme="minorHAnsi" w:hAnsiTheme="minorHAnsi"/>
        <w:szCs w:val="22"/>
      </w:rPr>
      <w:fldChar w:fldCharType="begin"/>
    </w:r>
    <w:r w:rsidRPr="008D5AE7">
      <w:rPr>
        <w:rFonts w:asciiTheme="minorHAnsi" w:hAnsiTheme="minorHAnsi"/>
        <w:szCs w:val="22"/>
      </w:rPr>
      <w:instrText xml:space="preserve"> PAGE   \* MERGEFORMAT </w:instrText>
    </w:r>
    <w:r w:rsidRPr="008D5AE7">
      <w:rPr>
        <w:rFonts w:asciiTheme="minorHAnsi" w:hAnsiTheme="minorHAnsi"/>
        <w:szCs w:val="22"/>
      </w:rPr>
      <w:fldChar w:fldCharType="separate"/>
    </w:r>
    <w:r>
      <w:rPr>
        <w:rFonts w:asciiTheme="minorHAnsi" w:hAnsiTheme="minorHAnsi"/>
        <w:noProof/>
        <w:szCs w:val="22"/>
      </w:rPr>
      <w:t>1</w:t>
    </w:r>
    <w:r w:rsidRPr="008D5AE7">
      <w:rPr>
        <w:rFonts w:asciiTheme="minorHAnsi" w:hAnsiTheme="minorHAnsi"/>
        <w:szCs w:val="22"/>
      </w:rPr>
      <w:fldChar w:fldCharType="end"/>
    </w:r>
    <w:r w:rsidRPr="008D5AE7">
      <w:rPr>
        <w:rFonts w:asciiTheme="minorHAnsi" w:hAnsiTheme="minorHAnsi"/>
        <w:szCs w:val="22"/>
      </w:rPr>
      <w:t xml:space="preserve"> of </w:t>
    </w:r>
    <w:r>
      <w:rPr>
        <w:rFonts w:asciiTheme="minorHAnsi" w:hAnsiTheme="minorHAnsi"/>
        <w:noProof/>
        <w:szCs w:val="22"/>
      </w:rPr>
      <w:fldChar w:fldCharType="begin"/>
    </w:r>
    <w:r>
      <w:rPr>
        <w:rFonts w:asciiTheme="minorHAnsi" w:hAnsiTheme="minorHAnsi"/>
        <w:noProof/>
        <w:szCs w:val="22"/>
      </w:rPr>
      <w:instrText xml:space="preserve"> NUMPAGES   \* MERGEFORMAT </w:instrText>
    </w:r>
    <w:r>
      <w:rPr>
        <w:rFonts w:asciiTheme="minorHAnsi" w:hAnsiTheme="minorHAnsi"/>
        <w:noProof/>
        <w:szCs w:val="22"/>
      </w:rPr>
      <w:fldChar w:fldCharType="separate"/>
    </w:r>
    <w:r>
      <w:rPr>
        <w:rFonts w:asciiTheme="minorHAnsi" w:hAnsiTheme="minorHAnsi"/>
        <w:noProof/>
        <w:szCs w:val="22"/>
      </w:rPr>
      <w:t>6</w:t>
    </w:r>
    <w:r>
      <w:rPr>
        <w:rFonts w:asciiTheme="minorHAnsi" w:hAnsiTheme="minorHAnsi"/>
        <w:noProof/>
        <w:szCs w:val="22"/>
      </w:rPr>
      <w:fldChar w:fldCharType="end"/>
    </w:r>
  </w:p>
  <w:p w14:paraId="1062AB8D" w14:textId="77777777" w:rsidR="00294350" w:rsidRDefault="0029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28DF" w14:textId="77777777" w:rsidR="0038161D" w:rsidRDefault="0038161D" w:rsidP="00655800">
      <w:r>
        <w:separator/>
      </w:r>
    </w:p>
  </w:footnote>
  <w:footnote w:type="continuationSeparator" w:id="0">
    <w:p w14:paraId="672A7BBA" w14:textId="77777777" w:rsidR="0038161D" w:rsidRDefault="0038161D" w:rsidP="0065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C03"/>
    <w:multiLevelType w:val="hybridMultilevel"/>
    <w:tmpl w:val="69A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D33"/>
    <w:multiLevelType w:val="hybridMultilevel"/>
    <w:tmpl w:val="060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F4B84"/>
    <w:multiLevelType w:val="hybridMultilevel"/>
    <w:tmpl w:val="9462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51614"/>
    <w:multiLevelType w:val="hybridMultilevel"/>
    <w:tmpl w:val="6C8CA2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A07F8"/>
    <w:multiLevelType w:val="hybridMultilevel"/>
    <w:tmpl w:val="BE901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A541E"/>
    <w:multiLevelType w:val="hybridMultilevel"/>
    <w:tmpl w:val="99C0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6545B"/>
    <w:multiLevelType w:val="hybridMultilevel"/>
    <w:tmpl w:val="C0C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10571"/>
    <w:multiLevelType w:val="hybridMultilevel"/>
    <w:tmpl w:val="DF4ACD46"/>
    <w:lvl w:ilvl="0" w:tplc="7BEED5BC">
      <w:start w:val="1"/>
      <w:numFmt w:val="bullet"/>
      <w:lvlText w:val="•"/>
      <w:lvlJc w:val="left"/>
      <w:pPr>
        <w:tabs>
          <w:tab w:val="num" w:pos="720"/>
        </w:tabs>
        <w:ind w:left="720" w:hanging="360"/>
      </w:pPr>
      <w:rPr>
        <w:rFonts w:ascii="Arial" w:hAnsi="Arial" w:hint="default"/>
      </w:rPr>
    </w:lvl>
    <w:lvl w:ilvl="1" w:tplc="492EB9C6">
      <w:start w:val="67"/>
      <w:numFmt w:val="bullet"/>
      <w:lvlText w:val="•"/>
      <w:lvlJc w:val="left"/>
      <w:pPr>
        <w:tabs>
          <w:tab w:val="num" w:pos="1440"/>
        </w:tabs>
        <w:ind w:left="1440" w:hanging="360"/>
      </w:pPr>
      <w:rPr>
        <w:rFonts w:ascii="Arial" w:hAnsi="Arial" w:hint="default"/>
      </w:rPr>
    </w:lvl>
    <w:lvl w:ilvl="2" w:tplc="571C4B4C" w:tentative="1">
      <w:start w:val="1"/>
      <w:numFmt w:val="bullet"/>
      <w:lvlText w:val="•"/>
      <w:lvlJc w:val="left"/>
      <w:pPr>
        <w:tabs>
          <w:tab w:val="num" w:pos="2160"/>
        </w:tabs>
        <w:ind w:left="2160" w:hanging="360"/>
      </w:pPr>
      <w:rPr>
        <w:rFonts w:ascii="Arial" w:hAnsi="Arial" w:hint="default"/>
      </w:rPr>
    </w:lvl>
    <w:lvl w:ilvl="3" w:tplc="38EAC54C" w:tentative="1">
      <w:start w:val="1"/>
      <w:numFmt w:val="bullet"/>
      <w:lvlText w:val="•"/>
      <w:lvlJc w:val="left"/>
      <w:pPr>
        <w:tabs>
          <w:tab w:val="num" w:pos="2880"/>
        </w:tabs>
        <w:ind w:left="2880" w:hanging="360"/>
      </w:pPr>
      <w:rPr>
        <w:rFonts w:ascii="Arial" w:hAnsi="Arial" w:hint="default"/>
      </w:rPr>
    </w:lvl>
    <w:lvl w:ilvl="4" w:tplc="9BAA579A" w:tentative="1">
      <w:start w:val="1"/>
      <w:numFmt w:val="bullet"/>
      <w:lvlText w:val="•"/>
      <w:lvlJc w:val="left"/>
      <w:pPr>
        <w:tabs>
          <w:tab w:val="num" w:pos="3600"/>
        </w:tabs>
        <w:ind w:left="3600" w:hanging="360"/>
      </w:pPr>
      <w:rPr>
        <w:rFonts w:ascii="Arial" w:hAnsi="Arial" w:hint="default"/>
      </w:rPr>
    </w:lvl>
    <w:lvl w:ilvl="5" w:tplc="0F56B8E4" w:tentative="1">
      <w:start w:val="1"/>
      <w:numFmt w:val="bullet"/>
      <w:lvlText w:val="•"/>
      <w:lvlJc w:val="left"/>
      <w:pPr>
        <w:tabs>
          <w:tab w:val="num" w:pos="4320"/>
        </w:tabs>
        <w:ind w:left="4320" w:hanging="360"/>
      </w:pPr>
      <w:rPr>
        <w:rFonts w:ascii="Arial" w:hAnsi="Arial" w:hint="default"/>
      </w:rPr>
    </w:lvl>
    <w:lvl w:ilvl="6" w:tplc="7FBE0392" w:tentative="1">
      <w:start w:val="1"/>
      <w:numFmt w:val="bullet"/>
      <w:lvlText w:val="•"/>
      <w:lvlJc w:val="left"/>
      <w:pPr>
        <w:tabs>
          <w:tab w:val="num" w:pos="5040"/>
        </w:tabs>
        <w:ind w:left="5040" w:hanging="360"/>
      </w:pPr>
      <w:rPr>
        <w:rFonts w:ascii="Arial" w:hAnsi="Arial" w:hint="default"/>
      </w:rPr>
    </w:lvl>
    <w:lvl w:ilvl="7" w:tplc="77521284" w:tentative="1">
      <w:start w:val="1"/>
      <w:numFmt w:val="bullet"/>
      <w:lvlText w:val="•"/>
      <w:lvlJc w:val="left"/>
      <w:pPr>
        <w:tabs>
          <w:tab w:val="num" w:pos="5760"/>
        </w:tabs>
        <w:ind w:left="5760" w:hanging="360"/>
      </w:pPr>
      <w:rPr>
        <w:rFonts w:ascii="Arial" w:hAnsi="Arial" w:hint="default"/>
      </w:rPr>
    </w:lvl>
    <w:lvl w:ilvl="8" w:tplc="CAAE06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20003C"/>
    <w:multiLevelType w:val="hybridMultilevel"/>
    <w:tmpl w:val="5C52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17F23"/>
    <w:multiLevelType w:val="hybridMultilevel"/>
    <w:tmpl w:val="6B9E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A2A8D"/>
    <w:multiLevelType w:val="hybridMultilevel"/>
    <w:tmpl w:val="1A1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D6CE2"/>
    <w:multiLevelType w:val="hybridMultilevel"/>
    <w:tmpl w:val="C41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72139"/>
    <w:multiLevelType w:val="hybridMultilevel"/>
    <w:tmpl w:val="A02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3"/>
  </w:num>
  <w:num w:numId="5">
    <w:abstractNumId w:val="9"/>
  </w:num>
  <w:num w:numId="6">
    <w:abstractNumId w:val="8"/>
  </w:num>
  <w:num w:numId="7">
    <w:abstractNumId w:val="14"/>
  </w:num>
  <w:num w:numId="8">
    <w:abstractNumId w:val="2"/>
  </w:num>
  <w:num w:numId="9">
    <w:abstractNumId w:val="10"/>
  </w:num>
  <w:num w:numId="10">
    <w:abstractNumId w:val="1"/>
  </w:num>
  <w:num w:numId="11">
    <w:abstractNumId w:val="0"/>
  </w:num>
  <w:num w:numId="12">
    <w:abstractNumId w:val="4"/>
  </w:num>
  <w:num w:numId="13">
    <w:abstractNumId w:val="5"/>
  </w:num>
  <w:num w:numId="14">
    <w:abstractNumId w:val="1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00"/>
    <w:rsid w:val="00045A83"/>
    <w:rsid w:val="00057DA4"/>
    <w:rsid w:val="00066CF4"/>
    <w:rsid w:val="00076A74"/>
    <w:rsid w:val="000979E4"/>
    <w:rsid w:val="000A6974"/>
    <w:rsid w:val="000C64C7"/>
    <w:rsid w:val="000F54E3"/>
    <w:rsid w:val="0010288F"/>
    <w:rsid w:val="001119E1"/>
    <w:rsid w:val="00114A41"/>
    <w:rsid w:val="001155B8"/>
    <w:rsid w:val="001170CD"/>
    <w:rsid w:val="00142E1E"/>
    <w:rsid w:val="0015427B"/>
    <w:rsid w:val="00161FB4"/>
    <w:rsid w:val="00170FD9"/>
    <w:rsid w:val="001762D8"/>
    <w:rsid w:val="001849A4"/>
    <w:rsid w:val="001A2996"/>
    <w:rsid w:val="001A59C8"/>
    <w:rsid w:val="001B5238"/>
    <w:rsid w:val="001C1E50"/>
    <w:rsid w:val="001C727C"/>
    <w:rsid w:val="001D0281"/>
    <w:rsid w:val="00210F44"/>
    <w:rsid w:val="002365B1"/>
    <w:rsid w:val="00250F33"/>
    <w:rsid w:val="00260470"/>
    <w:rsid w:val="00294350"/>
    <w:rsid w:val="00295BEB"/>
    <w:rsid w:val="002D78B7"/>
    <w:rsid w:val="002E3E48"/>
    <w:rsid w:val="0032766E"/>
    <w:rsid w:val="003320FC"/>
    <w:rsid w:val="00332FB8"/>
    <w:rsid w:val="003434B8"/>
    <w:rsid w:val="003437F1"/>
    <w:rsid w:val="0037340D"/>
    <w:rsid w:val="00375BCF"/>
    <w:rsid w:val="0038161D"/>
    <w:rsid w:val="003B05C1"/>
    <w:rsid w:val="003B3E51"/>
    <w:rsid w:val="004105AA"/>
    <w:rsid w:val="0042367D"/>
    <w:rsid w:val="0045740B"/>
    <w:rsid w:val="004665BA"/>
    <w:rsid w:val="00480ECD"/>
    <w:rsid w:val="004922D4"/>
    <w:rsid w:val="004B04E6"/>
    <w:rsid w:val="004D1E29"/>
    <w:rsid w:val="004F5303"/>
    <w:rsid w:val="00507D6C"/>
    <w:rsid w:val="00527128"/>
    <w:rsid w:val="00542A18"/>
    <w:rsid w:val="00580ABC"/>
    <w:rsid w:val="00581F76"/>
    <w:rsid w:val="00590B47"/>
    <w:rsid w:val="005927AA"/>
    <w:rsid w:val="005A1976"/>
    <w:rsid w:val="005A67F3"/>
    <w:rsid w:val="005B7B12"/>
    <w:rsid w:val="005C7B0D"/>
    <w:rsid w:val="005D0316"/>
    <w:rsid w:val="005D2210"/>
    <w:rsid w:val="006067B6"/>
    <w:rsid w:val="00613C8F"/>
    <w:rsid w:val="00647052"/>
    <w:rsid w:val="00651A49"/>
    <w:rsid w:val="00655800"/>
    <w:rsid w:val="00690667"/>
    <w:rsid w:val="00692566"/>
    <w:rsid w:val="0069537D"/>
    <w:rsid w:val="006A2C95"/>
    <w:rsid w:val="006A5739"/>
    <w:rsid w:val="006B3776"/>
    <w:rsid w:val="006C78A4"/>
    <w:rsid w:val="006D59BA"/>
    <w:rsid w:val="00703155"/>
    <w:rsid w:val="00715B23"/>
    <w:rsid w:val="0072086B"/>
    <w:rsid w:val="007228C5"/>
    <w:rsid w:val="00744412"/>
    <w:rsid w:val="00750DA7"/>
    <w:rsid w:val="00773FB9"/>
    <w:rsid w:val="00794229"/>
    <w:rsid w:val="007A182D"/>
    <w:rsid w:val="007A35F4"/>
    <w:rsid w:val="007B139D"/>
    <w:rsid w:val="00813210"/>
    <w:rsid w:val="008239B9"/>
    <w:rsid w:val="00824FCF"/>
    <w:rsid w:val="00827EF1"/>
    <w:rsid w:val="00832341"/>
    <w:rsid w:val="00861ED5"/>
    <w:rsid w:val="00867AC2"/>
    <w:rsid w:val="008B3B82"/>
    <w:rsid w:val="008C6494"/>
    <w:rsid w:val="008D4499"/>
    <w:rsid w:val="008E029A"/>
    <w:rsid w:val="008E5AD8"/>
    <w:rsid w:val="008F22D8"/>
    <w:rsid w:val="008F470A"/>
    <w:rsid w:val="00907AB1"/>
    <w:rsid w:val="009443B0"/>
    <w:rsid w:val="0095179D"/>
    <w:rsid w:val="00953B68"/>
    <w:rsid w:val="00965ADF"/>
    <w:rsid w:val="009A27B4"/>
    <w:rsid w:val="009B450B"/>
    <w:rsid w:val="009B7513"/>
    <w:rsid w:val="009C4B6C"/>
    <w:rsid w:val="00A20F74"/>
    <w:rsid w:val="00A36F4F"/>
    <w:rsid w:val="00A55BB1"/>
    <w:rsid w:val="00A80E04"/>
    <w:rsid w:val="00AC3A68"/>
    <w:rsid w:val="00AD0118"/>
    <w:rsid w:val="00AD195F"/>
    <w:rsid w:val="00AE4C71"/>
    <w:rsid w:val="00AF4757"/>
    <w:rsid w:val="00B07A1C"/>
    <w:rsid w:val="00B36C9A"/>
    <w:rsid w:val="00B7175D"/>
    <w:rsid w:val="00B72091"/>
    <w:rsid w:val="00B90464"/>
    <w:rsid w:val="00B94B93"/>
    <w:rsid w:val="00BA0876"/>
    <w:rsid w:val="00BB35D7"/>
    <w:rsid w:val="00BC13C3"/>
    <w:rsid w:val="00BD6AF9"/>
    <w:rsid w:val="00BD6EC6"/>
    <w:rsid w:val="00BF1EE6"/>
    <w:rsid w:val="00C01477"/>
    <w:rsid w:val="00C26543"/>
    <w:rsid w:val="00C30115"/>
    <w:rsid w:val="00C42CA1"/>
    <w:rsid w:val="00C42CB0"/>
    <w:rsid w:val="00C47707"/>
    <w:rsid w:val="00C53D24"/>
    <w:rsid w:val="00C73563"/>
    <w:rsid w:val="00C77948"/>
    <w:rsid w:val="00C862AB"/>
    <w:rsid w:val="00CA75FB"/>
    <w:rsid w:val="00CA7DD5"/>
    <w:rsid w:val="00CB3850"/>
    <w:rsid w:val="00CB61E6"/>
    <w:rsid w:val="00CC0873"/>
    <w:rsid w:val="00CC6510"/>
    <w:rsid w:val="00CE40E7"/>
    <w:rsid w:val="00CE452A"/>
    <w:rsid w:val="00D36D8F"/>
    <w:rsid w:val="00D451E3"/>
    <w:rsid w:val="00D838EA"/>
    <w:rsid w:val="00D9757F"/>
    <w:rsid w:val="00DA048D"/>
    <w:rsid w:val="00DB0C43"/>
    <w:rsid w:val="00E040C7"/>
    <w:rsid w:val="00E152F9"/>
    <w:rsid w:val="00E20896"/>
    <w:rsid w:val="00E31460"/>
    <w:rsid w:val="00E32E7A"/>
    <w:rsid w:val="00E50057"/>
    <w:rsid w:val="00E9590A"/>
    <w:rsid w:val="00EA041E"/>
    <w:rsid w:val="00EB08A5"/>
    <w:rsid w:val="00EC7F66"/>
    <w:rsid w:val="00ED5839"/>
    <w:rsid w:val="00EE5056"/>
    <w:rsid w:val="00EF0C41"/>
    <w:rsid w:val="00EF5344"/>
    <w:rsid w:val="00F05226"/>
    <w:rsid w:val="00F50E8D"/>
    <w:rsid w:val="00F5490A"/>
    <w:rsid w:val="00F713EA"/>
    <w:rsid w:val="00F7148B"/>
    <w:rsid w:val="00FA19D3"/>
    <w:rsid w:val="00FA379F"/>
    <w:rsid w:val="00FC53A6"/>
    <w:rsid w:val="00FD151B"/>
    <w:rsid w:val="00FD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AEC6B"/>
  <w15:chartTrackingRefBased/>
  <w15:docId w15:val="{51286446-45A5-40EB-B8EE-3E1D491D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00"/>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00"/>
    <w:pPr>
      <w:ind w:left="720"/>
      <w:contextualSpacing/>
    </w:pPr>
  </w:style>
  <w:style w:type="table" w:styleId="TableGrid">
    <w:name w:val="Table Grid"/>
    <w:basedOn w:val="TableNormal"/>
    <w:uiPriority w:val="59"/>
    <w:rsid w:val="006558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655800"/>
    <w:rPr>
      <w:rFonts w:ascii="Times New Roman" w:eastAsia="Calibri" w:hAnsi="Times New Roman" w:cs="Times New Roman"/>
      <w:szCs w:val="20"/>
    </w:rPr>
  </w:style>
  <w:style w:type="paragraph" w:styleId="Header">
    <w:name w:val="header"/>
    <w:basedOn w:val="Normal"/>
    <w:link w:val="HeaderChar"/>
    <w:uiPriority w:val="99"/>
    <w:unhideWhenUsed/>
    <w:rsid w:val="00655800"/>
    <w:pPr>
      <w:tabs>
        <w:tab w:val="center" w:pos="4680"/>
        <w:tab w:val="right" w:pos="9360"/>
      </w:tabs>
    </w:pPr>
  </w:style>
  <w:style w:type="character" w:customStyle="1" w:styleId="HeaderChar">
    <w:name w:val="Header Char"/>
    <w:basedOn w:val="DefaultParagraphFont"/>
    <w:link w:val="Header"/>
    <w:uiPriority w:val="99"/>
    <w:rsid w:val="00655800"/>
    <w:rPr>
      <w:rFonts w:ascii="Times New Roman" w:eastAsia="Calibri" w:hAnsi="Times New Roman" w:cs="Times New Roman"/>
      <w:szCs w:val="20"/>
    </w:rPr>
  </w:style>
  <w:style w:type="paragraph" w:styleId="Footer">
    <w:name w:val="footer"/>
    <w:basedOn w:val="Normal"/>
    <w:link w:val="FooterChar"/>
    <w:uiPriority w:val="99"/>
    <w:unhideWhenUsed/>
    <w:rsid w:val="00655800"/>
    <w:pPr>
      <w:tabs>
        <w:tab w:val="center" w:pos="4680"/>
        <w:tab w:val="right" w:pos="9360"/>
      </w:tabs>
    </w:pPr>
  </w:style>
  <w:style w:type="character" w:customStyle="1" w:styleId="FooterChar">
    <w:name w:val="Footer Char"/>
    <w:basedOn w:val="DefaultParagraphFont"/>
    <w:link w:val="Footer"/>
    <w:uiPriority w:val="99"/>
    <w:rsid w:val="00655800"/>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327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6E"/>
    <w:rPr>
      <w:rFonts w:ascii="Segoe UI" w:eastAsia="Calibri" w:hAnsi="Segoe UI" w:cs="Segoe UI"/>
      <w:sz w:val="18"/>
      <w:szCs w:val="18"/>
    </w:rPr>
  </w:style>
  <w:style w:type="paragraph" w:styleId="NormalWeb">
    <w:name w:val="Normal (Web)"/>
    <w:basedOn w:val="Normal"/>
    <w:uiPriority w:val="99"/>
    <w:semiHidden/>
    <w:unhideWhenUsed/>
    <w:rsid w:val="00580ABC"/>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2E3E48"/>
    <w:rPr>
      <w:sz w:val="16"/>
      <w:szCs w:val="16"/>
    </w:rPr>
  </w:style>
  <w:style w:type="paragraph" w:styleId="CommentText">
    <w:name w:val="annotation text"/>
    <w:basedOn w:val="Normal"/>
    <w:link w:val="CommentTextChar"/>
    <w:uiPriority w:val="99"/>
    <w:semiHidden/>
    <w:unhideWhenUsed/>
    <w:rsid w:val="002E3E48"/>
    <w:rPr>
      <w:sz w:val="20"/>
    </w:rPr>
  </w:style>
  <w:style w:type="character" w:customStyle="1" w:styleId="CommentTextChar">
    <w:name w:val="Comment Text Char"/>
    <w:basedOn w:val="DefaultParagraphFont"/>
    <w:link w:val="CommentText"/>
    <w:uiPriority w:val="99"/>
    <w:semiHidden/>
    <w:rsid w:val="002E3E4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E48"/>
    <w:rPr>
      <w:b/>
      <w:bCs/>
    </w:rPr>
  </w:style>
  <w:style w:type="character" w:customStyle="1" w:styleId="CommentSubjectChar">
    <w:name w:val="Comment Subject Char"/>
    <w:basedOn w:val="CommentTextChar"/>
    <w:link w:val="CommentSubject"/>
    <w:uiPriority w:val="99"/>
    <w:semiHidden/>
    <w:rsid w:val="002E3E48"/>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294350"/>
    <w:rPr>
      <w:sz w:val="20"/>
    </w:rPr>
  </w:style>
  <w:style w:type="character" w:customStyle="1" w:styleId="FootnoteTextChar">
    <w:name w:val="Footnote Text Char"/>
    <w:basedOn w:val="DefaultParagraphFont"/>
    <w:link w:val="FootnoteText"/>
    <w:uiPriority w:val="99"/>
    <w:semiHidden/>
    <w:rsid w:val="00294350"/>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94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1556">
      <w:bodyDiv w:val="1"/>
      <w:marLeft w:val="0"/>
      <w:marRight w:val="0"/>
      <w:marTop w:val="0"/>
      <w:marBottom w:val="0"/>
      <w:divBdr>
        <w:top w:val="none" w:sz="0" w:space="0" w:color="auto"/>
        <w:left w:val="none" w:sz="0" w:space="0" w:color="auto"/>
        <w:bottom w:val="none" w:sz="0" w:space="0" w:color="auto"/>
        <w:right w:val="none" w:sz="0" w:space="0" w:color="auto"/>
      </w:divBdr>
      <w:divsChild>
        <w:div w:id="1027289614">
          <w:marLeft w:val="274"/>
          <w:marRight w:val="0"/>
          <w:marTop w:val="150"/>
          <w:marBottom w:val="0"/>
          <w:divBdr>
            <w:top w:val="none" w:sz="0" w:space="0" w:color="auto"/>
            <w:left w:val="none" w:sz="0" w:space="0" w:color="auto"/>
            <w:bottom w:val="none" w:sz="0" w:space="0" w:color="auto"/>
            <w:right w:val="none" w:sz="0" w:space="0" w:color="auto"/>
          </w:divBdr>
        </w:div>
        <w:div w:id="446238736">
          <w:marLeft w:val="806"/>
          <w:marRight w:val="0"/>
          <w:marTop w:val="75"/>
          <w:marBottom w:val="0"/>
          <w:divBdr>
            <w:top w:val="none" w:sz="0" w:space="0" w:color="auto"/>
            <w:left w:val="none" w:sz="0" w:space="0" w:color="auto"/>
            <w:bottom w:val="none" w:sz="0" w:space="0" w:color="auto"/>
            <w:right w:val="none" w:sz="0" w:space="0" w:color="auto"/>
          </w:divBdr>
        </w:div>
        <w:div w:id="796030130">
          <w:marLeft w:val="806"/>
          <w:marRight w:val="0"/>
          <w:marTop w:val="75"/>
          <w:marBottom w:val="0"/>
          <w:divBdr>
            <w:top w:val="none" w:sz="0" w:space="0" w:color="auto"/>
            <w:left w:val="none" w:sz="0" w:space="0" w:color="auto"/>
            <w:bottom w:val="none" w:sz="0" w:space="0" w:color="auto"/>
            <w:right w:val="none" w:sz="0" w:space="0" w:color="auto"/>
          </w:divBdr>
        </w:div>
        <w:div w:id="408356727">
          <w:marLeft w:val="806"/>
          <w:marRight w:val="0"/>
          <w:marTop w:val="75"/>
          <w:marBottom w:val="0"/>
          <w:divBdr>
            <w:top w:val="none" w:sz="0" w:space="0" w:color="auto"/>
            <w:left w:val="none" w:sz="0" w:space="0" w:color="auto"/>
            <w:bottom w:val="none" w:sz="0" w:space="0" w:color="auto"/>
            <w:right w:val="none" w:sz="0" w:space="0" w:color="auto"/>
          </w:divBdr>
        </w:div>
        <w:div w:id="675688841">
          <w:marLeft w:val="806"/>
          <w:marRight w:val="0"/>
          <w:marTop w:val="75"/>
          <w:marBottom w:val="0"/>
          <w:divBdr>
            <w:top w:val="none" w:sz="0" w:space="0" w:color="auto"/>
            <w:left w:val="none" w:sz="0" w:space="0" w:color="auto"/>
            <w:bottom w:val="none" w:sz="0" w:space="0" w:color="auto"/>
            <w:right w:val="none" w:sz="0" w:space="0" w:color="auto"/>
          </w:divBdr>
        </w:div>
        <w:div w:id="1657878214">
          <w:marLeft w:val="806"/>
          <w:marRight w:val="0"/>
          <w:marTop w:val="75"/>
          <w:marBottom w:val="0"/>
          <w:divBdr>
            <w:top w:val="none" w:sz="0" w:space="0" w:color="auto"/>
            <w:left w:val="none" w:sz="0" w:space="0" w:color="auto"/>
            <w:bottom w:val="none" w:sz="0" w:space="0" w:color="auto"/>
            <w:right w:val="none" w:sz="0" w:space="0" w:color="auto"/>
          </w:divBdr>
        </w:div>
        <w:div w:id="1156216744">
          <w:marLeft w:val="806"/>
          <w:marRight w:val="0"/>
          <w:marTop w:val="75"/>
          <w:marBottom w:val="0"/>
          <w:divBdr>
            <w:top w:val="none" w:sz="0" w:space="0" w:color="auto"/>
            <w:left w:val="none" w:sz="0" w:space="0" w:color="auto"/>
            <w:bottom w:val="none" w:sz="0" w:space="0" w:color="auto"/>
            <w:right w:val="none" w:sz="0" w:space="0" w:color="auto"/>
          </w:divBdr>
        </w:div>
      </w:divsChild>
    </w:div>
    <w:div w:id="1187672504">
      <w:bodyDiv w:val="1"/>
      <w:marLeft w:val="0"/>
      <w:marRight w:val="0"/>
      <w:marTop w:val="0"/>
      <w:marBottom w:val="0"/>
      <w:divBdr>
        <w:top w:val="none" w:sz="0" w:space="0" w:color="auto"/>
        <w:left w:val="none" w:sz="0" w:space="0" w:color="auto"/>
        <w:bottom w:val="none" w:sz="0" w:space="0" w:color="auto"/>
        <w:right w:val="none" w:sz="0" w:space="0" w:color="auto"/>
      </w:divBdr>
    </w:div>
    <w:div w:id="1211501582">
      <w:bodyDiv w:val="1"/>
      <w:marLeft w:val="0"/>
      <w:marRight w:val="0"/>
      <w:marTop w:val="0"/>
      <w:marBottom w:val="0"/>
      <w:divBdr>
        <w:top w:val="none" w:sz="0" w:space="0" w:color="auto"/>
        <w:left w:val="none" w:sz="0" w:space="0" w:color="auto"/>
        <w:bottom w:val="none" w:sz="0" w:space="0" w:color="auto"/>
        <w:right w:val="none" w:sz="0" w:space="0" w:color="auto"/>
      </w:divBdr>
    </w:div>
    <w:div w:id="1547134099">
      <w:bodyDiv w:val="1"/>
      <w:marLeft w:val="0"/>
      <w:marRight w:val="0"/>
      <w:marTop w:val="0"/>
      <w:marBottom w:val="0"/>
      <w:divBdr>
        <w:top w:val="none" w:sz="0" w:space="0" w:color="auto"/>
        <w:left w:val="none" w:sz="0" w:space="0" w:color="auto"/>
        <w:bottom w:val="none" w:sz="0" w:space="0" w:color="auto"/>
        <w:right w:val="none" w:sz="0" w:space="0" w:color="auto"/>
      </w:divBdr>
    </w:div>
    <w:div w:id="1720126747">
      <w:bodyDiv w:val="1"/>
      <w:marLeft w:val="0"/>
      <w:marRight w:val="0"/>
      <w:marTop w:val="0"/>
      <w:marBottom w:val="0"/>
      <w:divBdr>
        <w:top w:val="none" w:sz="0" w:space="0" w:color="auto"/>
        <w:left w:val="none" w:sz="0" w:space="0" w:color="auto"/>
        <w:bottom w:val="none" w:sz="0" w:space="0" w:color="auto"/>
        <w:right w:val="none" w:sz="0" w:space="0" w:color="auto"/>
      </w:divBdr>
    </w:div>
    <w:div w:id="2119791005">
      <w:bodyDiv w:val="1"/>
      <w:marLeft w:val="0"/>
      <w:marRight w:val="0"/>
      <w:marTop w:val="0"/>
      <w:marBottom w:val="0"/>
      <w:divBdr>
        <w:top w:val="none" w:sz="0" w:space="0" w:color="auto"/>
        <w:left w:val="none" w:sz="0" w:space="0" w:color="auto"/>
        <w:bottom w:val="none" w:sz="0" w:space="0" w:color="auto"/>
        <w:right w:val="none" w:sz="0" w:space="0" w:color="auto"/>
      </w:divBdr>
    </w:div>
    <w:div w:id="2132085511">
      <w:bodyDiv w:val="1"/>
      <w:marLeft w:val="0"/>
      <w:marRight w:val="0"/>
      <w:marTop w:val="0"/>
      <w:marBottom w:val="0"/>
      <w:divBdr>
        <w:top w:val="none" w:sz="0" w:space="0" w:color="auto"/>
        <w:left w:val="none" w:sz="0" w:space="0" w:color="auto"/>
        <w:bottom w:val="none" w:sz="0" w:space="0" w:color="auto"/>
        <w:right w:val="none" w:sz="0" w:space="0" w:color="auto"/>
      </w:divBdr>
    </w:div>
    <w:div w:id="21332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Simes, Amy</dc:creator>
  <cp:keywords/>
  <dc:description/>
  <cp:lastModifiedBy>Akroyd, Cathy R</cp:lastModifiedBy>
  <cp:revision>2</cp:revision>
  <cp:lastPrinted>2022-02-09T21:28:00Z</cp:lastPrinted>
  <dcterms:created xsi:type="dcterms:W3CDTF">2022-02-14T22:08:00Z</dcterms:created>
  <dcterms:modified xsi:type="dcterms:W3CDTF">2022-02-14T22:08:00Z</dcterms:modified>
</cp:coreProperties>
</file>