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8DA8C" w14:textId="77777777" w:rsidR="00CA0262" w:rsidRDefault="00F3325C">
      <w:pPr>
        <w:ind w:left="4932"/>
        <w:rPr>
          <w:sz w:val="20"/>
        </w:rPr>
      </w:pPr>
      <w:r>
        <w:rPr>
          <w:noProof/>
          <w:sz w:val="20"/>
        </w:rPr>
        <w:drawing>
          <wp:inline distT="0" distB="0" distL="0" distR="0" wp14:anchorId="4558DACB" wp14:editId="7E481899">
            <wp:extent cx="944815" cy="595407"/>
            <wp:effectExtent l="0" t="0" r="825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944815" cy="595407"/>
                    </a:xfrm>
                    <a:prstGeom prst="rect">
                      <a:avLst/>
                    </a:prstGeom>
                  </pic:spPr>
                </pic:pic>
              </a:graphicData>
            </a:graphic>
          </wp:inline>
        </w:drawing>
      </w:r>
    </w:p>
    <w:p w14:paraId="4558DA8D" w14:textId="77777777" w:rsidR="00CA0262" w:rsidRDefault="00CA0262">
      <w:pPr>
        <w:rPr>
          <w:sz w:val="20"/>
        </w:rPr>
        <w:sectPr w:rsidR="00CA0262">
          <w:type w:val="continuous"/>
          <w:pgSz w:w="12240" w:h="15840"/>
          <w:pgMar w:top="340" w:right="360" w:bottom="280" w:left="360" w:header="720" w:footer="720" w:gutter="0"/>
          <w:cols w:space="720"/>
        </w:sectPr>
      </w:pPr>
    </w:p>
    <w:p w14:paraId="4558DA8E" w14:textId="77777777" w:rsidR="00CA0262" w:rsidRDefault="00CA0262">
      <w:pPr>
        <w:pStyle w:val="BodyText"/>
      </w:pPr>
    </w:p>
    <w:p w14:paraId="4558DA8F" w14:textId="77777777" w:rsidR="00CA0262" w:rsidRDefault="00CA0262">
      <w:pPr>
        <w:pStyle w:val="BodyText"/>
        <w:spacing w:before="45"/>
      </w:pPr>
    </w:p>
    <w:p w14:paraId="4558DA90" w14:textId="77777777" w:rsidR="00CA0262" w:rsidRDefault="00F3325C">
      <w:pPr>
        <w:pStyle w:val="BodyText"/>
        <w:ind w:left="844" w:hanging="111"/>
        <w:rPr>
          <w:rFonts w:ascii="Arial Narrow"/>
        </w:rPr>
      </w:pPr>
      <w:r>
        <w:rPr>
          <w:rFonts w:ascii="Arial Narrow"/>
          <w:color w:val="0042A1"/>
        </w:rPr>
        <w:t>Pat</w:t>
      </w:r>
      <w:r>
        <w:rPr>
          <w:rFonts w:ascii="Arial Narrow"/>
          <w:color w:val="0042A1"/>
          <w:spacing w:val="-14"/>
        </w:rPr>
        <w:t xml:space="preserve"> </w:t>
      </w:r>
      <w:r>
        <w:rPr>
          <w:rFonts w:ascii="Arial Narrow"/>
          <w:color w:val="0042A1"/>
        </w:rPr>
        <w:t xml:space="preserve">McCrory </w:t>
      </w:r>
      <w:r>
        <w:rPr>
          <w:rFonts w:ascii="Arial Narrow"/>
          <w:color w:val="0042A1"/>
          <w:spacing w:val="-2"/>
        </w:rPr>
        <w:t>Governor</w:t>
      </w:r>
    </w:p>
    <w:p w14:paraId="4558DA91" w14:textId="77777777" w:rsidR="00CA0262" w:rsidRDefault="00F3325C">
      <w:pPr>
        <w:pStyle w:val="Heading1"/>
      </w:pPr>
      <w:r>
        <w:br w:type="column"/>
      </w:r>
      <w:r>
        <w:rPr>
          <w:color w:val="0042A1"/>
        </w:rPr>
        <w:t>North</w:t>
      </w:r>
      <w:r>
        <w:rPr>
          <w:color w:val="0042A1"/>
          <w:spacing w:val="-12"/>
        </w:rPr>
        <w:t xml:space="preserve"> </w:t>
      </w:r>
      <w:r>
        <w:rPr>
          <w:color w:val="0042A1"/>
        </w:rPr>
        <w:t>Carolina</w:t>
      </w:r>
      <w:r>
        <w:rPr>
          <w:color w:val="0042A1"/>
          <w:spacing w:val="-7"/>
        </w:rPr>
        <w:t xml:space="preserve"> </w:t>
      </w:r>
      <w:r>
        <w:rPr>
          <w:color w:val="0042A1"/>
        </w:rPr>
        <w:t>Department</w:t>
      </w:r>
      <w:r>
        <w:rPr>
          <w:color w:val="0042A1"/>
          <w:spacing w:val="-6"/>
        </w:rPr>
        <w:t xml:space="preserve"> </w:t>
      </w:r>
      <w:r>
        <w:rPr>
          <w:color w:val="0042A1"/>
        </w:rPr>
        <w:t>of</w:t>
      </w:r>
      <w:r>
        <w:rPr>
          <w:color w:val="0042A1"/>
          <w:spacing w:val="-5"/>
        </w:rPr>
        <w:t xml:space="preserve"> </w:t>
      </w:r>
      <w:r>
        <w:rPr>
          <w:color w:val="0042A1"/>
        </w:rPr>
        <w:t>Environment</w:t>
      </w:r>
      <w:r>
        <w:rPr>
          <w:color w:val="0042A1"/>
          <w:spacing w:val="-8"/>
        </w:rPr>
        <w:t xml:space="preserve"> </w:t>
      </w:r>
      <w:r>
        <w:rPr>
          <w:color w:val="0042A1"/>
        </w:rPr>
        <w:t>and</w:t>
      </w:r>
      <w:r>
        <w:rPr>
          <w:color w:val="0042A1"/>
          <w:spacing w:val="-7"/>
        </w:rPr>
        <w:t xml:space="preserve"> </w:t>
      </w:r>
      <w:r>
        <w:rPr>
          <w:color w:val="0042A1"/>
        </w:rPr>
        <w:t>Natural</w:t>
      </w:r>
      <w:r>
        <w:rPr>
          <w:color w:val="0042A1"/>
          <w:spacing w:val="-6"/>
        </w:rPr>
        <w:t xml:space="preserve"> </w:t>
      </w:r>
      <w:r>
        <w:rPr>
          <w:color w:val="0042A1"/>
          <w:spacing w:val="-2"/>
        </w:rPr>
        <w:t>Resources</w:t>
      </w:r>
    </w:p>
    <w:p w14:paraId="4558DA92" w14:textId="77777777" w:rsidR="00CA0262" w:rsidRDefault="00F3325C">
      <w:pPr>
        <w:pStyle w:val="BodyText"/>
        <w:spacing w:before="247"/>
        <w:ind w:left="7268" w:right="112" w:hanging="608"/>
        <w:rPr>
          <w:rFonts w:ascii="Arial Narrow"/>
        </w:rPr>
      </w:pPr>
      <w:r>
        <w:rPr>
          <w:rFonts w:ascii="Arial Narrow"/>
          <w:color w:val="0042A1"/>
        </w:rPr>
        <w:t>Donald</w:t>
      </w:r>
      <w:r>
        <w:rPr>
          <w:rFonts w:ascii="Arial Narrow"/>
          <w:color w:val="0042A1"/>
          <w:spacing w:val="-11"/>
        </w:rPr>
        <w:t xml:space="preserve"> </w:t>
      </w:r>
      <w:r>
        <w:rPr>
          <w:rFonts w:ascii="Arial Narrow"/>
          <w:color w:val="0042A1"/>
        </w:rPr>
        <w:t>R.</w:t>
      </w:r>
      <w:r>
        <w:rPr>
          <w:rFonts w:ascii="Arial Narrow"/>
          <w:color w:val="0042A1"/>
          <w:spacing w:val="-9"/>
        </w:rPr>
        <w:t xml:space="preserve"> </w:t>
      </w:r>
      <w:r>
        <w:rPr>
          <w:rFonts w:ascii="Arial Narrow"/>
          <w:color w:val="0042A1"/>
        </w:rPr>
        <w:t>van</w:t>
      </w:r>
      <w:r>
        <w:rPr>
          <w:rFonts w:ascii="Arial Narrow"/>
          <w:color w:val="0042A1"/>
          <w:spacing w:val="-9"/>
        </w:rPr>
        <w:t xml:space="preserve"> </w:t>
      </w:r>
      <w:r>
        <w:rPr>
          <w:rFonts w:ascii="Arial Narrow"/>
          <w:color w:val="0042A1"/>
        </w:rPr>
        <w:t>der</w:t>
      </w:r>
      <w:r>
        <w:rPr>
          <w:rFonts w:ascii="Arial Narrow"/>
          <w:color w:val="0042A1"/>
          <w:spacing w:val="-9"/>
        </w:rPr>
        <w:t xml:space="preserve"> </w:t>
      </w:r>
      <w:proofErr w:type="spellStart"/>
      <w:r>
        <w:rPr>
          <w:rFonts w:ascii="Arial Narrow"/>
          <w:color w:val="0042A1"/>
        </w:rPr>
        <w:t>Vaart</w:t>
      </w:r>
      <w:proofErr w:type="spellEnd"/>
      <w:r>
        <w:rPr>
          <w:rFonts w:ascii="Arial Narrow"/>
          <w:color w:val="0042A1"/>
        </w:rPr>
        <w:t xml:space="preserve"> </w:t>
      </w:r>
      <w:r>
        <w:rPr>
          <w:rFonts w:ascii="Arial Narrow"/>
          <w:color w:val="0042A1"/>
          <w:spacing w:val="-2"/>
        </w:rPr>
        <w:t>Secretary</w:t>
      </w:r>
    </w:p>
    <w:p w14:paraId="4558DA93" w14:textId="77777777" w:rsidR="00CA0262" w:rsidRDefault="00F3325C">
      <w:pPr>
        <w:pStyle w:val="BodyText"/>
        <w:spacing w:before="74"/>
        <w:ind w:left="64" w:right="1932"/>
        <w:jc w:val="center"/>
      </w:pPr>
      <w:r>
        <w:t>March</w:t>
      </w:r>
      <w:r>
        <w:rPr>
          <w:spacing w:val="-2"/>
        </w:rPr>
        <w:t xml:space="preserve"> </w:t>
      </w:r>
      <w:r>
        <w:t>11,</w:t>
      </w:r>
      <w:r>
        <w:rPr>
          <w:spacing w:val="-1"/>
        </w:rPr>
        <w:t xml:space="preserve"> </w:t>
      </w:r>
      <w:r>
        <w:rPr>
          <w:spacing w:val="-4"/>
        </w:rPr>
        <w:t>2015</w:t>
      </w:r>
    </w:p>
    <w:p w14:paraId="4558DA94" w14:textId="77777777" w:rsidR="00CA0262" w:rsidRDefault="00CA0262">
      <w:pPr>
        <w:pStyle w:val="BodyText"/>
        <w:jc w:val="center"/>
        <w:sectPr w:rsidR="00CA0262">
          <w:type w:val="continuous"/>
          <w:pgSz w:w="12240" w:h="15840"/>
          <w:pgMar w:top="340" w:right="360" w:bottom="280" w:left="360" w:header="720" w:footer="720" w:gutter="0"/>
          <w:cols w:num="2" w:space="720" w:equalWidth="0">
            <w:col w:w="1830" w:space="40"/>
            <w:col w:w="9650"/>
          </w:cols>
        </w:sectPr>
      </w:pPr>
    </w:p>
    <w:p w14:paraId="4558DA95" w14:textId="77777777" w:rsidR="00CA0262" w:rsidRDefault="00CA0262">
      <w:pPr>
        <w:pStyle w:val="BodyText"/>
        <w:spacing w:before="274"/>
      </w:pPr>
    </w:p>
    <w:p w14:paraId="4558DA96" w14:textId="77777777" w:rsidR="00CA0262" w:rsidRDefault="00F3325C">
      <w:pPr>
        <w:pStyle w:val="BodyText"/>
        <w:tabs>
          <w:tab w:val="left" w:pos="2376"/>
        </w:tabs>
        <w:ind w:left="936"/>
      </w:pPr>
      <w:r>
        <w:rPr>
          <w:spacing w:val="-5"/>
        </w:rPr>
        <w:t>To:</w:t>
      </w:r>
      <w:r>
        <w:tab/>
        <w:t xml:space="preserve">Certified </w:t>
      </w:r>
      <w:r>
        <w:rPr>
          <w:spacing w:val="-2"/>
        </w:rPr>
        <w:t>Laboratories</w:t>
      </w:r>
    </w:p>
    <w:p w14:paraId="4558DA97" w14:textId="77777777" w:rsidR="00CA0262" w:rsidRDefault="00F3325C">
      <w:pPr>
        <w:pStyle w:val="BodyText"/>
        <w:tabs>
          <w:tab w:val="left" w:pos="2376"/>
        </w:tabs>
        <w:ind w:left="936"/>
      </w:pPr>
      <w:r>
        <w:rPr>
          <w:spacing w:val="-2"/>
        </w:rPr>
        <w:t>Subject:</w:t>
      </w:r>
      <w:r>
        <w:tab/>
        <w:t>North</w:t>
      </w:r>
      <w:r>
        <w:rPr>
          <w:spacing w:val="-4"/>
        </w:rPr>
        <w:t xml:space="preserve"> </w:t>
      </w:r>
      <w:r>
        <w:t>Carolina</w:t>
      </w:r>
      <w:r>
        <w:rPr>
          <w:spacing w:val="-2"/>
        </w:rPr>
        <w:t xml:space="preserve"> </w:t>
      </w:r>
      <w:r>
        <w:t>Total</w:t>
      </w:r>
      <w:r>
        <w:rPr>
          <w:spacing w:val="-1"/>
        </w:rPr>
        <w:t xml:space="preserve"> </w:t>
      </w:r>
      <w:r>
        <w:t>Residual</w:t>
      </w:r>
      <w:r>
        <w:rPr>
          <w:spacing w:val="-1"/>
        </w:rPr>
        <w:t xml:space="preserve"> </w:t>
      </w:r>
      <w:r>
        <w:t>Chlorine</w:t>
      </w:r>
      <w:r>
        <w:rPr>
          <w:spacing w:val="-3"/>
        </w:rPr>
        <w:t xml:space="preserve"> </w:t>
      </w:r>
      <w:r>
        <w:t>Detection</w:t>
      </w:r>
      <w:r>
        <w:rPr>
          <w:spacing w:val="1"/>
        </w:rPr>
        <w:t xml:space="preserve"> </w:t>
      </w:r>
      <w:r>
        <w:t>and</w:t>
      </w:r>
      <w:r>
        <w:rPr>
          <w:spacing w:val="-1"/>
        </w:rPr>
        <w:t xml:space="preserve"> </w:t>
      </w:r>
      <w:r>
        <w:t xml:space="preserve">Compliance </w:t>
      </w:r>
      <w:r>
        <w:rPr>
          <w:spacing w:val="-2"/>
        </w:rPr>
        <w:t>Levels</w:t>
      </w:r>
    </w:p>
    <w:p w14:paraId="4558DA98" w14:textId="77777777" w:rsidR="00CA0262" w:rsidRDefault="00CA0262">
      <w:pPr>
        <w:pStyle w:val="BodyText"/>
      </w:pPr>
    </w:p>
    <w:p w14:paraId="4558DA99" w14:textId="77777777" w:rsidR="00CA0262" w:rsidRDefault="00F3325C">
      <w:pPr>
        <w:pStyle w:val="BodyText"/>
        <w:ind w:left="936" w:right="931"/>
        <w:jc w:val="both"/>
      </w:pPr>
      <w:r>
        <w:t xml:space="preserve">Since we frequently get questions regarding the approved methods, instrumentation and reporting procedures for Total Residual Chlorine (TRC), I would like to re-state the Division of Water Resources’ policies on these matters. In a letter dated August 14, 2001, the North Carolina Division of Water Resources (previously Division of Water Quality) notified National Pollutant Discharge Elimination System (NPDES) permittees that wastewater treatment facilities with TRC effluent limits would be required to </w:t>
      </w:r>
      <w:r>
        <w:rPr>
          <w:u w:val="single"/>
        </w:rPr>
        <w:t>utilize an instrument or analytical method that will detect and measure</w:t>
      </w:r>
      <w:r>
        <w:t xml:space="preserve"> </w:t>
      </w:r>
      <w:r>
        <w:rPr>
          <w:u w:val="single"/>
        </w:rPr>
        <w:t>TRC concentrations to levels that are below the permit discharge limit</w:t>
      </w:r>
      <w:r>
        <w:t xml:space="preserve"> by July</w:t>
      </w:r>
      <w:r>
        <w:rPr>
          <w:spacing w:val="-3"/>
        </w:rPr>
        <w:t xml:space="preserve"> </w:t>
      </w:r>
      <w:r>
        <w:t>1, 2002. [Note: TRC permit limits are typically set between 17 to 28 µg/L for discharge to freshwater and 13 µg/L for discharge to saltwater]. This requirement was based on an Environmental Protection Agency (EPA) audit of the NC enforcement program. It was also necessary to ensure water quality protection and compliance with state monitoring regulations [15A</w:t>
      </w:r>
      <w:r>
        <w:t xml:space="preserve"> NCAC 2B .0505 (e) (4)]. This letter further prescribed the following:</w:t>
      </w:r>
    </w:p>
    <w:p w14:paraId="4558DA9A" w14:textId="77777777" w:rsidR="00CA0262" w:rsidRDefault="00CA0262">
      <w:pPr>
        <w:pStyle w:val="BodyText"/>
        <w:spacing w:before="5"/>
      </w:pPr>
    </w:p>
    <w:p w14:paraId="4558DA9B" w14:textId="77777777" w:rsidR="00CA0262" w:rsidRDefault="00F3325C">
      <w:pPr>
        <w:pStyle w:val="ListParagraph"/>
        <w:numPr>
          <w:ilvl w:val="0"/>
          <w:numId w:val="1"/>
        </w:numPr>
        <w:tabs>
          <w:tab w:val="left" w:pos="1656"/>
        </w:tabs>
        <w:spacing w:line="237" w:lineRule="auto"/>
        <w:ind w:right="934"/>
        <w:rPr>
          <w:sz w:val="24"/>
        </w:rPr>
      </w:pPr>
      <w:r>
        <w:rPr>
          <w:i/>
          <w:sz w:val="24"/>
        </w:rPr>
        <w:t xml:space="preserve">Acceptable EPA-approved methods for low-level TRC analyses include the Amperometric Titration Method and the DPD Colorimetric Method. </w:t>
      </w:r>
      <w:r>
        <w:rPr>
          <w:sz w:val="24"/>
        </w:rPr>
        <w:t>[Note: Permit levels of 13, 17 and 28 µg/L require that a low-level spectrophotometric/colorimetric method be used.]</w:t>
      </w:r>
    </w:p>
    <w:p w14:paraId="4558DA9C" w14:textId="77777777" w:rsidR="00CA0262" w:rsidRDefault="00CA0262">
      <w:pPr>
        <w:pStyle w:val="BodyText"/>
        <w:spacing w:before="5"/>
      </w:pPr>
    </w:p>
    <w:p w14:paraId="4558DA9D" w14:textId="77777777" w:rsidR="00CA0262" w:rsidRDefault="00F3325C">
      <w:pPr>
        <w:pStyle w:val="ListParagraph"/>
        <w:numPr>
          <w:ilvl w:val="0"/>
          <w:numId w:val="1"/>
        </w:numPr>
        <w:tabs>
          <w:tab w:val="left" w:pos="1656"/>
        </w:tabs>
        <w:rPr>
          <w:sz w:val="24"/>
        </w:rPr>
      </w:pPr>
      <w:r>
        <w:rPr>
          <w:i/>
          <w:sz w:val="24"/>
        </w:rPr>
        <w:t xml:space="preserve">If a facility has </w:t>
      </w:r>
      <w:r>
        <w:rPr>
          <w:i/>
          <w:sz w:val="24"/>
          <w:u w:val="single"/>
        </w:rPr>
        <w:t>no effluent limit</w:t>
      </w:r>
      <w:r>
        <w:rPr>
          <w:i/>
          <w:sz w:val="24"/>
        </w:rPr>
        <w:t xml:space="preserve"> for TRC (just a monitoring requirement), then use of a</w:t>
      </w:r>
      <w:r>
        <w:rPr>
          <w:i/>
          <w:spacing w:val="80"/>
          <w:sz w:val="24"/>
        </w:rPr>
        <w:t xml:space="preserve"> </w:t>
      </w:r>
      <w:r>
        <w:rPr>
          <w:i/>
          <w:sz w:val="24"/>
        </w:rPr>
        <w:t xml:space="preserve">hand-held meter, sometimes described as a pocket colorimeter, and the reporting of &lt;100 µg/L as a TRC value is acceptable. </w:t>
      </w:r>
      <w:r>
        <w:rPr>
          <w:sz w:val="24"/>
        </w:rPr>
        <w:t>[Note: If a facility has a permit monitoring limit &gt;0.1 mg/L (i.e., 100 µg/L), it is acceptable to use a pocket colorimeter.]</w:t>
      </w:r>
    </w:p>
    <w:p w14:paraId="4558DA9E" w14:textId="77777777" w:rsidR="00CA0262" w:rsidRDefault="00CA0262">
      <w:pPr>
        <w:pStyle w:val="BodyText"/>
      </w:pPr>
    </w:p>
    <w:p w14:paraId="4558DA9F" w14:textId="77777777" w:rsidR="00CA0262" w:rsidRDefault="00F3325C">
      <w:pPr>
        <w:pStyle w:val="BodyText"/>
        <w:ind w:left="936" w:right="933"/>
        <w:jc w:val="both"/>
      </w:pPr>
      <w:r>
        <w:t xml:space="preserve">In a subsequent letter dated May 1, 2008, the Division acknowledged that there were difficulties with TRC measurement at the levels required by the discharge permits and notified NPDES permittees that a </w:t>
      </w:r>
      <w:r>
        <w:rPr>
          <w:u w:val="single"/>
        </w:rPr>
        <w:t>50 µg/L compliance level</w:t>
      </w:r>
      <w:r>
        <w:t xml:space="preserve"> would be adopted beginning with March, 2008 DMR submittals. This letter also prescribed the following:</w:t>
      </w:r>
    </w:p>
    <w:p w14:paraId="4558DAA0" w14:textId="77777777" w:rsidR="00CA0262" w:rsidRDefault="00CA0262">
      <w:pPr>
        <w:pStyle w:val="BodyText"/>
        <w:spacing w:before="2"/>
      </w:pPr>
    </w:p>
    <w:p w14:paraId="4558DAA1" w14:textId="77777777" w:rsidR="00CA0262" w:rsidRDefault="00F3325C">
      <w:pPr>
        <w:pStyle w:val="ListParagraph"/>
        <w:numPr>
          <w:ilvl w:val="0"/>
          <w:numId w:val="1"/>
        </w:numPr>
        <w:tabs>
          <w:tab w:val="left" w:pos="1656"/>
        </w:tabs>
        <w:rPr>
          <w:i/>
          <w:sz w:val="24"/>
        </w:rPr>
      </w:pPr>
      <w:r>
        <w:rPr>
          <w:i/>
          <w:sz w:val="24"/>
        </w:rPr>
        <w:t xml:space="preserve">Implementation of the 50 µg/L compliance level would </w:t>
      </w:r>
      <w:r>
        <w:rPr>
          <w:i/>
          <w:sz w:val="24"/>
          <w:u w:val="single"/>
        </w:rPr>
        <w:t>not</w:t>
      </w:r>
      <w:r>
        <w:rPr>
          <w:i/>
          <w:sz w:val="24"/>
        </w:rPr>
        <w:t xml:space="preserve"> change the analysis, annual verification of meter performance</w:t>
      </w:r>
      <w:r>
        <w:rPr>
          <w:i/>
          <w:spacing w:val="-1"/>
          <w:sz w:val="24"/>
        </w:rPr>
        <w:t xml:space="preserve"> </w:t>
      </w:r>
      <w:r>
        <w:rPr>
          <w:i/>
          <w:sz w:val="24"/>
        </w:rPr>
        <w:t>or data reporting, but simply</w:t>
      </w:r>
      <w:r>
        <w:rPr>
          <w:i/>
          <w:spacing w:val="-1"/>
          <w:sz w:val="24"/>
        </w:rPr>
        <w:t xml:space="preserve"> </w:t>
      </w:r>
      <w:r>
        <w:rPr>
          <w:i/>
          <w:sz w:val="24"/>
        </w:rPr>
        <w:t>how the reported values will be evaluated by the Division from a compliance standpoint.</w:t>
      </w:r>
    </w:p>
    <w:p w14:paraId="4558DAA2" w14:textId="77777777" w:rsidR="00CA0262" w:rsidRDefault="00F3325C">
      <w:pPr>
        <w:pStyle w:val="ListParagraph"/>
        <w:numPr>
          <w:ilvl w:val="0"/>
          <w:numId w:val="1"/>
        </w:numPr>
        <w:tabs>
          <w:tab w:val="left" w:pos="1656"/>
        </w:tabs>
        <w:spacing w:before="275"/>
        <w:ind w:right="932"/>
        <w:rPr>
          <w:i/>
          <w:sz w:val="24"/>
        </w:rPr>
      </w:pPr>
      <w:r>
        <w:rPr>
          <w:i/>
          <w:sz w:val="24"/>
        </w:rPr>
        <w:t>Permittees will still be required to report actual results on the monthly DMR submittals, but for compliance purposes, all TRC values below 50 µg/L will be treated as zero. For</w:t>
      </w:r>
      <w:r>
        <w:rPr>
          <w:i/>
          <w:spacing w:val="40"/>
          <w:sz w:val="24"/>
        </w:rPr>
        <w:t xml:space="preserve"> </w:t>
      </w:r>
      <w:r>
        <w:rPr>
          <w:i/>
          <w:sz w:val="24"/>
        </w:rPr>
        <w:t>example, if the facility has a TRC permit limit of 17 µg/L and reports a TRC value of 40</w:t>
      </w:r>
      <w:r>
        <w:rPr>
          <w:i/>
          <w:spacing w:val="40"/>
          <w:sz w:val="24"/>
        </w:rPr>
        <w:t xml:space="preserve"> </w:t>
      </w:r>
      <w:r>
        <w:rPr>
          <w:i/>
          <w:sz w:val="24"/>
        </w:rPr>
        <w:t>µg/L on the DMR, this value will be considered compliant.</w:t>
      </w:r>
    </w:p>
    <w:p w14:paraId="4558DAA3" w14:textId="77777777" w:rsidR="00CA0262" w:rsidRDefault="00F3325C">
      <w:pPr>
        <w:spacing w:before="100"/>
        <w:ind w:left="2" w:right="2"/>
        <w:jc w:val="center"/>
        <w:rPr>
          <w:rFonts w:ascii="Arial Narrow"/>
          <w:b/>
          <w:sz w:val="16"/>
        </w:rPr>
      </w:pPr>
      <w:r>
        <w:rPr>
          <w:rFonts w:ascii="Arial Narrow"/>
          <w:b/>
          <w:color w:val="0042A1"/>
          <w:sz w:val="16"/>
        </w:rPr>
        <w:t>Water</w:t>
      </w:r>
      <w:r>
        <w:rPr>
          <w:rFonts w:ascii="Arial Narrow"/>
          <w:b/>
          <w:color w:val="0042A1"/>
          <w:spacing w:val="-7"/>
          <w:sz w:val="16"/>
        </w:rPr>
        <w:t xml:space="preserve"> </w:t>
      </w:r>
      <w:r>
        <w:rPr>
          <w:rFonts w:ascii="Arial Narrow"/>
          <w:b/>
          <w:color w:val="0042A1"/>
          <w:sz w:val="16"/>
        </w:rPr>
        <w:t>Sciences</w:t>
      </w:r>
      <w:r>
        <w:rPr>
          <w:rFonts w:ascii="Arial Narrow"/>
          <w:b/>
          <w:color w:val="0042A1"/>
          <w:spacing w:val="-4"/>
          <w:sz w:val="16"/>
        </w:rPr>
        <w:t xml:space="preserve"> </w:t>
      </w:r>
      <w:r>
        <w:rPr>
          <w:rFonts w:ascii="Arial Narrow"/>
          <w:b/>
          <w:color w:val="0042A1"/>
          <w:spacing w:val="-2"/>
          <w:sz w:val="16"/>
        </w:rPr>
        <w:t>Section</w:t>
      </w:r>
    </w:p>
    <w:p w14:paraId="4558DAA4" w14:textId="77777777" w:rsidR="00CA0262" w:rsidRDefault="00F3325C">
      <w:pPr>
        <w:spacing w:before="1"/>
        <w:ind w:left="3833" w:right="3833" w:hanging="1"/>
        <w:jc w:val="center"/>
        <w:rPr>
          <w:rFonts w:ascii="Arial Narrow"/>
          <w:sz w:val="16"/>
        </w:rPr>
      </w:pPr>
      <w:r>
        <w:rPr>
          <w:rFonts w:ascii="Arial Narrow"/>
          <w:b/>
          <w:color w:val="0042A1"/>
          <w:sz w:val="16"/>
        </w:rPr>
        <w:t>NC</w:t>
      </w:r>
      <w:r>
        <w:rPr>
          <w:rFonts w:ascii="Arial Narrow"/>
          <w:b/>
          <w:color w:val="0042A1"/>
          <w:spacing w:val="-1"/>
          <w:sz w:val="16"/>
        </w:rPr>
        <w:t xml:space="preserve"> </w:t>
      </w:r>
      <w:r>
        <w:rPr>
          <w:rFonts w:ascii="Arial Narrow"/>
          <w:b/>
          <w:color w:val="0042A1"/>
          <w:sz w:val="16"/>
        </w:rPr>
        <w:t>Wastewater/Groundwater</w:t>
      </w:r>
      <w:r>
        <w:rPr>
          <w:rFonts w:ascii="Arial Narrow"/>
          <w:b/>
          <w:color w:val="0042A1"/>
          <w:spacing w:val="-3"/>
          <w:sz w:val="16"/>
        </w:rPr>
        <w:t xml:space="preserve"> </w:t>
      </w:r>
      <w:r>
        <w:rPr>
          <w:rFonts w:ascii="Arial Narrow"/>
          <w:b/>
          <w:color w:val="0042A1"/>
          <w:sz w:val="16"/>
        </w:rPr>
        <w:t>Laboratory</w:t>
      </w:r>
      <w:r>
        <w:rPr>
          <w:rFonts w:ascii="Arial Narrow"/>
          <w:b/>
          <w:color w:val="0042A1"/>
          <w:spacing w:val="-1"/>
          <w:sz w:val="16"/>
        </w:rPr>
        <w:t xml:space="preserve"> </w:t>
      </w:r>
      <w:r>
        <w:rPr>
          <w:rFonts w:ascii="Arial Narrow"/>
          <w:b/>
          <w:color w:val="0042A1"/>
          <w:sz w:val="16"/>
        </w:rPr>
        <w:t>Certification</w:t>
      </w:r>
      <w:r>
        <w:rPr>
          <w:rFonts w:ascii="Arial Narrow"/>
          <w:b/>
          <w:color w:val="0042A1"/>
          <w:spacing w:val="-4"/>
          <w:sz w:val="16"/>
        </w:rPr>
        <w:t xml:space="preserve"> </w:t>
      </w:r>
      <w:r>
        <w:rPr>
          <w:rFonts w:ascii="Arial Narrow"/>
          <w:b/>
          <w:color w:val="0042A1"/>
          <w:sz w:val="16"/>
        </w:rPr>
        <w:t>Branch</w:t>
      </w:r>
      <w:r>
        <w:rPr>
          <w:rFonts w:ascii="Arial Narrow"/>
          <w:b/>
          <w:color w:val="0042A1"/>
          <w:spacing w:val="40"/>
          <w:sz w:val="16"/>
        </w:rPr>
        <w:t xml:space="preserve"> </w:t>
      </w:r>
      <w:r>
        <w:rPr>
          <w:rFonts w:ascii="Arial Narrow"/>
          <w:color w:val="0042A1"/>
          <w:sz w:val="16"/>
        </w:rPr>
        <w:t>1623 Mail Service Center, Raleigh, North Carolina 27699-1623</w:t>
      </w:r>
      <w:r>
        <w:rPr>
          <w:rFonts w:ascii="Arial Narrow"/>
          <w:color w:val="0042A1"/>
          <w:spacing w:val="40"/>
          <w:sz w:val="16"/>
        </w:rPr>
        <w:t xml:space="preserve"> </w:t>
      </w:r>
      <w:r>
        <w:rPr>
          <w:rFonts w:ascii="Arial Narrow"/>
          <w:color w:val="0042A1"/>
          <w:sz w:val="16"/>
        </w:rPr>
        <w:t>Location:</w:t>
      </w:r>
      <w:r>
        <w:rPr>
          <w:rFonts w:ascii="Arial Narrow"/>
          <w:color w:val="0042A1"/>
          <w:spacing w:val="-5"/>
          <w:sz w:val="16"/>
        </w:rPr>
        <w:t xml:space="preserve"> </w:t>
      </w:r>
      <w:r>
        <w:rPr>
          <w:rFonts w:ascii="Arial Narrow"/>
          <w:color w:val="0042A1"/>
          <w:sz w:val="16"/>
        </w:rPr>
        <w:t>4405</w:t>
      </w:r>
      <w:r>
        <w:rPr>
          <w:rFonts w:ascii="Arial Narrow"/>
          <w:color w:val="0042A1"/>
          <w:spacing w:val="-5"/>
          <w:sz w:val="16"/>
        </w:rPr>
        <w:t xml:space="preserve"> </w:t>
      </w:r>
      <w:r>
        <w:rPr>
          <w:rFonts w:ascii="Arial Narrow"/>
          <w:color w:val="0042A1"/>
          <w:sz w:val="16"/>
        </w:rPr>
        <w:t>Reedy</w:t>
      </w:r>
      <w:r>
        <w:rPr>
          <w:rFonts w:ascii="Arial Narrow"/>
          <w:color w:val="0042A1"/>
          <w:spacing w:val="-5"/>
          <w:sz w:val="16"/>
        </w:rPr>
        <w:t xml:space="preserve"> </w:t>
      </w:r>
      <w:r>
        <w:rPr>
          <w:rFonts w:ascii="Arial Narrow"/>
          <w:color w:val="0042A1"/>
          <w:sz w:val="16"/>
        </w:rPr>
        <w:t>Creek</w:t>
      </w:r>
      <w:r>
        <w:rPr>
          <w:rFonts w:ascii="Arial Narrow"/>
          <w:color w:val="0042A1"/>
          <w:spacing w:val="-5"/>
          <w:sz w:val="16"/>
        </w:rPr>
        <w:t xml:space="preserve"> </w:t>
      </w:r>
      <w:r>
        <w:rPr>
          <w:rFonts w:ascii="Arial Narrow"/>
          <w:color w:val="0042A1"/>
          <w:sz w:val="16"/>
        </w:rPr>
        <w:t>Road,</w:t>
      </w:r>
      <w:r>
        <w:rPr>
          <w:rFonts w:ascii="Arial Narrow"/>
          <w:color w:val="0042A1"/>
          <w:spacing w:val="-5"/>
          <w:sz w:val="16"/>
        </w:rPr>
        <w:t xml:space="preserve"> </w:t>
      </w:r>
      <w:r>
        <w:rPr>
          <w:rFonts w:ascii="Arial Narrow"/>
          <w:color w:val="0042A1"/>
          <w:sz w:val="16"/>
        </w:rPr>
        <w:t>Raleigh,</w:t>
      </w:r>
      <w:r>
        <w:rPr>
          <w:rFonts w:ascii="Arial Narrow"/>
          <w:color w:val="0042A1"/>
          <w:spacing w:val="-5"/>
          <w:sz w:val="16"/>
        </w:rPr>
        <w:t xml:space="preserve"> </w:t>
      </w:r>
      <w:r>
        <w:rPr>
          <w:rFonts w:ascii="Arial Narrow"/>
          <w:color w:val="0042A1"/>
          <w:sz w:val="16"/>
        </w:rPr>
        <w:t>North</w:t>
      </w:r>
      <w:r>
        <w:rPr>
          <w:rFonts w:ascii="Arial Narrow"/>
          <w:color w:val="0042A1"/>
          <w:spacing w:val="-4"/>
          <w:sz w:val="16"/>
        </w:rPr>
        <w:t xml:space="preserve"> </w:t>
      </w:r>
      <w:r>
        <w:rPr>
          <w:rFonts w:ascii="Arial Narrow"/>
          <w:color w:val="0042A1"/>
          <w:sz w:val="16"/>
        </w:rPr>
        <w:t>Carolina</w:t>
      </w:r>
      <w:r>
        <w:rPr>
          <w:rFonts w:ascii="Arial Narrow"/>
          <w:color w:val="0042A1"/>
          <w:spacing w:val="-5"/>
          <w:sz w:val="16"/>
        </w:rPr>
        <w:t xml:space="preserve"> </w:t>
      </w:r>
      <w:r>
        <w:rPr>
          <w:rFonts w:ascii="Arial Narrow"/>
          <w:color w:val="0042A1"/>
          <w:sz w:val="16"/>
        </w:rPr>
        <w:t>27607</w:t>
      </w:r>
      <w:r>
        <w:rPr>
          <w:rFonts w:ascii="Arial Narrow"/>
          <w:color w:val="0042A1"/>
          <w:spacing w:val="40"/>
          <w:sz w:val="16"/>
        </w:rPr>
        <w:t xml:space="preserve"> </w:t>
      </w:r>
      <w:r>
        <w:rPr>
          <w:rFonts w:ascii="Arial Narrow"/>
          <w:color w:val="0042A1"/>
          <w:sz w:val="16"/>
        </w:rPr>
        <w:t>Phone: 919-733-3908 \ FAX: 919-733-6241</w:t>
      </w:r>
    </w:p>
    <w:p w14:paraId="4558DAA5" w14:textId="77777777" w:rsidR="00CA0262" w:rsidRDefault="00F3325C">
      <w:pPr>
        <w:ind w:left="2"/>
        <w:jc w:val="center"/>
        <w:rPr>
          <w:rFonts w:ascii="Arial Narrow"/>
          <w:b/>
          <w:sz w:val="16"/>
        </w:rPr>
      </w:pPr>
      <w:r>
        <w:rPr>
          <w:rFonts w:ascii="Arial Narrow"/>
          <w:color w:val="0042A1"/>
          <w:sz w:val="16"/>
        </w:rPr>
        <w:t>Internet:</w:t>
      </w:r>
      <w:r>
        <w:rPr>
          <w:rFonts w:ascii="Arial Narrow"/>
          <w:color w:val="0042A1"/>
          <w:spacing w:val="-7"/>
          <w:sz w:val="16"/>
        </w:rPr>
        <w:t xml:space="preserve"> </w:t>
      </w:r>
      <w:hyperlink r:id="rId6">
        <w:r>
          <w:rPr>
            <w:rFonts w:ascii="Arial Narrow"/>
            <w:b/>
            <w:color w:val="0000FF"/>
            <w:spacing w:val="-2"/>
            <w:sz w:val="16"/>
            <w:u w:val="single" w:color="0000FF"/>
          </w:rPr>
          <w:t>www.dwqlab.org</w:t>
        </w:r>
      </w:hyperlink>
    </w:p>
    <w:p w14:paraId="4558DAA6" w14:textId="77777777" w:rsidR="00CA0262" w:rsidRDefault="00CA0262">
      <w:pPr>
        <w:pStyle w:val="BodyText"/>
        <w:spacing w:before="1"/>
        <w:rPr>
          <w:rFonts w:ascii="Arial Narrow"/>
          <w:b/>
          <w:sz w:val="14"/>
        </w:rPr>
      </w:pPr>
    </w:p>
    <w:p w14:paraId="4558DAA7" w14:textId="77777777" w:rsidR="00CA0262" w:rsidRDefault="00F3325C">
      <w:pPr>
        <w:ind w:left="2" w:right="2"/>
        <w:jc w:val="center"/>
        <w:rPr>
          <w:rFonts w:ascii="Arial Narrow"/>
          <w:sz w:val="14"/>
        </w:rPr>
      </w:pPr>
      <w:r>
        <w:rPr>
          <w:rFonts w:ascii="Arial Narrow"/>
          <w:color w:val="0042A1"/>
          <w:sz w:val="14"/>
        </w:rPr>
        <w:t>An</w:t>
      </w:r>
      <w:r>
        <w:rPr>
          <w:rFonts w:ascii="Arial Narrow"/>
          <w:color w:val="0042A1"/>
          <w:spacing w:val="-6"/>
          <w:sz w:val="14"/>
        </w:rPr>
        <w:t xml:space="preserve"> </w:t>
      </w:r>
      <w:r>
        <w:rPr>
          <w:rFonts w:ascii="Arial Narrow"/>
          <w:color w:val="0042A1"/>
          <w:sz w:val="14"/>
        </w:rPr>
        <w:t>Equal</w:t>
      </w:r>
      <w:r>
        <w:rPr>
          <w:rFonts w:ascii="Arial Narrow"/>
          <w:color w:val="0042A1"/>
          <w:spacing w:val="-4"/>
          <w:sz w:val="14"/>
        </w:rPr>
        <w:t xml:space="preserve"> </w:t>
      </w:r>
      <w:r>
        <w:rPr>
          <w:rFonts w:ascii="Arial Narrow"/>
          <w:color w:val="0042A1"/>
          <w:sz w:val="14"/>
        </w:rPr>
        <w:t>Opportunity</w:t>
      </w:r>
      <w:r>
        <w:rPr>
          <w:rFonts w:ascii="Arial Narrow"/>
          <w:color w:val="0042A1"/>
          <w:spacing w:val="-4"/>
          <w:sz w:val="14"/>
        </w:rPr>
        <w:t xml:space="preserve"> </w:t>
      </w:r>
      <w:r>
        <w:rPr>
          <w:rFonts w:ascii="Arial Narrow"/>
          <w:color w:val="0042A1"/>
          <w:sz w:val="14"/>
        </w:rPr>
        <w:t>\</w:t>
      </w:r>
      <w:r>
        <w:rPr>
          <w:rFonts w:ascii="Arial Narrow"/>
          <w:color w:val="0042A1"/>
          <w:spacing w:val="-3"/>
          <w:sz w:val="14"/>
        </w:rPr>
        <w:t xml:space="preserve"> </w:t>
      </w:r>
      <w:r>
        <w:rPr>
          <w:rFonts w:ascii="Arial Narrow"/>
          <w:color w:val="0042A1"/>
          <w:sz w:val="14"/>
        </w:rPr>
        <w:t>Affirmative</w:t>
      </w:r>
      <w:r>
        <w:rPr>
          <w:rFonts w:ascii="Arial Narrow"/>
          <w:color w:val="0042A1"/>
          <w:spacing w:val="-6"/>
          <w:sz w:val="14"/>
        </w:rPr>
        <w:t xml:space="preserve"> </w:t>
      </w:r>
      <w:r>
        <w:rPr>
          <w:rFonts w:ascii="Arial Narrow"/>
          <w:color w:val="0042A1"/>
          <w:sz w:val="14"/>
        </w:rPr>
        <w:t>Action</w:t>
      </w:r>
      <w:r>
        <w:rPr>
          <w:rFonts w:ascii="Arial Narrow"/>
          <w:color w:val="0042A1"/>
          <w:spacing w:val="-6"/>
          <w:sz w:val="14"/>
        </w:rPr>
        <w:t xml:space="preserve"> </w:t>
      </w:r>
      <w:r>
        <w:rPr>
          <w:rFonts w:ascii="Arial Narrow"/>
          <w:color w:val="0042A1"/>
          <w:spacing w:val="-2"/>
          <w:sz w:val="14"/>
        </w:rPr>
        <w:t>Employer</w:t>
      </w:r>
    </w:p>
    <w:p w14:paraId="4558DAA8" w14:textId="77777777" w:rsidR="00CA0262" w:rsidRDefault="00CA0262">
      <w:pPr>
        <w:jc w:val="center"/>
        <w:rPr>
          <w:rFonts w:ascii="Arial Narrow"/>
          <w:sz w:val="14"/>
        </w:rPr>
        <w:sectPr w:rsidR="00CA0262">
          <w:type w:val="continuous"/>
          <w:pgSz w:w="12240" w:h="15840"/>
          <w:pgMar w:top="340" w:right="360" w:bottom="280" w:left="360" w:header="720" w:footer="720" w:gutter="0"/>
          <w:cols w:space="720"/>
        </w:sectPr>
      </w:pPr>
    </w:p>
    <w:p w14:paraId="4558DAA9" w14:textId="77777777" w:rsidR="00CA0262" w:rsidRDefault="00F3325C">
      <w:pPr>
        <w:pStyle w:val="BodyText"/>
        <w:spacing w:before="68"/>
        <w:ind w:left="936" w:right="781"/>
      </w:pPr>
      <w:r>
        <w:lastRenderedPageBreak/>
        <w:t>The</w:t>
      </w:r>
      <w:r>
        <w:rPr>
          <w:spacing w:val="62"/>
        </w:rPr>
        <w:t xml:space="preserve"> </w:t>
      </w:r>
      <w:r>
        <w:t>following</w:t>
      </w:r>
      <w:r>
        <w:rPr>
          <w:spacing w:val="40"/>
        </w:rPr>
        <w:t xml:space="preserve"> </w:t>
      </w:r>
      <w:r>
        <w:t>table</w:t>
      </w:r>
      <w:r>
        <w:rPr>
          <w:spacing w:val="65"/>
        </w:rPr>
        <w:t xml:space="preserve"> </w:t>
      </w:r>
      <w:r>
        <w:t>is</w:t>
      </w:r>
      <w:r>
        <w:rPr>
          <w:spacing w:val="67"/>
        </w:rPr>
        <w:t xml:space="preserve"> </w:t>
      </w:r>
      <w:r>
        <w:t>meant</w:t>
      </w:r>
      <w:r>
        <w:rPr>
          <w:spacing w:val="64"/>
        </w:rPr>
        <w:t xml:space="preserve"> </w:t>
      </w:r>
      <w:r>
        <w:t>to</w:t>
      </w:r>
      <w:r>
        <w:rPr>
          <w:spacing w:val="64"/>
        </w:rPr>
        <w:t xml:space="preserve"> </w:t>
      </w:r>
      <w:r>
        <w:t>summarize</w:t>
      </w:r>
      <w:r>
        <w:rPr>
          <w:spacing w:val="63"/>
        </w:rPr>
        <w:t xml:space="preserve"> </w:t>
      </w:r>
      <w:r>
        <w:t>the</w:t>
      </w:r>
      <w:r>
        <w:rPr>
          <w:spacing w:val="63"/>
        </w:rPr>
        <w:t xml:space="preserve"> </w:t>
      </w:r>
      <w:r>
        <w:t>information</w:t>
      </w:r>
      <w:r>
        <w:rPr>
          <w:spacing w:val="66"/>
        </w:rPr>
        <w:t xml:space="preserve"> </w:t>
      </w:r>
      <w:r>
        <w:t>above</w:t>
      </w:r>
      <w:r>
        <w:rPr>
          <w:spacing w:val="65"/>
        </w:rPr>
        <w:t xml:space="preserve"> </w:t>
      </w:r>
      <w:r>
        <w:t>and</w:t>
      </w:r>
      <w:r>
        <w:rPr>
          <w:spacing w:val="63"/>
        </w:rPr>
        <w:t xml:space="preserve"> </w:t>
      </w:r>
      <w:r>
        <w:t>to</w:t>
      </w:r>
      <w:r>
        <w:rPr>
          <w:spacing w:val="64"/>
        </w:rPr>
        <w:t xml:space="preserve"> </w:t>
      </w:r>
      <w:r>
        <w:t>provide</w:t>
      </w:r>
      <w:r>
        <w:rPr>
          <w:spacing w:val="65"/>
        </w:rPr>
        <w:t xml:space="preserve"> </w:t>
      </w:r>
      <w:r>
        <w:t>additional guidance on proper methodology and equipment depending upon a facility’s permit limit.</w:t>
      </w:r>
    </w:p>
    <w:p w14:paraId="4558DAAA" w14:textId="77777777" w:rsidR="00CA0262" w:rsidRDefault="00CA0262">
      <w:pPr>
        <w:pStyle w:val="BodyText"/>
        <w:spacing w:before="54"/>
        <w:rPr>
          <w:sz w:val="20"/>
        </w:rPr>
      </w:pPr>
    </w:p>
    <w:tbl>
      <w:tblPr>
        <w:tblW w:w="0" w:type="auto"/>
        <w:tblInd w:w="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2"/>
        <w:gridCol w:w="1892"/>
        <w:gridCol w:w="2881"/>
        <w:gridCol w:w="4055"/>
      </w:tblGrid>
      <w:tr w:rsidR="00CA0262" w14:paraId="4558DAAF" w14:textId="77777777" w:rsidTr="00F3325C">
        <w:trPr>
          <w:trHeight w:val="299"/>
        </w:trPr>
        <w:tc>
          <w:tcPr>
            <w:tcW w:w="2252" w:type="dxa"/>
            <w:shd w:val="clear" w:color="auto" w:fill="C6D9F1" w:themeFill="text2" w:themeFillTint="33"/>
          </w:tcPr>
          <w:p w14:paraId="4558DAAB" w14:textId="77777777" w:rsidR="00CA0262" w:rsidRDefault="00F3325C">
            <w:pPr>
              <w:pStyle w:val="TableParagraph"/>
              <w:spacing w:before="54" w:line="225" w:lineRule="exact"/>
              <w:ind w:left="107"/>
              <w:jc w:val="left"/>
              <w:rPr>
                <w:b/>
                <w:sz w:val="20"/>
              </w:rPr>
            </w:pPr>
            <w:r w:rsidRPr="00F3325C">
              <w:rPr>
                <w:b/>
                <w:sz w:val="20"/>
              </w:rPr>
              <w:t>Permit</w:t>
            </w:r>
            <w:r w:rsidRPr="00F3325C">
              <w:rPr>
                <w:b/>
                <w:spacing w:val="-8"/>
                <w:sz w:val="20"/>
              </w:rPr>
              <w:t xml:space="preserve"> </w:t>
            </w:r>
            <w:r w:rsidRPr="00F3325C">
              <w:rPr>
                <w:b/>
                <w:spacing w:val="-2"/>
                <w:sz w:val="20"/>
              </w:rPr>
              <w:t>Limit</w:t>
            </w:r>
          </w:p>
        </w:tc>
        <w:tc>
          <w:tcPr>
            <w:tcW w:w="1892" w:type="dxa"/>
            <w:shd w:val="clear" w:color="auto" w:fill="C6D9F1" w:themeFill="text2" w:themeFillTint="33"/>
          </w:tcPr>
          <w:p w14:paraId="4558DAAC" w14:textId="77777777" w:rsidR="00CA0262" w:rsidRDefault="00F3325C">
            <w:pPr>
              <w:pStyle w:val="TableParagraph"/>
              <w:spacing w:before="54" w:line="225" w:lineRule="exact"/>
              <w:ind w:left="4"/>
              <w:rPr>
                <w:b/>
                <w:sz w:val="20"/>
              </w:rPr>
            </w:pPr>
            <w:r w:rsidRPr="00F3325C">
              <w:rPr>
                <w:b/>
                <w:sz w:val="20"/>
              </w:rPr>
              <w:t>No</w:t>
            </w:r>
            <w:r w:rsidRPr="00F3325C">
              <w:rPr>
                <w:b/>
                <w:spacing w:val="-3"/>
                <w:sz w:val="20"/>
              </w:rPr>
              <w:t xml:space="preserve"> </w:t>
            </w:r>
            <w:r w:rsidRPr="00F3325C">
              <w:rPr>
                <w:b/>
                <w:spacing w:val="-2"/>
                <w:sz w:val="20"/>
              </w:rPr>
              <w:t>Limit</w:t>
            </w:r>
          </w:p>
        </w:tc>
        <w:tc>
          <w:tcPr>
            <w:tcW w:w="2881" w:type="dxa"/>
            <w:shd w:val="clear" w:color="auto" w:fill="C6D9F1" w:themeFill="text2" w:themeFillTint="33"/>
          </w:tcPr>
          <w:p w14:paraId="4558DAAD" w14:textId="77777777" w:rsidR="00CA0262" w:rsidRDefault="00F3325C">
            <w:pPr>
              <w:pStyle w:val="TableParagraph"/>
              <w:spacing w:before="54" w:line="225" w:lineRule="exact"/>
              <w:ind w:left="1" w:right="1"/>
              <w:rPr>
                <w:b/>
                <w:sz w:val="20"/>
              </w:rPr>
            </w:pPr>
            <w:r w:rsidRPr="00F3325C">
              <w:rPr>
                <w:b/>
                <w:sz w:val="20"/>
              </w:rPr>
              <w:t>Limit</w:t>
            </w:r>
            <w:r w:rsidRPr="00F3325C">
              <w:rPr>
                <w:b/>
                <w:spacing w:val="-5"/>
                <w:sz w:val="20"/>
              </w:rPr>
              <w:t xml:space="preserve"> </w:t>
            </w:r>
            <w:r w:rsidRPr="00F3325C">
              <w:rPr>
                <w:b/>
                <w:sz w:val="20"/>
              </w:rPr>
              <w:t>is</w:t>
            </w:r>
            <w:r w:rsidRPr="00F3325C">
              <w:rPr>
                <w:b/>
                <w:spacing w:val="-3"/>
                <w:sz w:val="20"/>
              </w:rPr>
              <w:t xml:space="preserve"> </w:t>
            </w:r>
            <w:r w:rsidRPr="00F3325C">
              <w:rPr>
                <w:b/>
                <w:sz w:val="20"/>
              </w:rPr>
              <w:t>&gt;100</w:t>
            </w:r>
            <w:r w:rsidRPr="00F3325C">
              <w:rPr>
                <w:b/>
                <w:spacing w:val="-5"/>
                <w:sz w:val="20"/>
              </w:rPr>
              <w:t xml:space="preserve"> </w:t>
            </w:r>
            <w:r w:rsidRPr="00F3325C">
              <w:rPr>
                <w:b/>
                <w:color w:val="000000"/>
                <w:spacing w:val="-4"/>
                <w:sz w:val="20"/>
              </w:rPr>
              <w:t>µg/L</w:t>
            </w:r>
          </w:p>
        </w:tc>
        <w:tc>
          <w:tcPr>
            <w:tcW w:w="4055" w:type="dxa"/>
            <w:shd w:val="clear" w:color="auto" w:fill="C6D9F1" w:themeFill="text2" w:themeFillTint="33"/>
          </w:tcPr>
          <w:p w14:paraId="4558DAAE" w14:textId="77777777" w:rsidR="00CA0262" w:rsidRDefault="00F3325C">
            <w:pPr>
              <w:pStyle w:val="TableParagraph"/>
              <w:spacing w:before="54" w:line="225" w:lineRule="exact"/>
              <w:rPr>
                <w:b/>
                <w:sz w:val="20"/>
              </w:rPr>
            </w:pPr>
            <w:r w:rsidRPr="00F3325C">
              <w:rPr>
                <w:b/>
                <w:sz w:val="20"/>
              </w:rPr>
              <w:t>Limits</w:t>
            </w:r>
            <w:r w:rsidRPr="00F3325C">
              <w:rPr>
                <w:b/>
                <w:spacing w:val="-3"/>
                <w:sz w:val="20"/>
              </w:rPr>
              <w:t xml:space="preserve"> </w:t>
            </w:r>
            <w:r w:rsidRPr="00F3325C">
              <w:rPr>
                <w:b/>
                <w:sz w:val="20"/>
              </w:rPr>
              <w:t>of</w:t>
            </w:r>
            <w:r w:rsidRPr="00F3325C">
              <w:rPr>
                <w:b/>
                <w:spacing w:val="-3"/>
                <w:sz w:val="20"/>
              </w:rPr>
              <w:t xml:space="preserve"> </w:t>
            </w:r>
            <w:r w:rsidRPr="00F3325C">
              <w:rPr>
                <w:b/>
                <w:sz w:val="20"/>
              </w:rPr>
              <w:t>13,</w:t>
            </w:r>
            <w:r w:rsidRPr="00F3325C">
              <w:rPr>
                <w:b/>
                <w:spacing w:val="-5"/>
                <w:sz w:val="20"/>
              </w:rPr>
              <w:t xml:space="preserve"> </w:t>
            </w:r>
            <w:r w:rsidRPr="00F3325C">
              <w:rPr>
                <w:b/>
                <w:sz w:val="20"/>
              </w:rPr>
              <w:t>17,</w:t>
            </w:r>
            <w:r w:rsidRPr="00F3325C">
              <w:rPr>
                <w:b/>
                <w:spacing w:val="-4"/>
                <w:sz w:val="20"/>
              </w:rPr>
              <w:t xml:space="preserve"> </w:t>
            </w:r>
            <w:r w:rsidRPr="00F3325C">
              <w:rPr>
                <w:b/>
                <w:sz w:val="20"/>
              </w:rPr>
              <w:t>or</w:t>
            </w:r>
            <w:r w:rsidRPr="00F3325C">
              <w:rPr>
                <w:b/>
                <w:spacing w:val="-2"/>
                <w:sz w:val="20"/>
              </w:rPr>
              <w:t xml:space="preserve"> </w:t>
            </w:r>
            <w:r w:rsidRPr="00F3325C">
              <w:rPr>
                <w:b/>
                <w:sz w:val="20"/>
              </w:rPr>
              <w:t>28</w:t>
            </w:r>
            <w:r w:rsidRPr="00F3325C">
              <w:rPr>
                <w:b/>
                <w:spacing w:val="-1"/>
                <w:sz w:val="20"/>
              </w:rPr>
              <w:t xml:space="preserve"> </w:t>
            </w:r>
            <w:r w:rsidRPr="00F3325C">
              <w:rPr>
                <w:b/>
                <w:color w:val="000000"/>
                <w:spacing w:val="-4"/>
                <w:sz w:val="20"/>
              </w:rPr>
              <w:t>µg/L</w:t>
            </w:r>
          </w:p>
        </w:tc>
      </w:tr>
      <w:tr w:rsidR="00CA0262" w14:paraId="4558DAB4" w14:textId="77777777">
        <w:trPr>
          <w:trHeight w:val="299"/>
        </w:trPr>
        <w:tc>
          <w:tcPr>
            <w:tcW w:w="2252" w:type="dxa"/>
            <w:shd w:val="clear" w:color="auto" w:fill="DCE6F0"/>
          </w:tcPr>
          <w:p w14:paraId="4558DAB0" w14:textId="77777777" w:rsidR="00CA0262" w:rsidRDefault="00F3325C">
            <w:pPr>
              <w:pStyle w:val="TableParagraph"/>
              <w:ind w:left="107"/>
              <w:jc w:val="left"/>
              <w:rPr>
                <w:b/>
                <w:sz w:val="20"/>
              </w:rPr>
            </w:pPr>
            <w:r>
              <w:rPr>
                <w:b/>
                <w:sz w:val="20"/>
              </w:rPr>
              <w:t>Acceptable</w:t>
            </w:r>
            <w:r>
              <w:rPr>
                <w:b/>
                <w:spacing w:val="-11"/>
                <w:sz w:val="20"/>
              </w:rPr>
              <w:t xml:space="preserve"> </w:t>
            </w:r>
            <w:r>
              <w:rPr>
                <w:b/>
                <w:spacing w:val="-2"/>
                <w:sz w:val="20"/>
              </w:rPr>
              <w:t>Instruments</w:t>
            </w:r>
          </w:p>
        </w:tc>
        <w:tc>
          <w:tcPr>
            <w:tcW w:w="1892" w:type="dxa"/>
          </w:tcPr>
          <w:p w14:paraId="4558DAB1" w14:textId="77777777" w:rsidR="00CA0262" w:rsidRDefault="00F3325C">
            <w:pPr>
              <w:pStyle w:val="TableParagraph"/>
              <w:ind w:left="4"/>
              <w:rPr>
                <w:sz w:val="20"/>
              </w:rPr>
            </w:pPr>
            <w:r>
              <w:rPr>
                <w:sz w:val="20"/>
              </w:rPr>
              <w:t>Pocket</w:t>
            </w:r>
            <w:r>
              <w:rPr>
                <w:spacing w:val="-8"/>
                <w:sz w:val="20"/>
              </w:rPr>
              <w:t xml:space="preserve"> </w:t>
            </w:r>
            <w:r>
              <w:rPr>
                <w:spacing w:val="-2"/>
                <w:sz w:val="20"/>
              </w:rPr>
              <w:t>colorimeter*</w:t>
            </w:r>
          </w:p>
        </w:tc>
        <w:tc>
          <w:tcPr>
            <w:tcW w:w="2881" w:type="dxa"/>
          </w:tcPr>
          <w:p w14:paraId="4558DAB2" w14:textId="77777777" w:rsidR="00CA0262" w:rsidRDefault="00F3325C">
            <w:pPr>
              <w:pStyle w:val="TableParagraph"/>
              <w:ind w:left="1" w:right="1"/>
              <w:rPr>
                <w:sz w:val="20"/>
              </w:rPr>
            </w:pPr>
            <w:r>
              <w:rPr>
                <w:sz w:val="20"/>
              </w:rPr>
              <w:t>Pocket</w:t>
            </w:r>
            <w:r>
              <w:rPr>
                <w:spacing w:val="-8"/>
                <w:sz w:val="20"/>
              </w:rPr>
              <w:t xml:space="preserve"> </w:t>
            </w:r>
            <w:r>
              <w:rPr>
                <w:spacing w:val="-2"/>
                <w:sz w:val="20"/>
              </w:rPr>
              <w:t>colorimeter*</w:t>
            </w:r>
          </w:p>
        </w:tc>
        <w:tc>
          <w:tcPr>
            <w:tcW w:w="4055" w:type="dxa"/>
          </w:tcPr>
          <w:p w14:paraId="4558DAB3" w14:textId="77777777" w:rsidR="00CA0262" w:rsidRDefault="00F3325C">
            <w:pPr>
              <w:pStyle w:val="TableParagraph"/>
              <w:rPr>
                <w:sz w:val="20"/>
              </w:rPr>
            </w:pPr>
            <w:r>
              <w:rPr>
                <w:spacing w:val="-2"/>
                <w:sz w:val="20"/>
              </w:rPr>
              <w:t>Spectrophotometer/Amperometric</w:t>
            </w:r>
            <w:r>
              <w:rPr>
                <w:spacing w:val="25"/>
                <w:sz w:val="20"/>
              </w:rPr>
              <w:t xml:space="preserve"> </w:t>
            </w:r>
            <w:r>
              <w:rPr>
                <w:spacing w:val="-2"/>
                <w:sz w:val="20"/>
              </w:rPr>
              <w:t>Titrator***</w:t>
            </w:r>
          </w:p>
        </w:tc>
      </w:tr>
      <w:tr w:rsidR="00CA0262" w14:paraId="4558DAB9" w14:textId="77777777">
        <w:trPr>
          <w:trHeight w:val="299"/>
        </w:trPr>
        <w:tc>
          <w:tcPr>
            <w:tcW w:w="2252" w:type="dxa"/>
            <w:shd w:val="clear" w:color="auto" w:fill="DBE4F0"/>
          </w:tcPr>
          <w:p w14:paraId="4558DAB5" w14:textId="77777777" w:rsidR="00CA0262" w:rsidRDefault="00F3325C">
            <w:pPr>
              <w:pStyle w:val="TableParagraph"/>
              <w:ind w:left="107"/>
              <w:jc w:val="left"/>
              <w:rPr>
                <w:b/>
                <w:sz w:val="20"/>
              </w:rPr>
            </w:pPr>
            <w:r>
              <w:rPr>
                <w:b/>
                <w:sz w:val="20"/>
              </w:rPr>
              <w:t>Reporting</w:t>
            </w:r>
            <w:r>
              <w:rPr>
                <w:b/>
                <w:spacing w:val="-10"/>
                <w:sz w:val="20"/>
              </w:rPr>
              <w:t xml:space="preserve"> </w:t>
            </w:r>
            <w:r>
              <w:rPr>
                <w:b/>
                <w:spacing w:val="-4"/>
                <w:sz w:val="20"/>
              </w:rPr>
              <w:t>Level</w:t>
            </w:r>
          </w:p>
        </w:tc>
        <w:tc>
          <w:tcPr>
            <w:tcW w:w="1892" w:type="dxa"/>
          </w:tcPr>
          <w:p w14:paraId="4558DAB6" w14:textId="77777777" w:rsidR="00CA0262" w:rsidRDefault="00F3325C">
            <w:pPr>
              <w:pStyle w:val="TableParagraph"/>
              <w:ind w:left="4" w:right="2"/>
              <w:rPr>
                <w:sz w:val="20"/>
              </w:rPr>
            </w:pPr>
            <w:r>
              <w:rPr>
                <w:sz w:val="20"/>
              </w:rPr>
              <w:t>&lt;100</w:t>
            </w:r>
            <w:r>
              <w:rPr>
                <w:spacing w:val="-7"/>
                <w:sz w:val="20"/>
              </w:rPr>
              <w:t xml:space="preserve"> </w:t>
            </w:r>
            <w:r>
              <w:rPr>
                <w:spacing w:val="-4"/>
                <w:sz w:val="20"/>
              </w:rPr>
              <w:t>µg/L</w:t>
            </w:r>
          </w:p>
        </w:tc>
        <w:tc>
          <w:tcPr>
            <w:tcW w:w="2881" w:type="dxa"/>
          </w:tcPr>
          <w:p w14:paraId="4558DAB7" w14:textId="77777777" w:rsidR="00CA0262" w:rsidRDefault="00F3325C">
            <w:pPr>
              <w:pStyle w:val="TableParagraph"/>
              <w:ind w:left="1"/>
              <w:rPr>
                <w:sz w:val="20"/>
              </w:rPr>
            </w:pPr>
            <w:r>
              <w:rPr>
                <w:sz w:val="20"/>
              </w:rPr>
              <w:t>&lt;</w:t>
            </w:r>
            <w:r>
              <w:rPr>
                <w:spacing w:val="-5"/>
                <w:sz w:val="20"/>
              </w:rPr>
              <w:t xml:space="preserve"> </w:t>
            </w:r>
            <w:r>
              <w:rPr>
                <w:sz w:val="20"/>
              </w:rPr>
              <w:t>permit</w:t>
            </w:r>
            <w:r>
              <w:rPr>
                <w:spacing w:val="-4"/>
                <w:sz w:val="20"/>
              </w:rPr>
              <w:t xml:space="preserve"> </w:t>
            </w:r>
            <w:r>
              <w:rPr>
                <w:sz w:val="20"/>
              </w:rPr>
              <w:t>limit</w:t>
            </w:r>
            <w:r>
              <w:rPr>
                <w:spacing w:val="-3"/>
                <w:sz w:val="20"/>
              </w:rPr>
              <w:t xml:space="preserve"> </w:t>
            </w:r>
            <w:r>
              <w:rPr>
                <w:sz w:val="20"/>
              </w:rPr>
              <w:t>(e.g.,</w:t>
            </w:r>
            <w:r>
              <w:rPr>
                <w:spacing w:val="-4"/>
                <w:sz w:val="20"/>
              </w:rPr>
              <w:t xml:space="preserve"> </w:t>
            </w:r>
            <w:r>
              <w:rPr>
                <w:sz w:val="20"/>
              </w:rPr>
              <w:t>&lt;200</w:t>
            </w:r>
            <w:r>
              <w:rPr>
                <w:spacing w:val="-5"/>
                <w:sz w:val="20"/>
              </w:rPr>
              <w:t xml:space="preserve"> </w:t>
            </w:r>
            <w:r>
              <w:rPr>
                <w:spacing w:val="-4"/>
                <w:sz w:val="20"/>
              </w:rPr>
              <w:t>µg/L)</w:t>
            </w:r>
          </w:p>
        </w:tc>
        <w:tc>
          <w:tcPr>
            <w:tcW w:w="4055" w:type="dxa"/>
          </w:tcPr>
          <w:p w14:paraId="4558DAB8" w14:textId="77777777" w:rsidR="00CA0262" w:rsidRDefault="00F3325C">
            <w:pPr>
              <w:pStyle w:val="TableParagraph"/>
              <w:rPr>
                <w:sz w:val="20"/>
              </w:rPr>
            </w:pPr>
            <w:r>
              <w:rPr>
                <w:sz w:val="20"/>
              </w:rPr>
              <w:t>&lt;</w:t>
            </w:r>
            <w:r>
              <w:rPr>
                <w:spacing w:val="-5"/>
                <w:sz w:val="20"/>
              </w:rPr>
              <w:t xml:space="preserve"> </w:t>
            </w:r>
            <w:r>
              <w:rPr>
                <w:sz w:val="20"/>
              </w:rPr>
              <w:t>permit</w:t>
            </w:r>
            <w:r>
              <w:rPr>
                <w:spacing w:val="-4"/>
                <w:sz w:val="20"/>
              </w:rPr>
              <w:t xml:space="preserve"> </w:t>
            </w:r>
            <w:r>
              <w:rPr>
                <w:sz w:val="20"/>
              </w:rPr>
              <w:t>limit</w:t>
            </w:r>
            <w:r>
              <w:rPr>
                <w:spacing w:val="-3"/>
                <w:sz w:val="20"/>
              </w:rPr>
              <w:t xml:space="preserve"> </w:t>
            </w:r>
            <w:r>
              <w:rPr>
                <w:sz w:val="20"/>
              </w:rPr>
              <w:t>(e.g.,</w:t>
            </w:r>
            <w:r>
              <w:rPr>
                <w:spacing w:val="-4"/>
                <w:sz w:val="20"/>
              </w:rPr>
              <w:t xml:space="preserve"> </w:t>
            </w:r>
            <w:r>
              <w:rPr>
                <w:sz w:val="20"/>
              </w:rPr>
              <w:t>&lt;13</w:t>
            </w:r>
            <w:r>
              <w:rPr>
                <w:spacing w:val="-5"/>
                <w:sz w:val="20"/>
              </w:rPr>
              <w:t xml:space="preserve"> </w:t>
            </w:r>
            <w:r>
              <w:rPr>
                <w:spacing w:val="-4"/>
                <w:sz w:val="20"/>
              </w:rPr>
              <w:t>µg/L)</w:t>
            </w:r>
          </w:p>
        </w:tc>
      </w:tr>
      <w:tr w:rsidR="00CA0262" w14:paraId="4558DABE" w14:textId="77777777">
        <w:trPr>
          <w:trHeight w:val="302"/>
        </w:trPr>
        <w:tc>
          <w:tcPr>
            <w:tcW w:w="2252" w:type="dxa"/>
            <w:shd w:val="clear" w:color="auto" w:fill="DCE6F0"/>
          </w:tcPr>
          <w:p w14:paraId="4558DABA" w14:textId="77777777" w:rsidR="00CA0262" w:rsidRDefault="00F3325C">
            <w:pPr>
              <w:pStyle w:val="TableParagraph"/>
              <w:spacing w:line="225" w:lineRule="exact"/>
              <w:ind w:left="107"/>
              <w:jc w:val="left"/>
              <w:rPr>
                <w:b/>
                <w:sz w:val="20"/>
              </w:rPr>
            </w:pPr>
            <w:r>
              <w:rPr>
                <w:b/>
                <w:spacing w:val="-2"/>
                <w:sz w:val="20"/>
              </w:rPr>
              <w:t>Compliance</w:t>
            </w:r>
            <w:r>
              <w:rPr>
                <w:b/>
                <w:spacing w:val="8"/>
                <w:sz w:val="20"/>
              </w:rPr>
              <w:t xml:space="preserve"> </w:t>
            </w:r>
            <w:r>
              <w:rPr>
                <w:b/>
                <w:spacing w:val="-2"/>
                <w:sz w:val="20"/>
              </w:rPr>
              <w:t>Level</w:t>
            </w:r>
          </w:p>
        </w:tc>
        <w:tc>
          <w:tcPr>
            <w:tcW w:w="1892" w:type="dxa"/>
          </w:tcPr>
          <w:p w14:paraId="4558DABB" w14:textId="77777777" w:rsidR="00CA0262" w:rsidRDefault="00F3325C">
            <w:pPr>
              <w:pStyle w:val="TableParagraph"/>
              <w:spacing w:line="225" w:lineRule="exact"/>
              <w:ind w:left="4" w:right="1"/>
              <w:rPr>
                <w:sz w:val="20"/>
              </w:rPr>
            </w:pPr>
            <w:r>
              <w:rPr>
                <w:spacing w:val="-5"/>
                <w:sz w:val="20"/>
              </w:rPr>
              <w:t>**</w:t>
            </w:r>
          </w:p>
        </w:tc>
        <w:tc>
          <w:tcPr>
            <w:tcW w:w="2881" w:type="dxa"/>
          </w:tcPr>
          <w:p w14:paraId="4558DABC" w14:textId="77777777" w:rsidR="00CA0262" w:rsidRDefault="00F3325C">
            <w:pPr>
              <w:pStyle w:val="TableParagraph"/>
              <w:spacing w:line="225" w:lineRule="exact"/>
              <w:ind w:left="1" w:right="1"/>
              <w:rPr>
                <w:sz w:val="20"/>
              </w:rPr>
            </w:pPr>
            <w:r>
              <w:rPr>
                <w:spacing w:val="-5"/>
                <w:sz w:val="20"/>
              </w:rPr>
              <w:t>**</w:t>
            </w:r>
          </w:p>
        </w:tc>
        <w:tc>
          <w:tcPr>
            <w:tcW w:w="4055" w:type="dxa"/>
          </w:tcPr>
          <w:p w14:paraId="4558DABD" w14:textId="77777777" w:rsidR="00CA0262" w:rsidRDefault="00F3325C">
            <w:pPr>
              <w:pStyle w:val="TableParagraph"/>
              <w:spacing w:line="225" w:lineRule="exact"/>
              <w:rPr>
                <w:sz w:val="20"/>
              </w:rPr>
            </w:pPr>
            <w:r>
              <w:rPr>
                <w:sz w:val="20"/>
              </w:rPr>
              <w:t>50</w:t>
            </w:r>
            <w:r>
              <w:rPr>
                <w:spacing w:val="-4"/>
                <w:sz w:val="20"/>
              </w:rPr>
              <w:t xml:space="preserve"> µg/L</w:t>
            </w:r>
          </w:p>
        </w:tc>
      </w:tr>
    </w:tbl>
    <w:p w14:paraId="4558DABF" w14:textId="77777777" w:rsidR="00CA0262" w:rsidRDefault="00F3325C">
      <w:pPr>
        <w:spacing w:before="247"/>
        <w:ind w:left="1656" w:right="1478"/>
      </w:pPr>
      <w:r>
        <w:t>*</w:t>
      </w:r>
      <w:r>
        <w:rPr>
          <w:spacing w:val="40"/>
        </w:rPr>
        <w:t xml:space="preserve"> </w:t>
      </w:r>
      <w:r>
        <w:t>Any</w:t>
      </w:r>
      <w:r>
        <w:rPr>
          <w:spacing w:val="40"/>
        </w:rPr>
        <w:t xml:space="preserve"> </w:t>
      </w:r>
      <w:r>
        <w:t>of</w:t>
      </w:r>
      <w:r>
        <w:rPr>
          <w:spacing w:val="40"/>
        </w:rPr>
        <w:t xml:space="preserve"> </w:t>
      </w:r>
      <w:r>
        <w:t>the</w:t>
      </w:r>
      <w:r>
        <w:rPr>
          <w:spacing w:val="40"/>
        </w:rPr>
        <w:t xml:space="preserve"> </w:t>
      </w:r>
      <w:r>
        <w:t>approved</w:t>
      </w:r>
      <w:r>
        <w:rPr>
          <w:spacing w:val="40"/>
        </w:rPr>
        <w:t xml:space="preserve"> </w:t>
      </w:r>
      <w:r>
        <w:t>instruments</w:t>
      </w:r>
      <w:r>
        <w:rPr>
          <w:spacing w:val="40"/>
        </w:rPr>
        <w:t xml:space="preserve"> </w:t>
      </w:r>
      <w:r>
        <w:t>may</w:t>
      </w:r>
      <w:r>
        <w:rPr>
          <w:spacing w:val="40"/>
        </w:rPr>
        <w:t xml:space="preserve"> </w:t>
      </w:r>
      <w:r>
        <w:t>be</w:t>
      </w:r>
      <w:r>
        <w:rPr>
          <w:spacing w:val="40"/>
        </w:rPr>
        <w:t xml:space="preserve"> </w:t>
      </w:r>
      <w:r>
        <w:t>used</w:t>
      </w:r>
      <w:r>
        <w:rPr>
          <w:spacing w:val="40"/>
        </w:rPr>
        <w:t xml:space="preserve"> </w:t>
      </w:r>
      <w:r>
        <w:t>(i.e.,</w:t>
      </w:r>
      <w:r>
        <w:rPr>
          <w:spacing w:val="40"/>
        </w:rPr>
        <w:t xml:space="preserve"> </w:t>
      </w:r>
      <w:r>
        <w:t>spectrophotometer,</w:t>
      </w:r>
      <w:r>
        <w:rPr>
          <w:spacing w:val="40"/>
        </w:rPr>
        <w:t xml:space="preserve"> </w:t>
      </w:r>
      <w:r>
        <w:t>amperometric titrator) including the pocket colorimeter.</w:t>
      </w:r>
    </w:p>
    <w:p w14:paraId="4558DAC0" w14:textId="77777777" w:rsidR="00CA0262" w:rsidRDefault="00F3325C">
      <w:pPr>
        <w:ind w:left="1656" w:right="1478"/>
      </w:pPr>
      <w:r>
        <w:t>** Since the permit limit or allowable reporting level is &gt;50 µg/L, the 50 µg/L compliance</w:t>
      </w:r>
      <w:r>
        <w:rPr>
          <w:spacing w:val="80"/>
        </w:rPr>
        <w:t xml:space="preserve"> </w:t>
      </w:r>
      <w:r>
        <w:t>level does not apply here.</w:t>
      </w:r>
    </w:p>
    <w:p w14:paraId="4558DAC1" w14:textId="77777777" w:rsidR="00CA0262" w:rsidRDefault="00F3325C">
      <w:pPr>
        <w:spacing w:before="1"/>
        <w:ind w:left="1656" w:right="781"/>
      </w:pPr>
      <w:r>
        <w:t>***</w:t>
      </w:r>
      <w:r>
        <w:rPr>
          <w:u w:val="single"/>
        </w:rPr>
        <w:t>Only</w:t>
      </w:r>
      <w:r>
        <w:t xml:space="preserve"> the low-level spectrophotometer or amperometric titrator may be used. The pocket colorimeter may </w:t>
      </w:r>
      <w:r>
        <w:rPr>
          <w:u w:val="single"/>
        </w:rPr>
        <w:t>not</w:t>
      </w:r>
      <w:r>
        <w:t xml:space="preserve"> be used for permit limits of 13, 17 or 28 µg/L.</w:t>
      </w:r>
    </w:p>
    <w:p w14:paraId="4558DAC2" w14:textId="77777777" w:rsidR="00CA0262" w:rsidRDefault="00CA0262">
      <w:pPr>
        <w:pStyle w:val="BodyText"/>
        <w:spacing w:before="275"/>
      </w:pPr>
    </w:p>
    <w:p w14:paraId="4558DAC3" w14:textId="77777777" w:rsidR="00CA0262" w:rsidRDefault="00F3325C">
      <w:pPr>
        <w:pStyle w:val="BodyText"/>
        <w:ind w:left="936" w:right="931"/>
        <w:jc w:val="both"/>
      </w:pPr>
      <w:r>
        <w:t xml:space="preserve">The letters referenced in this memorandum can be viewed on the North Carolina Wastewater/Groundwater Laboratory Certification (NC WW/GW LC) website at: </w:t>
      </w:r>
      <w:hyperlink r:id="rId7">
        <w:r>
          <w:rPr>
            <w:color w:val="0000FF"/>
            <w:u w:val="single" w:color="0000FF"/>
          </w:rPr>
          <w:t>http://portal.ncdenr.org/web/wq/lab/cert/nonfield/methods</w:t>
        </w:r>
      </w:hyperlink>
      <w:r>
        <w:t xml:space="preserve">. If you would like to request a copy of these letters or if you have additional questions, please contact me at (919) 733-3908 or </w:t>
      </w:r>
      <w:hyperlink r:id="rId8">
        <w:r>
          <w:rPr>
            <w:color w:val="0000FF"/>
            <w:spacing w:val="-2"/>
            <w:u w:val="single" w:color="0000FF"/>
          </w:rPr>
          <w:t>dana.satterwhite@ncdenr.gov</w:t>
        </w:r>
        <w:r>
          <w:rPr>
            <w:spacing w:val="-2"/>
          </w:rPr>
          <w:t>.</w:t>
        </w:r>
      </w:hyperlink>
    </w:p>
    <w:p w14:paraId="4558DAC4" w14:textId="77777777" w:rsidR="00CA0262" w:rsidRDefault="00CA0262">
      <w:pPr>
        <w:pStyle w:val="BodyText"/>
      </w:pPr>
    </w:p>
    <w:p w14:paraId="4558DAC5" w14:textId="77777777" w:rsidR="00CA0262" w:rsidRDefault="00F3325C">
      <w:pPr>
        <w:pStyle w:val="BodyText"/>
        <w:ind w:left="5257"/>
      </w:pPr>
      <w:r>
        <w:rPr>
          <w:noProof/>
        </w:rPr>
        <w:drawing>
          <wp:anchor distT="0" distB="0" distL="0" distR="0" simplePos="0" relativeHeight="487519744" behindDoc="1" locked="0" layoutInCell="1" allowOverlap="1" wp14:anchorId="4558DACD" wp14:editId="2FA30E1C">
            <wp:simplePos x="0" y="0"/>
            <wp:positionH relativeFrom="page">
              <wp:posOffset>3390170</wp:posOffset>
            </wp:positionH>
            <wp:positionV relativeFrom="paragraph">
              <wp:posOffset>174423</wp:posOffset>
            </wp:positionV>
            <wp:extent cx="2488588" cy="415841"/>
            <wp:effectExtent l="0" t="0" r="0" b="0"/>
            <wp:wrapNone/>
            <wp:docPr id="2" name="Image 2" descr="signatur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signature"/>
                    <pic:cNvPicPr/>
                  </pic:nvPicPr>
                  <pic:blipFill>
                    <a:blip r:embed="rId9" cstate="print"/>
                    <a:stretch>
                      <a:fillRect/>
                    </a:stretch>
                  </pic:blipFill>
                  <pic:spPr>
                    <a:xfrm>
                      <a:off x="0" y="0"/>
                      <a:ext cx="2488588" cy="415841"/>
                    </a:xfrm>
                    <a:prstGeom prst="rect">
                      <a:avLst/>
                    </a:prstGeom>
                  </pic:spPr>
                </pic:pic>
              </a:graphicData>
            </a:graphic>
          </wp:anchor>
        </w:drawing>
      </w:r>
      <w:r>
        <w:rPr>
          <w:spacing w:val="-2"/>
        </w:rPr>
        <w:t>Sincerely,</w:t>
      </w:r>
    </w:p>
    <w:p w14:paraId="4558DAC6" w14:textId="77777777" w:rsidR="00CA0262" w:rsidRDefault="00CA0262">
      <w:pPr>
        <w:pStyle w:val="BodyText"/>
      </w:pPr>
    </w:p>
    <w:p w14:paraId="4558DAC7" w14:textId="77777777" w:rsidR="00CA0262" w:rsidRDefault="00CA0262">
      <w:pPr>
        <w:pStyle w:val="BodyText"/>
      </w:pPr>
    </w:p>
    <w:p w14:paraId="4558DAC8" w14:textId="77777777" w:rsidR="00CA0262" w:rsidRDefault="00F3325C">
      <w:pPr>
        <w:pStyle w:val="BodyText"/>
        <w:ind w:left="5257" w:right="781"/>
      </w:pPr>
      <w:r>
        <w:t>Dana</w:t>
      </w:r>
      <w:r>
        <w:rPr>
          <w:spacing w:val="-11"/>
        </w:rPr>
        <w:t xml:space="preserve"> </w:t>
      </w:r>
      <w:r>
        <w:t>Satterwhite,</w:t>
      </w:r>
      <w:r>
        <w:rPr>
          <w:spacing w:val="-10"/>
        </w:rPr>
        <w:t xml:space="preserve"> </w:t>
      </w:r>
      <w:r>
        <w:t>Environmental</w:t>
      </w:r>
      <w:r>
        <w:rPr>
          <w:spacing w:val="-10"/>
        </w:rPr>
        <w:t xml:space="preserve"> </w:t>
      </w:r>
      <w:r>
        <w:t>Program</w:t>
      </w:r>
      <w:r>
        <w:rPr>
          <w:spacing w:val="-10"/>
        </w:rPr>
        <w:t xml:space="preserve"> </w:t>
      </w:r>
      <w:r>
        <w:t>Supervisor Laboratory Certification Branch</w:t>
      </w:r>
    </w:p>
    <w:p w14:paraId="4558DAC9" w14:textId="77777777" w:rsidR="00CA0262" w:rsidRDefault="00CA0262">
      <w:pPr>
        <w:pStyle w:val="BodyText"/>
      </w:pPr>
    </w:p>
    <w:p w14:paraId="4558DACA" w14:textId="77777777" w:rsidR="00CA0262" w:rsidRDefault="00F3325C">
      <w:pPr>
        <w:pStyle w:val="BodyText"/>
        <w:spacing w:before="1"/>
        <w:ind w:left="1656" w:right="8617" w:hanging="721"/>
        <w:jc w:val="both"/>
      </w:pPr>
      <w:r>
        <w:t>cc:</w:t>
      </w:r>
      <w:r>
        <w:rPr>
          <w:spacing w:val="40"/>
        </w:rPr>
        <w:t xml:space="preserve"> </w:t>
      </w:r>
      <w:r>
        <w:t>Dianne</w:t>
      </w:r>
      <w:r>
        <w:rPr>
          <w:spacing w:val="-1"/>
        </w:rPr>
        <w:t xml:space="preserve"> </w:t>
      </w:r>
      <w:r>
        <w:t>Reid</w:t>
      </w:r>
      <w:r>
        <w:rPr>
          <w:spacing w:val="40"/>
        </w:rPr>
        <w:t xml:space="preserve"> </w:t>
      </w:r>
      <w:r>
        <w:t>Jeff Poupart Jon</w:t>
      </w:r>
      <w:r>
        <w:rPr>
          <w:spacing w:val="2"/>
        </w:rPr>
        <w:t xml:space="preserve"> </w:t>
      </w:r>
      <w:r>
        <w:rPr>
          <w:spacing w:val="-2"/>
        </w:rPr>
        <w:t>Risgaard</w:t>
      </w:r>
    </w:p>
    <w:sectPr w:rsidR="00CA0262">
      <w:pgSz w:w="12240" w:h="15840"/>
      <w:pgMar w:top="920" w:right="360" w:bottom="28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42E0B"/>
    <w:multiLevelType w:val="hybridMultilevel"/>
    <w:tmpl w:val="3EF2343C"/>
    <w:lvl w:ilvl="0" w:tplc="6D40A10A">
      <w:numFmt w:val="bullet"/>
      <w:lvlText w:val=""/>
      <w:lvlJc w:val="left"/>
      <w:pPr>
        <w:ind w:left="1656" w:hanging="360"/>
      </w:pPr>
      <w:rPr>
        <w:rFonts w:ascii="Symbol" w:eastAsia="Symbol" w:hAnsi="Symbol" w:cs="Symbol" w:hint="default"/>
        <w:b w:val="0"/>
        <w:bCs w:val="0"/>
        <w:i w:val="0"/>
        <w:iCs w:val="0"/>
        <w:spacing w:val="0"/>
        <w:w w:val="100"/>
        <w:sz w:val="24"/>
        <w:szCs w:val="24"/>
        <w:lang w:val="en-US" w:eastAsia="en-US" w:bidi="ar-SA"/>
      </w:rPr>
    </w:lvl>
    <w:lvl w:ilvl="1" w:tplc="A92817FC">
      <w:numFmt w:val="bullet"/>
      <w:lvlText w:val="•"/>
      <w:lvlJc w:val="left"/>
      <w:pPr>
        <w:ind w:left="2646" w:hanging="360"/>
      </w:pPr>
      <w:rPr>
        <w:rFonts w:hint="default"/>
        <w:lang w:val="en-US" w:eastAsia="en-US" w:bidi="ar-SA"/>
      </w:rPr>
    </w:lvl>
    <w:lvl w:ilvl="2" w:tplc="853E27BC">
      <w:numFmt w:val="bullet"/>
      <w:lvlText w:val="•"/>
      <w:lvlJc w:val="left"/>
      <w:pPr>
        <w:ind w:left="3632" w:hanging="360"/>
      </w:pPr>
      <w:rPr>
        <w:rFonts w:hint="default"/>
        <w:lang w:val="en-US" w:eastAsia="en-US" w:bidi="ar-SA"/>
      </w:rPr>
    </w:lvl>
    <w:lvl w:ilvl="3" w:tplc="9F6A34C4">
      <w:numFmt w:val="bullet"/>
      <w:lvlText w:val="•"/>
      <w:lvlJc w:val="left"/>
      <w:pPr>
        <w:ind w:left="4618" w:hanging="360"/>
      </w:pPr>
      <w:rPr>
        <w:rFonts w:hint="default"/>
        <w:lang w:val="en-US" w:eastAsia="en-US" w:bidi="ar-SA"/>
      </w:rPr>
    </w:lvl>
    <w:lvl w:ilvl="4" w:tplc="9CBEC526">
      <w:numFmt w:val="bullet"/>
      <w:lvlText w:val="•"/>
      <w:lvlJc w:val="left"/>
      <w:pPr>
        <w:ind w:left="5604" w:hanging="360"/>
      </w:pPr>
      <w:rPr>
        <w:rFonts w:hint="default"/>
        <w:lang w:val="en-US" w:eastAsia="en-US" w:bidi="ar-SA"/>
      </w:rPr>
    </w:lvl>
    <w:lvl w:ilvl="5" w:tplc="BB1CA538">
      <w:numFmt w:val="bullet"/>
      <w:lvlText w:val="•"/>
      <w:lvlJc w:val="left"/>
      <w:pPr>
        <w:ind w:left="6590" w:hanging="360"/>
      </w:pPr>
      <w:rPr>
        <w:rFonts w:hint="default"/>
        <w:lang w:val="en-US" w:eastAsia="en-US" w:bidi="ar-SA"/>
      </w:rPr>
    </w:lvl>
    <w:lvl w:ilvl="6" w:tplc="ED429570">
      <w:numFmt w:val="bullet"/>
      <w:lvlText w:val="•"/>
      <w:lvlJc w:val="left"/>
      <w:pPr>
        <w:ind w:left="7576" w:hanging="360"/>
      </w:pPr>
      <w:rPr>
        <w:rFonts w:hint="default"/>
        <w:lang w:val="en-US" w:eastAsia="en-US" w:bidi="ar-SA"/>
      </w:rPr>
    </w:lvl>
    <w:lvl w:ilvl="7" w:tplc="7AFCA446">
      <w:numFmt w:val="bullet"/>
      <w:lvlText w:val="•"/>
      <w:lvlJc w:val="left"/>
      <w:pPr>
        <w:ind w:left="8562" w:hanging="360"/>
      </w:pPr>
      <w:rPr>
        <w:rFonts w:hint="default"/>
        <w:lang w:val="en-US" w:eastAsia="en-US" w:bidi="ar-SA"/>
      </w:rPr>
    </w:lvl>
    <w:lvl w:ilvl="8" w:tplc="9A10C2DE">
      <w:numFmt w:val="bullet"/>
      <w:lvlText w:val="•"/>
      <w:lvlJc w:val="left"/>
      <w:pPr>
        <w:ind w:left="9548" w:hanging="360"/>
      </w:pPr>
      <w:rPr>
        <w:rFonts w:hint="default"/>
        <w:lang w:val="en-US" w:eastAsia="en-US" w:bidi="ar-SA"/>
      </w:rPr>
    </w:lvl>
  </w:abstractNum>
  <w:num w:numId="1" w16cid:durableId="213320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62"/>
    <w:rsid w:val="00160A25"/>
    <w:rsid w:val="008E785C"/>
    <w:rsid w:val="00CA0262"/>
    <w:rsid w:val="00F3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8DA8C"/>
  <w15:docId w15:val="{6CC0A79D-44E9-4383-8041-51A6E4311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
      <w:ind w:right="1932"/>
      <w:jc w:val="center"/>
      <w:outlineLvl w:val="0"/>
    </w:pPr>
    <w:rPr>
      <w:rFonts w:ascii="Arial Narrow" w:eastAsia="Arial Narrow" w:hAnsi="Arial Narrow" w:cs="Arial Narrow"/>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656" w:right="931" w:hanging="360"/>
      <w:jc w:val="both"/>
    </w:pPr>
  </w:style>
  <w:style w:type="paragraph" w:customStyle="1" w:styleId="TableParagraph">
    <w:name w:val="Table Paragraph"/>
    <w:basedOn w:val="Normal"/>
    <w:uiPriority w:val="1"/>
    <w:qFormat/>
    <w:pPr>
      <w:spacing w:before="56" w:line="223" w:lineRule="exact"/>
      <w:jc w:val="cente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ana.satterwhite@ncdenr.gov"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portal.ncdenr.org/web/wq/lab/cert/nonfield/methods"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wqlab.org/"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204B0A-28DC-458D-B976-BDB91E6D14A5}"/>
</file>

<file path=customXml/itemProps2.xml><?xml version="1.0" encoding="utf-8"?>
<ds:datastoreItem xmlns:ds="http://schemas.openxmlformats.org/officeDocument/2006/customXml" ds:itemID="{35F91522-B896-4F5A-8F34-0C05A691D94B}"/>
</file>

<file path=customXml/itemProps3.xml><?xml version="1.0" encoding="utf-8"?>
<ds:datastoreItem xmlns:ds="http://schemas.openxmlformats.org/officeDocument/2006/customXml" ds:itemID="{248B07E0-1842-4B4F-B738-B806427F906E}"/>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4013</Characters>
  <Application>Microsoft Office Word</Application>
  <DocSecurity>0</DocSecurity>
  <Lines>200</Lines>
  <Paragraphs>48</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DENR User</dc:creator>
  <cp:lastModifiedBy>Swanson, Beth</cp:lastModifiedBy>
  <cp:revision>3</cp:revision>
  <dcterms:created xsi:type="dcterms:W3CDTF">2026-02-04T16:03:00Z</dcterms:created>
  <dcterms:modified xsi:type="dcterms:W3CDTF">2026-02-04T16:05:00Z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2015-04-24T00:00:00Z</vt:filetime>
  </property>
  <property fmtid="{D5CDD505-2E9C-101B-9397-08002B2CF9AE}" pid="3" name="Creator">
    <vt:lpwstr>Microsoft® Word 2010</vt:lpwstr>
  </property>
  <property fmtid="{D5CDD505-2E9C-101B-9397-08002B2CF9AE}" pid="4" name="LastSaved">
    <vt:filetime>2026-02-04T00:00:00Z</vt:filetime>
  </property>
  <property fmtid="{D5CDD505-2E9C-101B-9397-08002B2CF9AE}" pid="5" name="Producer">
    <vt:lpwstr>Microsoft® Word 2010</vt:lpwstr>
  </property>
  <property fmtid="{D5CDD505-2E9C-101B-9397-08002B2CF9AE}" pid="6" name="ContentTypeId">
    <vt:lpwstr>0x0101003A8160F1F83AD343AA5ADD21600CAC3F</vt:lpwstr>
  </property>
</Properties>
</file>