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CB990" w14:textId="77777777" w:rsidR="003E4C98" w:rsidRDefault="003E4C98" w:rsidP="00E90900">
      <w:pPr>
        <w:pStyle w:val="Heading1"/>
        <w:jc w:val="center"/>
        <w:rPr>
          <w:rFonts w:eastAsia="Times New Roman"/>
          <w:color w:val="44546A" w:themeColor="text2"/>
        </w:rPr>
      </w:pPr>
      <w:bookmarkStart w:id="0" w:name="_Toc491352606"/>
      <w:bookmarkStart w:id="1" w:name="_Toc491436804"/>
      <w:bookmarkStart w:id="2" w:name="_Toc492020008"/>
      <w:bookmarkStart w:id="3" w:name="_GoBack"/>
      <w:bookmarkEnd w:id="3"/>
    </w:p>
    <w:p w14:paraId="16310F92" w14:textId="77777777" w:rsidR="003E4C98" w:rsidRDefault="003E4C98" w:rsidP="00E90900">
      <w:pPr>
        <w:pStyle w:val="Heading1"/>
        <w:jc w:val="center"/>
        <w:rPr>
          <w:rFonts w:eastAsia="Times New Roman"/>
          <w:color w:val="44546A" w:themeColor="text2"/>
        </w:rPr>
      </w:pPr>
    </w:p>
    <w:p w14:paraId="5F3C18C1" w14:textId="1904117B" w:rsidR="003E4C98" w:rsidRDefault="003E4C98" w:rsidP="003D3F7A">
      <w:pPr>
        <w:pStyle w:val="Heading1"/>
        <w:rPr>
          <w:rFonts w:eastAsia="Times New Roman"/>
          <w:color w:val="44546A" w:themeColor="text2"/>
        </w:rPr>
      </w:pPr>
    </w:p>
    <w:p w14:paraId="6B354273" w14:textId="0278615F" w:rsidR="00E90900" w:rsidRPr="00E90900" w:rsidRDefault="00424A5F" w:rsidP="00E90900">
      <w:pPr>
        <w:pStyle w:val="Heading1"/>
        <w:jc w:val="center"/>
        <w:rPr>
          <w:rFonts w:eastAsia="Times New Roman"/>
          <w:color w:val="44546A" w:themeColor="text2"/>
        </w:rPr>
      </w:pPr>
      <w:r w:rsidRPr="00595EE2">
        <w:rPr>
          <w:rFonts w:eastAsia="Times New Roman"/>
          <w:color w:val="44546A" w:themeColor="text2"/>
        </w:rPr>
        <w:t>North Carolina</w:t>
      </w:r>
      <w:r w:rsidR="000C0F6B" w:rsidRPr="00595EE2">
        <w:rPr>
          <w:rFonts w:eastAsia="Times New Roman"/>
          <w:color w:val="44546A" w:themeColor="text2"/>
        </w:rPr>
        <w:t>’s</w:t>
      </w:r>
      <w:r w:rsidRPr="00595EE2">
        <w:rPr>
          <w:rFonts w:eastAsia="Times New Roman"/>
          <w:color w:val="44546A" w:themeColor="text2"/>
        </w:rPr>
        <w:t xml:space="preserve"> Nutrient Trading Framework</w:t>
      </w:r>
      <w:bookmarkEnd w:id="0"/>
      <w:bookmarkEnd w:id="1"/>
      <w:bookmarkEnd w:id="2"/>
    </w:p>
    <w:p w14:paraId="754314DC" w14:textId="77777777" w:rsidR="00E90900" w:rsidRDefault="00E90900" w:rsidP="000C0F6B">
      <w:pPr>
        <w:pStyle w:val="Subtitle"/>
        <w:jc w:val="center"/>
        <w:rPr>
          <w:rFonts w:eastAsia="Calibri"/>
          <w:color w:val="44546A" w:themeColor="text2"/>
        </w:rPr>
      </w:pPr>
    </w:p>
    <w:p w14:paraId="29842918" w14:textId="77777777" w:rsidR="00424A5F" w:rsidRPr="00853C40" w:rsidRDefault="00424A5F" w:rsidP="00EC27A9">
      <w:pPr>
        <w:pStyle w:val="Heading1"/>
        <w:jc w:val="center"/>
        <w:rPr>
          <w:rFonts w:eastAsia="Times New Roman"/>
          <w:i/>
          <w:color w:val="44546A" w:themeColor="text2"/>
        </w:rPr>
      </w:pPr>
      <w:bookmarkStart w:id="4" w:name="_Toc491436805"/>
      <w:bookmarkStart w:id="5" w:name="_Toc492020009"/>
      <w:r w:rsidRPr="00853C40">
        <w:rPr>
          <w:rFonts w:eastAsia="Times New Roman"/>
          <w:i/>
          <w:color w:val="44546A" w:themeColor="text2"/>
        </w:rPr>
        <w:t xml:space="preserve">Discussion </w:t>
      </w:r>
      <w:r w:rsidR="00E90900" w:rsidRPr="00853C40">
        <w:rPr>
          <w:rFonts w:eastAsia="Times New Roman"/>
          <w:i/>
          <w:color w:val="44546A" w:themeColor="text2"/>
        </w:rPr>
        <w:t>D</w:t>
      </w:r>
      <w:r w:rsidRPr="00853C40">
        <w:rPr>
          <w:rFonts w:eastAsia="Times New Roman"/>
          <w:i/>
          <w:color w:val="44546A" w:themeColor="text2"/>
        </w:rPr>
        <w:t>raft</w:t>
      </w:r>
      <w:bookmarkEnd w:id="4"/>
      <w:bookmarkEnd w:id="5"/>
    </w:p>
    <w:p w14:paraId="4E294A38" w14:textId="77777777" w:rsidR="00EC27A9" w:rsidRDefault="00EC27A9" w:rsidP="00EC27A9"/>
    <w:p w14:paraId="490AB558" w14:textId="77777777" w:rsidR="00EC27A9" w:rsidRDefault="00EC27A9" w:rsidP="00EC27A9"/>
    <w:p w14:paraId="64F38A31" w14:textId="126422C9" w:rsidR="00EC27A9" w:rsidRDefault="00EC27A9" w:rsidP="00EC27A9"/>
    <w:p w14:paraId="46BE302B" w14:textId="77777777" w:rsidR="003E4C98" w:rsidRDefault="003E4C98" w:rsidP="00EC27A9"/>
    <w:p w14:paraId="6E09562F" w14:textId="487559AD" w:rsidR="00EC27A9" w:rsidRDefault="00EC27A9" w:rsidP="003E4C98">
      <w:pPr>
        <w:jc w:val="center"/>
      </w:pPr>
      <w:r>
        <w:t>September 1, 2017</w:t>
      </w:r>
    </w:p>
    <w:p w14:paraId="43A44A41" w14:textId="6D7B26B0" w:rsidR="003E4C98" w:rsidRDefault="00EC27A9" w:rsidP="00551CD6">
      <w:pPr>
        <w:jc w:val="center"/>
      </w:pPr>
      <w:r>
        <w:t>N.C. Division of Water Resources, Nonpoint Source Planning Branch</w:t>
      </w:r>
    </w:p>
    <w:p w14:paraId="28882513" w14:textId="0DAE4894" w:rsidR="003E4C98" w:rsidRDefault="003E4C98" w:rsidP="003E4C98">
      <w:pPr>
        <w:jc w:val="center"/>
      </w:pPr>
    </w:p>
    <w:p w14:paraId="7222FF33" w14:textId="3BC0FAEE" w:rsidR="003E4C98" w:rsidRDefault="003E4C98" w:rsidP="003E4C98">
      <w:pPr>
        <w:jc w:val="center"/>
      </w:pPr>
    </w:p>
    <w:p w14:paraId="063610E0" w14:textId="66EAE348" w:rsidR="003E4C98" w:rsidRDefault="003E4C98" w:rsidP="003E4C98">
      <w:pPr>
        <w:jc w:val="center"/>
      </w:pPr>
    </w:p>
    <w:p w14:paraId="5C1E2509" w14:textId="2A2B3877" w:rsidR="003D3F7A" w:rsidRDefault="003D3F7A" w:rsidP="003E4C98">
      <w:pPr>
        <w:jc w:val="center"/>
      </w:pPr>
    </w:p>
    <w:p w14:paraId="5721E653" w14:textId="77777777" w:rsidR="003D3F7A" w:rsidRDefault="003D3F7A" w:rsidP="003E4C98">
      <w:pPr>
        <w:jc w:val="center"/>
      </w:pPr>
    </w:p>
    <w:p w14:paraId="3DCD9B82" w14:textId="12BD4F56" w:rsidR="003E4C98" w:rsidRDefault="003E4C98" w:rsidP="003E4C98">
      <w:pPr>
        <w:jc w:val="center"/>
      </w:pPr>
    </w:p>
    <w:p w14:paraId="6F4BBD97" w14:textId="63002E04" w:rsidR="003E4C98" w:rsidRDefault="003D3F7A" w:rsidP="003E4C98">
      <w:pPr>
        <w:jc w:val="center"/>
      </w:pPr>
      <w:r w:rsidRPr="00EC27A9">
        <w:rPr>
          <w:noProof/>
        </w:rPr>
        <w:drawing>
          <wp:anchor distT="0" distB="0" distL="114300" distR="114300" simplePos="0" relativeHeight="251661312" behindDoc="0" locked="0" layoutInCell="1" allowOverlap="1" wp14:anchorId="578DA3A5" wp14:editId="18F23E93">
            <wp:simplePos x="0" y="0"/>
            <wp:positionH relativeFrom="margin">
              <wp:align>center</wp:align>
            </wp:positionH>
            <wp:positionV relativeFrom="paragraph">
              <wp:posOffset>14193</wp:posOffset>
            </wp:positionV>
            <wp:extent cx="1024973" cy="1028700"/>
            <wp:effectExtent l="0" t="0" r="3810" b="0"/>
            <wp:wrapNone/>
            <wp:docPr id="2" name="Picture 2" descr="S:\Planning\Nonpoint Source\Admin-Unit\DEQ Brand Templates\DWR templates\BusLogo_vert_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lanning\Nonpoint Source\Admin-Unit\DEQ Brand Templates\DWR templates\BusLogo_vert_font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4973"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A9067B" w14:textId="797A46EF" w:rsidR="003E4C98" w:rsidRDefault="003E4C98" w:rsidP="003E4C98">
      <w:pPr>
        <w:jc w:val="center"/>
      </w:pPr>
    </w:p>
    <w:p w14:paraId="4DFA775A" w14:textId="2C7174C1" w:rsidR="003E4C98" w:rsidRDefault="003E4C98" w:rsidP="003E4C98">
      <w:pPr>
        <w:jc w:val="center"/>
      </w:pPr>
    </w:p>
    <w:p w14:paraId="5C36C66F" w14:textId="77777777" w:rsidR="003E4C98" w:rsidRDefault="003E4C98" w:rsidP="003E4C98">
      <w:pPr>
        <w:jc w:val="center"/>
      </w:pPr>
    </w:p>
    <w:p w14:paraId="0A45673F" w14:textId="6360EE15" w:rsidR="003E4C98" w:rsidRDefault="003E4C98" w:rsidP="003E4C98">
      <w:pPr>
        <w:jc w:val="center"/>
      </w:pPr>
    </w:p>
    <w:p w14:paraId="126712B0" w14:textId="77777777" w:rsidR="004E10B1" w:rsidRDefault="004E10B1" w:rsidP="00551CD6"/>
    <w:sdt>
      <w:sdtPr>
        <w:rPr>
          <w:rFonts w:asciiTheme="minorHAnsi" w:eastAsiaTheme="minorHAnsi" w:hAnsiTheme="minorHAnsi" w:cstheme="minorBidi"/>
          <w:color w:val="auto"/>
          <w:sz w:val="21"/>
          <w:szCs w:val="21"/>
        </w:rPr>
        <w:id w:val="-279563002"/>
        <w:docPartObj>
          <w:docPartGallery w:val="Table of Contents"/>
          <w:docPartUnique/>
        </w:docPartObj>
      </w:sdtPr>
      <w:sdtEndPr>
        <w:rPr>
          <w:b/>
          <w:bCs/>
          <w:noProof/>
        </w:rPr>
      </w:sdtEndPr>
      <w:sdtContent>
        <w:p w14:paraId="11C76345" w14:textId="2BF4B3FD" w:rsidR="004E10B1" w:rsidRDefault="004E10B1" w:rsidP="00551CD6">
          <w:pPr>
            <w:pStyle w:val="TOCHeading"/>
            <w:rPr>
              <w:rFonts w:eastAsiaTheme="minorEastAsia"/>
              <w:noProof/>
              <w:sz w:val="22"/>
              <w:szCs w:val="22"/>
            </w:rPr>
          </w:pPr>
          <w:r w:rsidRPr="00595EE2">
            <w:rPr>
              <w:rFonts w:ascii="Calibri" w:eastAsia="Times New Roman" w:hAnsi="Calibri" w:cs="Times New Roman"/>
              <w:color w:val="789B4A" w:themeColor="accent2"/>
              <w:sz w:val="28"/>
              <w:szCs w:val="28"/>
            </w:rPr>
            <w:t>Contents</w:t>
          </w:r>
          <w:r>
            <w:fldChar w:fldCharType="begin"/>
          </w:r>
          <w:r>
            <w:instrText xml:space="preserve"> TOC \o "1-3" \h \z \u </w:instrText>
          </w:r>
          <w:r>
            <w:fldChar w:fldCharType="separate"/>
          </w:r>
        </w:p>
        <w:p w14:paraId="29380434" w14:textId="58BE4A4C" w:rsidR="004E10B1" w:rsidRDefault="003F2C18">
          <w:pPr>
            <w:pStyle w:val="TOC2"/>
            <w:tabs>
              <w:tab w:val="right" w:leader="dot" w:pos="9350"/>
            </w:tabs>
            <w:rPr>
              <w:rFonts w:eastAsiaTheme="minorEastAsia"/>
              <w:noProof/>
              <w:sz w:val="22"/>
              <w:szCs w:val="22"/>
            </w:rPr>
          </w:pPr>
          <w:hyperlink w:anchor="_Toc492020011" w:history="1">
            <w:r w:rsidR="004E10B1" w:rsidRPr="00FC3881">
              <w:rPr>
                <w:rStyle w:val="Hyperlink"/>
                <w:rFonts w:eastAsia="Times New Roman"/>
                <w:noProof/>
              </w:rPr>
              <w:t>Introductio</w:t>
            </w:r>
            <w:r w:rsidR="004E10B1">
              <w:rPr>
                <w:rStyle w:val="Hyperlink"/>
                <w:rFonts w:eastAsia="Times New Roman"/>
                <w:noProof/>
              </w:rPr>
              <w:t>n</w:t>
            </w:r>
            <w:r w:rsidR="004E10B1">
              <w:rPr>
                <w:noProof/>
                <w:webHidden/>
              </w:rPr>
              <w:tab/>
            </w:r>
            <w:r w:rsidR="004E10B1">
              <w:rPr>
                <w:noProof/>
                <w:webHidden/>
              </w:rPr>
              <w:fldChar w:fldCharType="begin"/>
            </w:r>
            <w:r w:rsidR="004E10B1">
              <w:rPr>
                <w:noProof/>
                <w:webHidden/>
              </w:rPr>
              <w:instrText xml:space="preserve"> PAGEREF _Toc492020011 \h </w:instrText>
            </w:r>
            <w:r w:rsidR="004E10B1">
              <w:rPr>
                <w:noProof/>
                <w:webHidden/>
              </w:rPr>
            </w:r>
            <w:r w:rsidR="004E10B1">
              <w:rPr>
                <w:noProof/>
                <w:webHidden/>
              </w:rPr>
              <w:fldChar w:fldCharType="separate"/>
            </w:r>
            <w:r>
              <w:rPr>
                <w:noProof/>
                <w:webHidden/>
              </w:rPr>
              <w:t>2</w:t>
            </w:r>
            <w:r w:rsidR="004E10B1">
              <w:rPr>
                <w:noProof/>
                <w:webHidden/>
              </w:rPr>
              <w:fldChar w:fldCharType="end"/>
            </w:r>
          </w:hyperlink>
        </w:p>
        <w:p w14:paraId="65060E93" w14:textId="0C8AED9C" w:rsidR="004E10B1" w:rsidRDefault="003F2C18">
          <w:pPr>
            <w:pStyle w:val="TOC3"/>
            <w:tabs>
              <w:tab w:val="right" w:leader="dot" w:pos="9350"/>
            </w:tabs>
            <w:rPr>
              <w:rFonts w:eastAsiaTheme="minorEastAsia"/>
              <w:noProof/>
              <w:sz w:val="22"/>
              <w:szCs w:val="22"/>
            </w:rPr>
          </w:pPr>
          <w:hyperlink w:anchor="_Toc492020012" w:history="1">
            <w:r w:rsidR="004E10B1" w:rsidRPr="00FC3881">
              <w:rPr>
                <w:rStyle w:val="Hyperlink"/>
                <w:rFonts w:eastAsia="Times New Roman"/>
                <w:noProof/>
              </w:rPr>
              <w:t>Purpose</w:t>
            </w:r>
            <w:r w:rsidR="004E10B1">
              <w:rPr>
                <w:noProof/>
                <w:webHidden/>
              </w:rPr>
              <w:tab/>
            </w:r>
            <w:r w:rsidR="004E10B1">
              <w:rPr>
                <w:noProof/>
                <w:webHidden/>
              </w:rPr>
              <w:fldChar w:fldCharType="begin"/>
            </w:r>
            <w:r w:rsidR="004E10B1">
              <w:rPr>
                <w:noProof/>
                <w:webHidden/>
              </w:rPr>
              <w:instrText xml:space="preserve"> PAGEREF _Toc492020012 \h </w:instrText>
            </w:r>
            <w:r w:rsidR="004E10B1">
              <w:rPr>
                <w:noProof/>
                <w:webHidden/>
              </w:rPr>
            </w:r>
            <w:r w:rsidR="004E10B1">
              <w:rPr>
                <w:noProof/>
                <w:webHidden/>
              </w:rPr>
              <w:fldChar w:fldCharType="separate"/>
            </w:r>
            <w:r>
              <w:rPr>
                <w:noProof/>
                <w:webHidden/>
              </w:rPr>
              <w:t>2</w:t>
            </w:r>
            <w:r w:rsidR="004E10B1">
              <w:rPr>
                <w:noProof/>
                <w:webHidden/>
              </w:rPr>
              <w:fldChar w:fldCharType="end"/>
            </w:r>
          </w:hyperlink>
        </w:p>
        <w:p w14:paraId="346A1121" w14:textId="1188C194" w:rsidR="004E10B1" w:rsidRDefault="003F2C18">
          <w:pPr>
            <w:pStyle w:val="TOC3"/>
            <w:tabs>
              <w:tab w:val="right" w:leader="dot" w:pos="9350"/>
            </w:tabs>
            <w:rPr>
              <w:rFonts w:eastAsiaTheme="minorEastAsia"/>
              <w:noProof/>
              <w:sz w:val="22"/>
              <w:szCs w:val="22"/>
            </w:rPr>
          </w:pPr>
          <w:hyperlink w:anchor="_Toc492020013" w:history="1">
            <w:r w:rsidR="004E10B1" w:rsidRPr="00FC3881">
              <w:rPr>
                <w:rStyle w:val="Hyperlink"/>
                <w:rFonts w:eastAsia="Times New Roman"/>
                <w:noProof/>
              </w:rPr>
              <w:t>Context</w:t>
            </w:r>
            <w:r w:rsidR="004E10B1">
              <w:rPr>
                <w:noProof/>
                <w:webHidden/>
              </w:rPr>
              <w:tab/>
            </w:r>
            <w:r w:rsidR="004E10B1">
              <w:rPr>
                <w:noProof/>
                <w:webHidden/>
              </w:rPr>
              <w:fldChar w:fldCharType="begin"/>
            </w:r>
            <w:r w:rsidR="004E10B1">
              <w:rPr>
                <w:noProof/>
                <w:webHidden/>
              </w:rPr>
              <w:instrText xml:space="preserve"> PAGEREF _Toc492020013 \h </w:instrText>
            </w:r>
            <w:r w:rsidR="004E10B1">
              <w:rPr>
                <w:noProof/>
                <w:webHidden/>
              </w:rPr>
            </w:r>
            <w:r w:rsidR="004E10B1">
              <w:rPr>
                <w:noProof/>
                <w:webHidden/>
              </w:rPr>
              <w:fldChar w:fldCharType="separate"/>
            </w:r>
            <w:r>
              <w:rPr>
                <w:noProof/>
                <w:webHidden/>
              </w:rPr>
              <w:t>2</w:t>
            </w:r>
            <w:r w:rsidR="004E10B1">
              <w:rPr>
                <w:noProof/>
                <w:webHidden/>
              </w:rPr>
              <w:fldChar w:fldCharType="end"/>
            </w:r>
          </w:hyperlink>
        </w:p>
        <w:p w14:paraId="641FFA8C" w14:textId="61B8F784" w:rsidR="004E10B1" w:rsidRDefault="003F2C18">
          <w:pPr>
            <w:pStyle w:val="TOC3"/>
            <w:tabs>
              <w:tab w:val="right" w:leader="dot" w:pos="9350"/>
            </w:tabs>
            <w:rPr>
              <w:rFonts w:eastAsiaTheme="minorEastAsia"/>
              <w:noProof/>
              <w:sz w:val="22"/>
              <w:szCs w:val="22"/>
            </w:rPr>
          </w:pPr>
          <w:hyperlink w:anchor="_Toc492020014" w:history="1">
            <w:r w:rsidR="004E10B1" w:rsidRPr="00FC3881">
              <w:rPr>
                <w:rStyle w:val="Hyperlink"/>
                <w:rFonts w:eastAsia="Times New Roman"/>
                <w:noProof/>
              </w:rPr>
              <w:t>Existing Trading Authorities</w:t>
            </w:r>
            <w:r w:rsidR="004E10B1">
              <w:rPr>
                <w:noProof/>
                <w:webHidden/>
              </w:rPr>
              <w:tab/>
            </w:r>
            <w:r w:rsidR="004E10B1">
              <w:rPr>
                <w:noProof/>
                <w:webHidden/>
              </w:rPr>
              <w:fldChar w:fldCharType="begin"/>
            </w:r>
            <w:r w:rsidR="004E10B1">
              <w:rPr>
                <w:noProof/>
                <w:webHidden/>
              </w:rPr>
              <w:instrText xml:space="preserve"> PAGEREF _Toc492020014 \h </w:instrText>
            </w:r>
            <w:r w:rsidR="004E10B1">
              <w:rPr>
                <w:noProof/>
                <w:webHidden/>
              </w:rPr>
            </w:r>
            <w:r w:rsidR="004E10B1">
              <w:rPr>
                <w:noProof/>
                <w:webHidden/>
              </w:rPr>
              <w:fldChar w:fldCharType="separate"/>
            </w:r>
            <w:r>
              <w:rPr>
                <w:noProof/>
                <w:webHidden/>
              </w:rPr>
              <w:t>2</w:t>
            </w:r>
            <w:r w:rsidR="004E10B1">
              <w:rPr>
                <w:noProof/>
                <w:webHidden/>
              </w:rPr>
              <w:fldChar w:fldCharType="end"/>
            </w:r>
          </w:hyperlink>
        </w:p>
        <w:p w14:paraId="39DBCBB7" w14:textId="629A05B9" w:rsidR="004E10B1" w:rsidRDefault="003F2C18">
          <w:pPr>
            <w:pStyle w:val="TOC3"/>
            <w:tabs>
              <w:tab w:val="right" w:leader="dot" w:pos="9350"/>
            </w:tabs>
            <w:rPr>
              <w:rFonts w:eastAsiaTheme="minorEastAsia"/>
              <w:noProof/>
              <w:sz w:val="22"/>
              <w:szCs w:val="22"/>
            </w:rPr>
          </w:pPr>
          <w:hyperlink w:anchor="_Toc492020015" w:history="1">
            <w:r w:rsidR="004E10B1" w:rsidRPr="00FC3881">
              <w:rPr>
                <w:rStyle w:val="Hyperlink"/>
                <w:rFonts w:eastAsia="Times New Roman"/>
                <w:noProof/>
              </w:rPr>
              <w:t>Present Trading Activity</w:t>
            </w:r>
            <w:r w:rsidR="004E10B1">
              <w:rPr>
                <w:noProof/>
                <w:webHidden/>
              </w:rPr>
              <w:tab/>
            </w:r>
            <w:r w:rsidR="004E10B1">
              <w:rPr>
                <w:noProof/>
                <w:webHidden/>
              </w:rPr>
              <w:fldChar w:fldCharType="begin"/>
            </w:r>
            <w:r w:rsidR="004E10B1">
              <w:rPr>
                <w:noProof/>
                <w:webHidden/>
              </w:rPr>
              <w:instrText xml:space="preserve"> PAGEREF _Toc492020015 \h </w:instrText>
            </w:r>
            <w:r w:rsidR="004E10B1">
              <w:rPr>
                <w:noProof/>
                <w:webHidden/>
              </w:rPr>
            </w:r>
            <w:r w:rsidR="004E10B1">
              <w:rPr>
                <w:noProof/>
                <w:webHidden/>
              </w:rPr>
              <w:fldChar w:fldCharType="separate"/>
            </w:r>
            <w:r>
              <w:rPr>
                <w:noProof/>
                <w:webHidden/>
              </w:rPr>
              <w:t>3</w:t>
            </w:r>
            <w:r w:rsidR="004E10B1">
              <w:rPr>
                <w:noProof/>
                <w:webHidden/>
              </w:rPr>
              <w:fldChar w:fldCharType="end"/>
            </w:r>
          </w:hyperlink>
        </w:p>
        <w:p w14:paraId="4022F2D0" w14:textId="5C311B87" w:rsidR="004E10B1" w:rsidRDefault="003F2C18">
          <w:pPr>
            <w:pStyle w:val="TOC2"/>
            <w:tabs>
              <w:tab w:val="right" w:leader="dot" w:pos="9350"/>
            </w:tabs>
            <w:rPr>
              <w:rFonts w:eastAsiaTheme="minorEastAsia"/>
              <w:noProof/>
              <w:sz w:val="22"/>
              <w:szCs w:val="22"/>
            </w:rPr>
          </w:pPr>
          <w:hyperlink w:anchor="_Toc492020016" w:history="1">
            <w:r w:rsidR="004E10B1" w:rsidRPr="00FC3881">
              <w:rPr>
                <w:rStyle w:val="Hyperlink"/>
                <w:rFonts w:eastAsia="Times New Roman"/>
                <w:noProof/>
              </w:rPr>
              <w:t>Definitions and Key Concepts</w:t>
            </w:r>
            <w:r w:rsidR="004E10B1">
              <w:rPr>
                <w:noProof/>
                <w:webHidden/>
              </w:rPr>
              <w:tab/>
            </w:r>
            <w:r w:rsidR="004E10B1">
              <w:rPr>
                <w:noProof/>
                <w:webHidden/>
              </w:rPr>
              <w:fldChar w:fldCharType="begin"/>
            </w:r>
            <w:r w:rsidR="004E10B1">
              <w:rPr>
                <w:noProof/>
                <w:webHidden/>
              </w:rPr>
              <w:instrText xml:space="preserve"> PAGEREF _Toc492020016 \h </w:instrText>
            </w:r>
            <w:r w:rsidR="004E10B1">
              <w:rPr>
                <w:noProof/>
                <w:webHidden/>
              </w:rPr>
            </w:r>
            <w:r w:rsidR="004E10B1">
              <w:rPr>
                <w:noProof/>
                <w:webHidden/>
              </w:rPr>
              <w:fldChar w:fldCharType="separate"/>
            </w:r>
            <w:r>
              <w:rPr>
                <w:noProof/>
                <w:webHidden/>
              </w:rPr>
              <w:t>5</w:t>
            </w:r>
            <w:r w:rsidR="004E10B1">
              <w:rPr>
                <w:noProof/>
                <w:webHidden/>
              </w:rPr>
              <w:fldChar w:fldCharType="end"/>
            </w:r>
          </w:hyperlink>
        </w:p>
        <w:p w14:paraId="17C9EC68" w14:textId="295D131E" w:rsidR="004E10B1" w:rsidRDefault="003F2C18">
          <w:pPr>
            <w:pStyle w:val="TOC3"/>
            <w:tabs>
              <w:tab w:val="right" w:leader="dot" w:pos="9350"/>
            </w:tabs>
            <w:rPr>
              <w:rFonts w:eastAsiaTheme="minorEastAsia"/>
              <w:noProof/>
              <w:sz w:val="22"/>
              <w:szCs w:val="22"/>
            </w:rPr>
          </w:pPr>
          <w:hyperlink w:anchor="_Toc492020017" w:history="1">
            <w:r w:rsidR="004E10B1" w:rsidRPr="00FC3881">
              <w:rPr>
                <w:rStyle w:val="Hyperlink"/>
                <w:rFonts w:eastAsia="Times New Roman"/>
                <w:noProof/>
              </w:rPr>
              <w:t>Types of Nutrient Credits</w:t>
            </w:r>
            <w:r w:rsidR="004E10B1">
              <w:rPr>
                <w:noProof/>
                <w:webHidden/>
              </w:rPr>
              <w:tab/>
            </w:r>
            <w:r w:rsidR="004E10B1">
              <w:rPr>
                <w:noProof/>
                <w:webHidden/>
              </w:rPr>
              <w:fldChar w:fldCharType="begin"/>
            </w:r>
            <w:r w:rsidR="004E10B1">
              <w:rPr>
                <w:noProof/>
                <w:webHidden/>
              </w:rPr>
              <w:instrText xml:space="preserve"> PAGEREF _Toc492020017 \h </w:instrText>
            </w:r>
            <w:r w:rsidR="004E10B1">
              <w:rPr>
                <w:noProof/>
                <w:webHidden/>
              </w:rPr>
            </w:r>
            <w:r w:rsidR="004E10B1">
              <w:rPr>
                <w:noProof/>
                <w:webHidden/>
              </w:rPr>
              <w:fldChar w:fldCharType="separate"/>
            </w:r>
            <w:r>
              <w:rPr>
                <w:noProof/>
                <w:webHidden/>
              </w:rPr>
              <w:t>5</w:t>
            </w:r>
            <w:r w:rsidR="004E10B1">
              <w:rPr>
                <w:noProof/>
                <w:webHidden/>
              </w:rPr>
              <w:fldChar w:fldCharType="end"/>
            </w:r>
          </w:hyperlink>
        </w:p>
        <w:p w14:paraId="387F1943" w14:textId="5FACDDD5" w:rsidR="004E10B1" w:rsidRDefault="003F2C18">
          <w:pPr>
            <w:pStyle w:val="TOC3"/>
            <w:tabs>
              <w:tab w:val="right" w:leader="dot" w:pos="9350"/>
            </w:tabs>
            <w:rPr>
              <w:rFonts w:eastAsiaTheme="minorEastAsia"/>
              <w:noProof/>
              <w:sz w:val="22"/>
              <w:szCs w:val="22"/>
            </w:rPr>
          </w:pPr>
          <w:hyperlink w:anchor="_Toc492020018" w:history="1">
            <w:r w:rsidR="004E10B1" w:rsidRPr="00FC3881">
              <w:rPr>
                <w:rStyle w:val="Hyperlink"/>
                <w:rFonts w:eastAsia="Times New Roman"/>
                <w:noProof/>
              </w:rPr>
              <w:t>Utilizing Traded Credits for Compliance</w:t>
            </w:r>
            <w:r w:rsidR="004E10B1">
              <w:rPr>
                <w:noProof/>
                <w:webHidden/>
              </w:rPr>
              <w:tab/>
            </w:r>
            <w:r w:rsidR="004E10B1">
              <w:rPr>
                <w:noProof/>
                <w:webHidden/>
              </w:rPr>
              <w:fldChar w:fldCharType="begin"/>
            </w:r>
            <w:r w:rsidR="004E10B1">
              <w:rPr>
                <w:noProof/>
                <w:webHidden/>
              </w:rPr>
              <w:instrText xml:space="preserve"> PAGEREF _Toc492020018 \h </w:instrText>
            </w:r>
            <w:r w:rsidR="004E10B1">
              <w:rPr>
                <w:noProof/>
                <w:webHidden/>
              </w:rPr>
            </w:r>
            <w:r w:rsidR="004E10B1">
              <w:rPr>
                <w:noProof/>
                <w:webHidden/>
              </w:rPr>
              <w:fldChar w:fldCharType="separate"/>
            </w:r>
            <w:r>
              <w:rPr>
                <w:noProof/>
                <w:webHidden/>
              </w:rPr>
              <w:t>6</w:t>
            </w:r>
            <w:r w:rsidR="004E10B1">
              <w:rPr>
                <w:noProof/>
                <w:webHidden/>
              </w:rPr>
              <w:fldChar w:fldCharType="end"/>
            </w:r>
          </w:hyperlink>
        </w:p>
        <w:p w14:paraId="7EF9041D" w14:textId="44619F03" w:rsidR="004E10B1" w:rsidRDefault="003F2C18">
          <w:pPr>
            <w:pStyle w:val="TOC3"/>
            <w:tabs>
              <w:tab w:val="right" w:leader="dot" w:pos="9350"/>
            </w:tabs>
            <w:rPr>
              <w:rFonts w:eastAsiaTheme="minorEastAsia"/>
              <w:noProof/>
              <w:sz w:val="22"/>
              <w:szCs w:val="22"/>
            </w:rPr>
          </w:pPr>
          <w:hyperlink w:anchor="_Toc492020019" w:history="1">
            <w:r w:rsidR="004E10B1" w:rsidRPr="00FC3881">
              <w:rPr>
                <w:rStyle w:val="Hyperlink"/>
                <w:rFonts w:eastAsia="Times New Roman"/>
                <w:noProof/>
              </w:rPr>
              <w:t>Joint Compliance</w:t>
            </w:r>
            <w:r w:rsidR="004E10B1">
              <w:rPr>
                <w:noProof/>
                <w:webHidden/>
              </w:rPr>
              <w:tab/>
            </w:r>
            <w:r w:rsidR="004E10B1">
              <w:rPr>
                <w:noProof/>
                <w:webHidden/>
              </w:rPr>
              <w:fldChar w:fldCharType="begin"/>
            </w:r>
            <w:r w:rsidR="004E10B1">
              <w:rPr>
                <w:noProof/>
                <w:webHidden/>
              </w:rPr>
              <w:instrText xml:space="preserve"> PAGEREF _Toc492020019 \h </w:instrText>
            </w:r>
            <w:r w:rsidR="004E10B1">
              <w:rPr>
                <w:noProof/>
                <w:webHidden/>
              </w:rPr>
            </w:r>
            <w:r w:rsidR="004E10B1">
              <w:rPr>
                <w:noProof/>
                <w:webHidden/>
              </w:rPr>
              <w:fldChar w:fldCharType="separate"/>
            </w:r>
            <w:r>
              <w:rPr>
                <w:noProof/>
                <w:webHidden/>
              </w:rPr>
              <w:t>6</w:t>
            </w:r>
            <w:r w:rsidR="004E10B1">
              <w:rPr>
                <w:noProof/>
                <w:webHidden/>
              </w:rPr>
              <w:fldChar w:fldCharType="end"/>
            </w:r>
          </w:hyperlink>
        </w:p>
        <w:p w14:paraId="321FD881" w14:textId="4A114942" w:rsidR="004E10B1" w:rsidRDefault="003F2C18">
          <w:pPr>
            <w:pStyle w:val="TOC3"/>
            <w:tabs>
              <w:tab w:val="right" w:leader="dot" w:pos="9350"/>
            </w:tabs>
            <w:rPr>
              <w:rFonts w:eastAsiaTheme="minorEastAsia"/>
              <w:noProof/>
              <w:sz w:val="22"/>
              <w:szCs w:val="22"/>
            </w:rPr>
          </w:pPr>
          <w:hyperlink w:anchor="_Toc492020020" w:history="1">
            <w:r w:rsidR="004E10B1" w:rsidRPr="00FC3881">
              <w:rPr>
                <w:rStyle w:val="Hyperlink"/>
                <w:rFonts w:eastAsia="Times New Roman"/>
                <w:noProof/>
              </w:rPr>
              <w:t>Anticipated Trading Needs</w:t>
            </w:r>
            <w:r w:rsidR="004E10B1">
              <w:rPr>
                <w:noProof/>
                <w:webHidden/>
              </w:rPr>
              <w:tab/>
            </w:r>
            <w:r w:rsidR="004E10B1">
              <w:rPr>
                <w:noProof/>
                <w:webHidden/>
              </w:rPr>
              <w:fldChar w:fldCharType="begin"/>
            </w:r>
            <w:r w:rsidR="004E10B1">
              <w:rPr>
                <w:noProof/>
                <w:webHidden/>
              </w:rPr>
              <w:instrText xml:space="preserve"> PAGEREF _Toc492020020 \h </w:instrText>
            </w:r>
            <w:r w:rsidR="004E10B1">
              <w:rPr>
                <w:noProof/>
                <w:webHidden/>
              </w:rPr>
            </w:r>
            <w:r w:rsidR="004E10B1">
              <w:rPr>
                <w:noProof/>
                <w:webHidden/>
              </w:rPr>
              <w:fldChar w:fldCharType="separate"/>
            </w:r>
            <w:r>
              <w:rPr>
                <w:noProof/>
                <w:webHidden/>
              </w:rPr>
              <w:t>7</w:t>
            </w:r>
            <w:r w:rsidR="004E10B1">
              <w:rPr>
                <w:noProof/>
                <w:webHidden/>
              </w:rPr>
              <w:fldChar w:fldCharType="end"/>
            </w:r>
          </w:hyperlink>
        </w:p>
        <w:p w14:paraId="0AC18C08" w14:textId="3228324A" w:rsidR="004E10B1" w:rsidRDefault="003F2C18">
          <w:pPr>
            <w:pStyle w:val="TOC2"/>
            <w:tabs>
              <w:tab w:val="right" w:leader="dot" w:pos="9350"/>
            </w:tabs>
            <w:rPr>
              <w:rFonts w:eastAsiaTheme="minorEastAsia"/>
              <w:noProof/>
              <w:sz w:val="22"/>
              <w:szCs w:val="22"/>
            </w:rPr>
          </w:pPr>
          <w:hyperlink w:anchor="_Toc492020021" w:history="1">
            <w:r w:rsidR="004E10B1" w:rsidRPr="00FC3881">
              <w:rPr>
                <w:rStyle w:val="Hyperlink"/>
                <w:rFonts w:ascii="Calibri" w:eastAsia="Times New Roman" w:hAnsi="Calibri" w:cs="Times New Roman"/>
                <w:noProof/>
              </w:rPr>
              <w:t>Mechanisms for Trading: Existing and Proposed</w:t>
            </w:r>
            <w:r w:rsidR="004E10B1">
              <w:rPr>
                <w:noProof/>
                <w:webHidden/>
              </w:rPr>
              <w:tab/>
            </w:r>
            <w:r w:rsidR="004E10B1">
              <w:rPr>
                <w:noProof/>
                <w:webHidden/>
              </w:rPr>
              <w:fldChar w:fldCharType="begin"/>
            </w:r>
            <w:r w:rsidR="004E10B1">
              <w:rPr>
                <w:noProof/>
                <w:webHidden/>
              </w:rPr>
              <w:instrText xml:space="preserve"> PAGEREF _Toc492020021 \h </w:instrText>
            </w:r>
            <w:r w:rsidR="004E10B1">
              <w:rPr>
                <w:noProof/>
                <w:webHidden/>
              </w:rPr>
            </w:r>
            <w:r w:rsidR="004E10B1">
              <w:rPr>
                <w:noProof/>
                <w:webHidden/>
              </w:rPr>
              <w:fldChar w:fldCharType="separate"/>
            </w:r>
            <w:r>
              <w:rPr>
                <w:noProof/>
                <w:webHidden/>
              </w:rPr>
              <w:t>9</w:t>
            </w:r>
            <w:r w:rsidR="004E10B1">
              <w:rPr>
                <w:noProof/>
                <w:webHidden/>
              </w:rPr>
              <w:fldChar w:fldCharType="end"/>
            </w:r>
          </w:hyperlink>
        </w:p>
        <w:p w14:paraId="3E25C71A" w14:textId="5DF6B13D" w:rsidR="004E10B1" w:rsidRDefault="003F2C18">
          <w:pPr>
            <w:pStyle w:val="TOC3"/>
            <w:tabs>
              <w:tab w:val="right" w:leader="dot" w:pos="9350"/>
            </w:tabs>
            <w:rPr>
              <w:rFonts w:eastAsiaTheme="minorEastAsia"/>
              <w:noProof/>
              <w:sz w:val="22"/>
              <w:szCs w:val="22"/>
            </w:rPr>
          </w:pPr>
          <w:hyperlink w:anchor="_Toc492020022" w:history="1">
            <w:r w:rsidR="004E10B1" w:rsidRPr="00FC3881">
              <w:rPr>
                <w:rStyle w:val="Hyperlink"/>
                <w:rFonts w:eastAsia="Times New Roman"/>
                <w:noProof/>
              </w:rPr>
              <w:t>Generating Credit</w:t>
            </w:r>
            <w:r w:rsidR="004E10B1">
              <w:rPr>
                <w:noProof/>
                <w:webHidden/>
              </w:rPr>
              <w:tab/>
            </w:r>
            <w:r w:rsidR="004E10B1">
              <w:rPr>
                <w:noProof/>
                <w:webHidden/>
              </w:rPr>
              <w:fldChar w:fldCharType="begin"/>
            </w:r>
            <w:r w:rsidR="004E10B1">
              <w:rPr>
                <w:noProof/>
                <w:webHidden/>
              </w:rPr>
              <w:instrText xml:space="preserve"> PAGEREF _Toc492020022 \h </w:instrText>
            </w:r>
            <w:r w:rsidR="004E10B1">
              <w:rPr>
                <w:noProof/>
                <w:webHidden/>
              </w:rPr>
            </w:r>
            <w:r w:rsidR="004E10B1">
              <w:rPr>
                <w:noProof/>
                <w:webHidden/>
              </w:rPr>
              <w:fldChar w:fldCharType="separate"/>
            </w:r>
            <w:r>
              <w:rPr>
                <w:noProof/>
                <w:webHidden/>
              </w:rPr>
              <w:t>9</w:t>
            </w:r>
            <w:r w:rsidR="004E10B1">
              <w:rPr>
                <w:noProof/>
                <w:webHidden/>
              </w:rPr>
              <w:fldChar w:fldCharType="end"/>
            </w:r>
          </w:hyperlink>
        </w:p>
        <w:p w14:paraId="4A541320" w14:textId="2DF37B77" w:rsidR="004E10B1" w:rsidRDefault="003F2C18">
          <w:pPr>
            <w:pStyle w:val="TOC3"/>
            <w:tabs>
              <w:tab w:val="right" w:leader="dot" w:pos="9350"/>
            </w:tabs>
            <w:rPr>
              <w:rFonts w:eastAsiaTheme="minorEastAsia"/>
              <w:noProof/>
              <w:sz w:val="22"/>
              <w:szCs w:val="22"/>
            </w:rPr>
          </w:pPr>
          <w:hyperlink w:anchor="_Toc492020023" w:history="1">
            <w:r w:rsidR="004E10B1" w:rsidRPr="00FC3881">
              <w:rPr>
                <w:rStyle w:val="Hyperlink"/>
                <w:rFonts w:eastAsia="Times New Roman"/>
                <w:noProof/>
              </w:rPr>
              <w:t>Releasing Credit</w:t>
            </w:r>
            <w:r w:rsidR="004E10B1">
              <w:rPr>
                <w:noProof/>
                <w:webHidden/>
              </w:rPr>
              <w:tab/>
            </w:r>
            <w:r w:rsidR="004E10B1">
              <w:rPr>
                <w:noProof/>
                <w:webHidden/>
              </w:rPr>
              <w:fldChar w:fldCharType="begin"/>
            </w:r>
            <w:r w:rsidR="004E10B1">
              <w:rPr>
                <w:noProof/>
                <w:webHidden/>
              </w:rPr>
              <w:instrText xml:space="preserve"> PAGEREF _Toc492020023 \h </w:instrText>
            </w:r>
            <w:r w:rsidR="004E10B1">
              <w:rPr>
                <w:noProof/>
                <w:webHidden/>
              </w:rPr>
            </w:r>
            <w:r w:rsidR="004E10B1">
              <w:rPr>
                <w:noProof/>
                <w:webHidden/>
              </w:rPr>
              <w:fldChar w:fldCharType="separate"/>
            </w:r>
            <w:r>
              <w:rPr>
                <w:noProof/>
                <w:webHidden/>
              </w:rPr>
              <w:t>9</w:t>
            </w:r>
            <w:r w:rsidR="004E10B1">
              <w:rPr>
                <w:noProof/>
                <w:webHidden/>
              </w:rPr>
              <w:fldChar w:fldCharType="end"/>
            </w:r>
          </w:hyperlink>
        </w:p>
        <w:p w14:paraId="166E94EF" w14:textId="1A8C13DB" w:rsidR="004E10B1" w:rsidRDefault="003F2C18">
          <w:pPr>
            <w:pStyle w:val="TOC3"/>
            <w:tabs>
              <w:tab w:val="right" w:leader="dot" w:pos="9350"/>
            </w:tabs>
            <w:rPr>
              <w:rFonts w:eastAsiaTheme="minorEastAsia"/>
              <w:noProof/>
              <w:sz w:val="22"/>
              <w:szCs w:val="22"/>
            </w:rPr>
          </w:pPr>
          <w:hyperlink w:anchor="_Toc492020024" w:history="1">
            <w:r w:rsidR="004E10B1" w:rsidRPr="00FC3881">
              <w:rPr>
                <w:rStyle w:val="Hyperlink"/>
                <w:rFonts w:eastAsia="Times New Roman"/>
                <w:noProof/>
              </w:rPr>
              <w:t>Trading and Tracking Credit</w:t>
            </w:r>
            <w:r w:rsidR="004E10B1">
              <w:rPr>
                <w:noProof/>
                <w:webHidden/>
              </w:rPr>
              <w:tab/>
            </w:r>
            <w:r w:rsidR="004E10B1">
              <w:rPr>
                <w:noProof/>
                <w:webHidden/>
              </w:rPr>
              <w:fldChar w:fldCharType="begin"/>
            </w:r>
            <w:r w:rsidR="004E10B1">
              <w:rPr>
                <w:noProof/>
                <w:webHidden/>
              </w:rPr>
              <w:instrText xml:space="preserve"> PAGEREF _Toc492020024 \h </w:instrText>
            </w:r>
            <w:r w:rsidR="004E10B1">
              <w:rPr>
                <w:noProof/>
                <w:webHidden/>
              </w:rPr>
            </w:r>
            <w:r w:rsidR="004E10B1">
              <w:rPr>
                <w:noProof/>
                <w:webHidden/>
              </w:rPr>
              <w:fldChar w:fldCharType="separate"/>
            </w:r>
            <w:r>
              <w:rPr>
                <w:noProof/>
                <w:webHidden/>
              </w:rPr>
              <w:t>10</w:t>
            </w:r>
            <w:r w:rsidR="004E10B1">
              <w:rPr>
                <w:noProof/>
                <w:webHidden/>
              </w:rPr>
              <w:fldChar w:fldCharType="end"/>
            </w:r>
          </w:hyperlink>
        </w:p>
        <w:p w14:paraId="2B54544A" w14:textId="2EAA40AA" w:rsidR="004E10B1" w:rsidRDefault="003F2C18">
          <w:pPr>
            <w:pStyle w:val="TOC3"/>
            <w:tabs>
              <w:tab w:val="right" w:leader="dot" w:pos="9350"/>
            </w:tabs>
            <w:rPr>
              <w:rFonts w:eastAsiaTheme="minorEastAsia"/>
              <w:noProof/>
              <w:sz w:val="22"/>
              <w:szCs w:val="22"/>
            </w:rPr>
          </w:pPr>
          <w:hyperlink w:anchor="_Toc492020025" w:history="1">
            <w:r w:rsidR="004E10B1" w:rsidRPr="00FC3881">
              <w:rPr>
                <w:rStyle w:val="Hyperlink"/>
                <w:rFonts w:eastAsia="Times New Roman"/>
                <w:noProof/>
              </w:rPr>
              <w:t>Redeeming Credit</w:t>
            </w:r>
            <w:r w:rsidR="004E10B1">
              <w:rPr>
                <w:noProof/>
                <w:webHidden/>
              </w:rPr>
              <w:tab/>
            </w:r>
            <w:r w:rsidR="004E10B1">
              <w:rPr>
                <w:noProof/>
                <w:webHidden/>
              </w:rPr>
              <w:fldChar w:fldCharType="begin"/>
            </w:r>
            <w:r w:rsidR="004E10B1">
              <w:rPr>
                <w:noProof/>
                <w:webHidden/>
              </w:rPr>
              <w:instrText xml:space="preserve"> PAGEREF _Toc492020025 \h </w:instrText>
            </w:r>
            <w:r w:rsidR="004E10B1">
              <w:rPr>
                <w:noProof/>
                <w:webHidden/>
              </w:rPr>
            </w:r>
            <w:r w:rsidR="004E10B1">
              <w:rPr>
                <w:noProof/>
                <w:webHidden/>
              </w:rPr>
              <w:fldChar w:fldCharType="separate"/>
            </w:r>
            <w:r>
              <w:rPr>
                <w:noProof/>
                <w:webHidden/>
              </w:rPr>
              <w:t>11</w:t>
            </w:r>
            <w:r w:rsidR="004E10B1">
              <w:rPr>
                <w:noProof/>
                <w:webHidden/>
              </w:rPr>
              <w:fldChar w:fldCharType="end"/>
            </w:r>
          </w:hyperlink>
        </w:p>
        <w:p w14:paraId="5D326EF3" w14:textId="38A81BCC" w:rsidR="004E10B1" w:rsidRDefault="003F2C18">
          <w:pPr>
            <w:pStyle w:val="TOC3"/>
            <w:tabs>
              <w:tab w:val="right" w:leader="dot" w:pos="9350"/>
            </w:tabs>
            <w:rPr>
              <w:rFonts w:eastAsiaTheme="minorEastAsia"/>
              <w:noProof/>
              <w:sz w:val="22"/>
              <w:szCs w:val="22"/>
            </w:rPr>
          </w:pPr>
          <w:hyperlink w:anchor="_Toc492020026" w:history="1">
            <w:r w:rsidR="004E10B1" w:rsidRPr="00FC3881">
              <w:rPr>
                <w:rStyle w:val="Hyperlink"/>
                <w:rFonts w:eastAsia="Times New Roman"/>
                <w:noProof/>
              </w:rPr>
              <w:t>Retiring Credit</w:t>
            </w:r>
            <w:r w:rsidR="004E10B1">
              <w:rPr>
                <w:noProof/>
                <w:webHidden/>
              </w:rPr>
              <w:tab/>
            </w:r>
            <w:r w:rsidR="004E10B1">
              <w:rPr>
                <w:noProof/>
                <w:webHidden/>
              </w:rPr>
              <w:fldChar w:fldCharType="begin"/>
            </w:r>
            <w:r w:rsidR="004E10B1">
              <w:rPr>
                <w:noProof/>
                <w:webHidden/>
              </w:rPr>
              <w:instrText xml:space="preserve"> PAGEREF _Toc492020026 \h </w:instrText>
            </w:r>
            <w:r w:rsidR="004E10B1">
              <w:rPr>
                <w:noProof/>
                <w:webHidden/>
              </w:rPr>
            </w:r>
            <w:r w:rsidR="004E10B1">
              <w:rPr>
                <w:noProof/>
                <w:webHidden/>
              </w:rPr>
              <w:fldChar w:fldCharType="separate"/>
            </w:r>
            <w:r>
              <w:rPr>
                <w:noProof/>
                <w:webHidden/>
              </w:rPr>
              <w:t>11</w:t>
            </w:r>
            <w:r w:rsidR="004E10B1">
              <w:rPr>
                <w:noProof/>
                <w:webHidden/>
              </w:rPr>
              <w:fldChar w:fldCharType="end"/>
            </w:r>
          </w:hyperlink>
        </w:p>
        <w:p w14:paraId="72D758D6" w14:textId="25ABF1A5" w:rsidR="004E10B1" w:rsidRDefault="003F2C18">
          <w:pPr>
            <w:pStyle w:val="TOC2"/>
            <w:tabs>
              <w:tab w:val="right" w:leader="dot" w:pos="9350"/>
            </w:tabs>
            <w:rPr>
              <w:rFonts w:eastAsiaTheme="minorEastAsia"/>
              <w:noProof/>
              <w:sz w:val="22"/>
              <w:szCs w:val="22"/>
            </w:rPr>
          </w:pPr>
          <w:hyperlink w:anchor="_Toc492020027" w:history="1">
            <w:r w:rsidR="004E10B1" w:rsidRPr="00FC3881">
              <w:rPr>
                <w:rStyle w:val="Hyperlink"/>
                <w:rFonts w:ascii="Calibri" w:eastAsia="Times New Roman" w:hAnsi="Calibri" w:cs="Times New Roman"/>
                <w:noProof/>
              </w:rPr>
              <w:t>Financing Nutrient Reduction Credits</w:t>
            </w:r>
            <w:r w:rsidR="004E10B1">
              <w:rPr>
                <w:noProof/>
                <w:webHidden/>
              </w:rPr>
              <w:tab/>
            </w:r>
            <w:r w:rsidR="004E10B1">
              <w:rPr>
                <w:noProof/>
                <w:webHidden/>
              </w:rPr>
              <w:fldChar w:fldCharType="begin"/>
            </w:r>
            <w:r w:rsidR="004E10B1">
              <w:rPr>
                <w:noProof/>
                <w:webHidden/>
              </w:rPr>
              <w:instrText xml:space="preserve"> PAGEREF _Toc492020027 \h </w:instrText>
            </w:r>
            <w:r w:rsidR="004E10B1">
              <w:rPr>
                <w:noProof/>
                <w:webHidden/>
              </w:rPr>
            </w:r>
            <w:r w:rsidR="004E10B1">
              <w:rPr>
                <w:noProof/>
                <w:webHidden/>
              </w:rPr>
              <w:fldChar w:fldCharType="separate"/>
            </w:r>
            <w:r>
              <w:rPr>
                <w:noProof/>
                <w:webHidden/>
              </w:rPr>
              <w:t>13</w:t>
            </w:r>
            <w:r w:rsidR="004E10B1">
              <w:rPr>
                <w:noProof/>
                <w:webHidden/>
              </w:rPr>
              <w:fldChar w:fldCharType="end"/>
            </w:r>
          </w:hyperlink>
        </w:p>
        <w:p w14:paraId="4A77ED8C" w14:textId="5D79C262" w:rsidR="004E10B1" w:rsidRDefault="003F2C18">
          <w:pPr>
            <w:pStyle w:val="TOC2"/>
            <w:tabs>
              <w:tab w:val="right" w:leader="dot" w:pos="9350"/>
            </w:tabs>
            <w:rPr>
              <w:rFonts w:eastAsiaTheme="minorEastAsia"/>
              <w:noProof/>
              <w:sz w:val="22"/>
              <w:szCs w:val="22"/>
            </w:rPr>
          </w:pPr>
          <w:hyperlink w:anchor="_Toc492020028" w:history="1">
            <w:r w:rsidR="004E10B1" w:rsidRPr="00FC3881">
              <w:rPr>
                <w:rStyle w:val="Hyperlink"/>
                <w:rFonts w:ascii="Calibri" w:eastAsia="Times New Roman" w:hAnsi="Calibri" w:cs="Times New Roman"/>
                <w:noProof/>
              </w:rPr>
              <w:t>Potential Barriers to Expanding Trading in North Carolina</w:t>
            </w:r>
            <w:r w:rsidR="004E10B1">
              <w:rPr>
                <w:noProof/>
                <w:webHidden/>
              </w:rPr>
              <w:tab/>
            </w:r>
            <w:r w:rsidR="004E10B1">
              <w:rPr>
                <w:noProof/>
                <w:webHidden/>
              </w:rPr>
              <w:fldChar w:fldCharType="begin"/>
            </w:r>
            <w:r w:rsidR="004E10B1">
              <w:rPr>
                <w:noProof/>
                <w:webHidden/>
              </w:rPr>
              <w:instrText xml:space="preserve"> PAGEREF _Toc492020028 \h </w:instrText>
            </w:r>
            <w:r w:rsidR="004E10B1">
              <w:rPr>
                <w:noProof/>
                <w:webHidden/>
              </w:rPr>
            </w:r>
            <w:r w:rsidR="004E10B1">
              <w:rPr>
                <w:noProof/>
                <w:webHidden/>
              </w:rPr>
              <w:fldChar w:fldCharType="separate"/>
            </w:r>
            <w:r>
              <w:rPr>
                <w:noProof/>
                <w:webHidden/>
              </w:rPr>
              <w:t>14</w:t>
            </w:r>
            <w:r w:rsidR="004E10B1">
              <w:rPr>
                <w:noProof/>
                <w:webHidden/>
              </w:rPr>
              <w:fldChar w:fldCharType="end"/>
            </w:r>
          </w:hyperlink>
        </w:p>
        <w:p w14:paraId="75E0EB99" w14:textId="1119D9CC" w:rsidR="004E10B1" w:rsidRDefault="003F2C18">
          <w:pPr>
            <w:pStyle w:val="TOC3"/>
            <w:tabs>
              <w:tab w:val="right" w:leader="dot" w:pos="9350"/>
            </w:tabs>
            <w:rPr>
              <w:rFonts w:eastAsiaTheme="minorEastAsia"/>
              <w:noProof/>
              <w:sz w:val="22"/>
              <w:szCs w:val="22"/>
            </w:rPr>
          </w:pPr>
          <w:hyperlink w:anchor="_Toc492020029" w:history="1">
            <w:r w:rsidR="004E10B1" w:rsidRPr="00FC3881">
              <w:rPr>
                <w:rStyle w:val="Hyperlink"/>
                <w:rFonts w:eastAsia="Times New Roman"/>
                <w:noProof/>
              </w:rPr>
              <w:t>Agricultural Regulations</w:t>
            </w:r>
            <w:r w:rsidR="004E10B1">
              <w:rPr>
                <w:noProof/>
                <w:webHidden/>
              </w:rPr>
              <w:tab/>
            </w:r>
            <w:r w:rsidR="004E10B1">
              <w:rPr>
                <w:noProof/>
                <w:webHidden/>
              </w:rPr>
              <w:fldChar w:fldCharType="begin"/>
            </w:r>
            <w:r w:rsidR="004E10B1">
              <w:rPr>
                <w:noProof/>
                <w:webHidden/>
              </w:rPr>
              <w:instrText xml:space="preserve"> PAGEREF _Toc492020029 \h </w:instrText>
            </w:r>
            <w:r w:rsidR="004E10B1">
              <w:rPr>
                <w:noProof/>
                <w:webHidden/>
              </w:rPr>
            </w:r>
            <w:r w:rsidR="004E10B1">
              <w:rPr>
                <w:noProof/>
                <w:webHidden/>
              </w:rPr>
              <w:fldChar w:fldCharType="separate"/>
            </w:r>
            <w:r>
              <w:rPr>
                <w:noProof/>
                <w:webHidden/>
              </w:rPr>
              <w:t>14</w:t>
            </w:r>
            <w:r w:rsidR="004E10B1">
              <w:rPr>
                <w:noProof/>
                <w:webHidden/>
              </w:rPr>
              <w:fldChar w:fldCharType="end"/>
            </w:r>
          </w:hyperlink>
        </w:p>
        <w:p w14:paraId="50BB4152" w14:textId="4DEA9190" w:rsidR="004E10B1" w:rsidRDefault="003F2C18">
          <w:pPr>
            <w:pStyle w:val="TOC3"/>
            <w:tabs>
              <w:tab w:val="right" w:leader="dot" w:pos="9350"/>
            </w:tabs>
            <w:rPr>
              <w:rFonts w:eastAsiaTheme="minorEastAsia"/>
              <w:noProof/>
              <w:sz w:val="22"/>
              <w:szCs w:val="22"/>
            </w:rPr>
          </w:pPr>
          <w:hyperlink w:anchor="_Toc492020030" w:history="1">
            <w:r w:rsidR="004E10B1" w:rsidRPr="00FC3881">
              <w:rPr>
                <w:rStyle w:val="Hyperlink"/>
                <w:rFonts w:eastAsia="Times New Roman"/>
                <w:noProof/>
              </w:rPr>
              <w:t>Interpretation of the “Fair, Reasonable, and Proportionate” Standard</w:t>
            </w:r>
            <w:r w:rsidR="004E10B1">
              <w:rPr>
                <w:noProof/>
                <w:webHidden/>
              </w:rPr>
              <w:tab/>
            </w:r>
            <w:r w:rsidR="004E10B1">
              <w:rPr>
                <w:noProof/>
                <w:webHidden/>
              </w:rPr>
              <w:fldChar w:fldCharType="begin"/>
            </w:r>
            <w:r w:rsidR="004E10B1">
              <w:rPr>
                <w:noProof/>
                <w:webHidden/>
              </w:rPr>
              <w:instrText xml:space="preserve"> PAGEREF _Toc492020030 \h </w:instrText>
            </w:r>
            <w:r w:rsidR="004E10B1">
              <w:rPr>
                <w:noProof/>
                <w:webHidden/>
              </w:rPr>
            </w:r>
            <w:r w:rsidR="004E10B1">
              <w:rPr>
                <w:noProof/>
                <w:webHidden/>
              </w:rPr>
              <w:fldChar w:fldCharType="separate"/>
            </w:r>
            <w:r>
              <w:rPr>
                <w:noProof/>
                <w:webHidden/>
              </w:rPr>
              <w:t>15</w:t>
            </w:r>
            <w:r w:rsidR="004E10B1">
              <w:rPr>
                <w:noProof/>
                <w:webHidden/>
              </w:rPr>
              <w:fldChar w:fldCharType="end"/>
            </w:r>
          </w:hyperlink>
        </w:p>
        <w:p w14:paraId="3AC5C0A1" w14:textId="1CB6F21E" w:rsidR="004E10B1" w:rsidRDefault="003F2C18">
          <w:pPr>
            <w:pStyle w:val="TOC3"/>
            <w:tabs>
              <w:tab w:val="right" w:leader="dot" w:pos="9350"/>
            </w:tabs>
            <w:rPr>
              <w:rFonts w:eastAsiaTheme="minorEastAsia"/>
              <w:noProof/>
              <w:sz w:val="22"/>
              <w:szCs w:val="22"/>
            </w:rPr>
          </w:pPr>
          <w:hyperlink w:anchor="_Toc492020031" w:history="1">
            <w:r w:rsidR="004E10B1" w:rsidRPr="00FC3881">
              <w:rPr>
                <w:rStyle w:val="Hyperlink"/>
                <w:rFonts w:eastAsia="Times New Roman"/>
                <w:noProof/>
              </w:rPr>
              <w:t>Transaction Costs</w:t>
            </w:r>
            <w:r w:rsidR="004E10B1">
              <w:rPr>
                <w:noProof/>
                <w:webHidden/>
              </w:rPr>
              <w:tab/>
            </w:r>
            <w:r w:rsidR="004E10B1">
              <w:rPr>
                <w:noProof/>
                <w:webHidden/>
              </w:rPr>
              <w:fldChar w:fldCharType="begin"/>
            </w:r>
            <w:r w:rsidR="004E10B1">
              <w:rPr>
                <w:noProof/>
                <w:webHidden/>
              </w:rPr>
              <w:instrText xml:space="preserve"> PAGEREF _Toc492020031 \h </w:instrText>
            </w:r>
            <w:r w:rsidR="004E10B1">
              <w:rPr>
                <w:noProof/>
                <w:webHidden/>
              </w:rPr>
            </w:r>
            <w:r w:rsidR="004E10B1">
              <w:rPr>
                <w:noProof/>
                <w:webHidden/>
              </w:rPr>
              <w:fldChar w:fldCharType="separate"/>
            </w:r>
            <w:r>
              <w:rPr>
                <w:noProof/>
                <w:webHidden/>
              </w:rPr>
              <w:t>15</w:t>
            </w:r>
            <w:r w:rsidR="004E10B1">
              <w:rPr>
                <w:noProof/>
                <w:webHidden/>
              </w:rPr>
              <w:fldChar w:fldCharType="end"/>
            </w:r>
          </w:hyperlink>
        </w:p>
        <w:p w14:paraId="4F7BB229" w14:textId="2A6485E8" w:rsidR="004E10B1" w:rsidRDefault="003F2C18">
          <w:pPr>
            <w:pStyle w:val="TOC3"/>
            <w:tabs>
              <w:tab w:val="right" w:leader="dot" w:pos="9350"/>
            </w:tabs>
            <w:rPr>
              <w:rFonts w:eastAsiaTheme="minorEastAsia"/>
              <w:noProof/>
              <w:sz w:val="22"/>
              <w:szCs w:val="22"/>
            </w:rPr>
          </w:pPr>
          <w:hyperlink w:anchor="_Toc492020032" w:history="1">
            <w:r w:rsidR="004E10B1" w:rsidRPr="00FC3881">
              <w:rPr>
                <w:rStyle w:val="Hyperlink"/>
                <w:rFonts w:eastAsia="Times New Roman"/>
                <w:noProof/>
              </w:rPr>
              <w:t>Hotspots</w:t>
            </w:r>
            <w:r w:rsidR="004E10B1">
              <w:rPr>
                <w:noProof/>
                <w:webHidden/>
              </w:rPr>
              <w:tab/>
            </w:r>
            <w:r w:rsidR="004E10B1">
              <w:rPr>
                <w:noProof/>
                <w:webHidden/>
              </w:rPr>
              <w:fldChar w:fldCharType="begin"/>
            </w:r>
            <w:r w:rsidR="004E10B1">
              <w:rPr>
                <w:noProof/>
                <w:webHidden/>
              </w:rPr>
              <w:instrText xml:space="preserve"> PAGEREF _Toc492020032 \h </w:instrText>
            </w:r>
            <w:r w:rsidR="004E10B1">
              <w:rPr>
                <w:noProof/>
                <w:webHidden/>
              </w:rPr>
            </w:r>
            <w:r w:rsidR="004E10B1">
              <w:rPr>
                <w:noProof/>
                <w:webHidden/>
              </w:rPr>
              <w:fldChar w:fldCharType="separate"/>
            </w:r>
            <w:r>
              <w:rPr>
                <w:noProof/>
                <w:webHidden/>
              </w:rPr>
              <w:t>15</w:t>
            </w:r>
            <w:r w:rsidR="004E10B1">
              <w:rPr>
                <w:noProof/>
                <w:webHidden/>
              </w:rPr>
              <w:fldChar w:fldCharType="end"/>
            </w:r>
          </w:hyperlink>
        </w:p>
        <w:p w14:paraId="576EA848" w14:textId="1953505A" w:rsidR="004E10B1" w:rsidRDefault="003F2C18">
          <w:pPr>
            <w:pStyle w:val="TOC2"/>
            <w:tabs>
              <w:tab w:val="right" w:leader="dot" w:pos="9350"/>
            </w:tabs>
            <w:rPr>
              <w:rFonts w:eastAsiaTheme="minorEastAsia"/>
              <w:noProof/>
              <w:sz w:val="22"/>
              <w:szCs w:val="22"/>
            </w:rPr>
          </w:pPr>
          <w:hyperlink w:anchor="_Toc492020033" w:history="1">
            <w:r w:rsidR="004E10B1" w:rsidRPr="00FC3881">
              <w:rPr>
                <w:rStyle w:val="Hyperlink"/>
                <w:rFonts w:eastAsia="Times New Roman"/>
                <w:noProof/>
              </w:rPr>
              <w:t>Appendix A: Proposed Amendments to the Nutrient Offset Rule (Aug. 18, 2017)</w:t>
            </w:r>
            <w:r w:rsidR="004E10B1">
              <w:rPr>
                <w:noProof/>
                <w:webHidden/>
              </w:rPr>
              <w:tab/>
            </w:r>
            <w:r w:rsidR="004E10B1">
              <w:rPr>
                <w:noProof/>
                <w:webHidden/>
              </w:rPr>
              <w:fldChar w:fldCharType="begin"/>
            </w:r>
            <w:r w:rsidR="004E10B1">
              <w:rPr>
                <w:noProof/>
                <w:webHidden/>
              </w:rPr>
              <w:instrText xml:space="preserve"> PAGEREF _Toc492020033 \h </w:instrText>
            </w:r>
            <w:r w:rsidR="004E10B1">
              <w:rPr>
                <w:noProof/>
                <w:webHidden/>
              </w:rPr>
              <w:fldChar w:fldCharType="separate"/>
            </w:r>
            <w:r>
              <w:rPr>
                <w:b/>
                <w:bCs/>
                <w:noProof/>
                <w:webHidden/>
              </w:rPr>
              <w:t>Error! Bookmark not defined.</w:t>
            </w:r>
            <w:r w:rsidR="004E10B1">
              <w:rPr>
                <w:noProof/>
                <w:webHidden/>
              </w:rPr>
              <w:fldChar w:fldCharType="end"/>
            </w:r>
          </w:hyperlink>
        </w:p>
        <w:p w14:paraId="32C9409E" w14:textId="5317DB4B" w:rsidR="004E10B1" w:rsidRDefault="004E10B1">
          <w:r>
            <w:rPr>
              <w:b/>
              <w:bCs/>
              <w:noProof/>
            </w:rPr>
            <w:fldChar w:fldCharType="end"/>
          </w:r>
        </w:p>
      </w:sdtContent>
    </w:sdt>
    <w:p w14:paraId="6758CA6B" w14:textId="3713BDFC" w:rsidR="00992E17" w:rsidRDefault="00992E17" w:rsidP="004E10B1">
      <w:pPr>
        <w:keepNext/>
        <w:keepLines/>
        <w:spacing w:before="80" w:after="0" w:line="240" w:lineRule="auto"/>
        <w:outlineLvl w:val="1"/>
        <w:rPr>
          <w:rFonts w:eastAsia="Times New Roman"/>
          <w:color w:val="789B4A" w:themeColor="accent2"/>
        </w:rPr>
      </w:pPr>
    </w:p>
    <w:p w14:paraId="545A4BE7" w14:textId="77777777" w:rsidR="00E90900" w:rsidRDefault="00E90900">
      <w:pPr>
        <w:rPr>
          <w:rFonts w:asciiTheme="majorHAnsi" w:eastAsia="Times New Roman" w:hAnsiTheme="majorHAnsi" w:cstheme="majorBidi"/>
          <w:color w:val="789B4A" w:themeColor="accent2"/>
          <w:sz w:val="28"/>
          <w:szCs w:val="28"/>
        </w:rPr>
      </w:pPr>
      <w:r>
        <w:rPr>
          <w:rFonts w:eastAsia="Times New Roman"/>
          <w:color w:val="789B4A" w:themeColor="accent2"/>
        </w:rPr>
        <w:br w:type="page"/>
      </w:r>
    </w:p>
    <w:p w14:paraId="271EBF60" w14:textId="77777777" w:rsidR="00424A5F" w:rsidRPr="00595EE2" w:rsidRDefault="00424A5F" w:rsidP="000C0F6B">
      <w:pPr>
        <w:pStyle w:val="Heading2"/>
        <w:rPr>
          <w:rFonts w:eastAsia="Times New Roman"/>
          <w:color w:val="789B4A" w:themeColor="accent2"/>
        </w:rPr>
      </w:pPr>
      <w:bookmarkStart w:id="6" w:name="_Toc491352608"/>
      <w:bookmarkStart w:id="7" w:name="_Toc491436807"/>
      <w:bookmarkStart w:id="8" w:name="_Toc492020011"/>
      <w:r w:rsidRPr="00595EE2">
        <w:rPr>
          <w:rFonts w:eastAsia="Times New Roman"/>
          <w:color w:val="789B4A" w:themeColor="accent2"/>
        </w:rPr>
        <w:t>Introduction</w:t>
      </w:r>
      <w:bookmarkEnd w:id="6"/>
      <w:bookmarkEnd w:id="7"/>
      <w:bookmarkEnd w:id="8"/>
    </w:p>
    <w:p w14:paraId="61A09346" w14:textId="77777777" w:rsidR="000C0F6B" w:rsidRPr="00595EE2" w:rsidRDefault="000C0F6B" w:rsidP="000C0F6B">
      <w:pPr>
        <w:pStyle w:val="Heading3"/>
        <w:rPr>
          <w:rFonts w:eastAsia="Times New Roman"/>
          <w:color w:val="0B3C61" w:themeColor="accent1"/>
        </w:rPr>
      </w:pPr>
      <w:bookmarkStart w:id="9" w:name="_Toc491352609"/>
      <w:bookmarkStart w:id="10" w:name="_Toc491436808"/>
      <w:bookmarkStart w:id="11" w:name="_Toc492020012"/>
      <w:r w:rsidRPr="00595EE2">
        <w:rPr>
          <w:rFonts w:eastAsia="Times New Roman"/>
          <w:color w:val="0B3C61" w:themeColor="accent1"/>
        </w:rPr>
        <w:t>Purpose</w:t>
      </w:r>
      <w:bookmarkEnd w:id="9"/>
      <w:bookmarkEnd w:id="10"/>
      <w:bookmarkEnd w:id="11"/>
    </w:p>
    <w:p w14:paraId="683ED69E" w14:textId="77777777" w:rsidR="00424A5F" w:rsidRPr="00424A5F" w:rsidRDefault="00424A5F" w:rsidP="00424A5F">
      <w:pPr>
        <w:rPr>
          <w:rFonts w:ascii="Calibri" w:eastAsia="Calibri" w:hAnsi="Calibri" w:cs="Times New Roman"/>
        </w:rPr>
      </w:pPr>
      <w:r w:rsidRPr="00424A5F">
        <w:rPr>
          <w:rFonts w:ascii="Calibri" w:eastAsia="Calibri" w:hAnsi="Calibri" w:cs="Times New Roman"/>
        </w:rPr>
        <w:t xml:space="preserve">The purpose of this document is to provide an overview of existing nutrient trading </w:t>
      </w:r>
      <w:r w:rsidR="007566EF">
        <w:rPr>
          <w:rFonts w:ascii="Calibri" w:eastAsia="Calibri" w:hAnsi="Calibri" w:cs="Times New Roman"/>
        </w:rPr>
        <w:t>activity</w:t>
      </w:r>
      <w:r w:rsidRPr="00424A5F">
        <w:rPr>
          <w:rFonts w:ascii="Calibri" w:eastAsia="Calibri" w:hAnsi="Calibri" w:cs="Times New Roman"/>
        </w:rPr>
        <w:t xml:space="preserve"> in North Carolina and to propose additional opportunities and mechanisms for nutrient trading.  </w:t>
      </w:r>
      <w:r w:rsidR="000C0F6B">
        <w:rPr>
          <w:rFonts w:ascii="Calibri" w:eastAsia="Calibri" w:hAnsi="Calibri" w:cs="Times New Roman"/>
        </w:rPr>
        <w:t>It</w:t>
      </w:r>
      <w:r w:rsidRPr="00424A5F">
        <w:rPr>
          <w:rFonts w:ascii="Calibri" w:eastAsia="Calibri" w:hAnsi="Calibri" w:cs="Times New Roman"/>
        </w:rPr>
        <w:t xml:space="preserve"> also seeks to clarify the use of many terms that are often used informally by trading market participants in North Carolina.  Finally, this framework seeks to identify existing barriers to trading in North Carolina and proposes some potential solutions to these barriers.</w:t>
      </w:r>
      <w:r w:rsidR="00595EE2">
        <w:rPr>
          <w:rFonts w:ascii="Calibri" w:eastAsia="Calibri" w:hAnsi="Calibri" w:cs="Times New Roman"/>
        </w:rPr>
        <w:t xml:space="preserve">  Various short and long term proposals are offered for discussion.</w:t>
      </w:r>
    </w:p>
    <w:p w14:paraId="4DBC64B5" w14:textId="77777777" w:rsidR="00996781" w:rsidRPr="00595EE2" w:rsidRDefault="00996781" w:rsidP="000C0F6B">
      <w:pPr>
        <w:pStyle w:val="Heading3"/>
        <w:rPr>
          <w:rFonts w:eastAsia="Times New Roman"/>
          <w:color w:val="0B3C61" w:themeColor="accent1"/>
        </w:rPr>
      </w:pPr>
      <w:bookmarkStart w:id="12" w:name="_Toc491352610"/>
      <w:bookmarkStart w:id="13" w:name="_Toc491436809"/>
      <w:bookmarkStart w:id="14" w:name="_Toc492020013"/>
      <w:r w:rsidRPr="00595EE2">
        <w:rPr>
          <w:rFonts w:eastAsia="Times New Roman"/>
          <w:color w:val="0B3C61" w:themeColor="accent1"/>
        </w:rPr>
        <w:t>Context</w:t>
      </w:r>
      <w:bookmarkEnd w:id="12"/>
      <w:bookmarkEnd w:id="13"/>
      <w:bookmarkEnd w:id="14"/>
    </w:p>
    <w:p w14:paraId="4F705084" w14:textId="7EE2CF05" w:rsidR="00996781" w:rsidRDefault="00017451" w:rsidP="00996781">
      <w:pPr>
        <w:rPr>
          <w:rFonts w:ascii="Calibri" w:eastAsia="Calibri" w:hAnsi="Calibri" w:cs="Times New Roman"/>
        </w:rPr>
      </w:pPr>
      <w:r>
        <w:rPr>
          <w:rFonts w:ascii="Calibri" w:eastAsia="Calibri" w:hAnsi="Calibri" w:cs="Times New Roman"/>
        </w:rPr>
        <w:t xml:space="preserve">Historically, </w:t>
      </w:r>
      <w:r w:rsidR="00595EE2" w:rsidRPr="00424A5F">
        <w:rPr>
          <w:rFonts w:ascii="Calibri" w:eastAsia="Calibri" w:hAnsi="Calibri" w:cs="Times New Roman"/>
        </w:rPr>
        <w:t>North Carolina has been a</w:t>
      </w:r>
      <w:r w:rsidR="00C97B56">
        <w:rPr>
          <w:rFonts w:ascii="Calibri" w:eastAsia="Calibri" w:hAnsi="Calibri" w:cs="Times New Roman"/>
        </w:rPr>
        <w:t xml:space="preserve"> national</w:t>
      </w:r>
      <w:r w:rsidR="00595EE2" w:rsidRPr="00424A5F">
        <w:rPr>
          <w:rFonts w:ascii="Calibri" w:eastAsia="Calibri" w:hAnsi="Calibri" w:cs="Times New Roman"/>
        </w:rPr>
        <w:t xml:space="preserve"> leader in developing </w:t>
      </w:r>
      <w:r>
        <w:rPr>
          <w:rFonts w:ascii="Calibri" w:eastAsia="Calibri" w:hAnsi="Calibri" w:cs="Times New Roman"/>
        </w:rPr>
        <w:t xml:space="preserve">and implementing </w:t>
      </w:r>
      <w:r w:rsidR="00595EE2" w:rsidRPr="00424A5F">
        <w:rPr>
          <w:rFonts w:ascii="Calibri" w:eastAsia="Calibri" w:hAnsi="Calibri" w:cs="Times New Roman"/>
        </w:rPr>
        <w:t xml:space="preserve">nutrient trading approaches.  </w:t>
      </w:r>
      <w:r w:rsidR="00253D6B">
        <w:rPr>
          <w:rFonts w:ascii="Calibri" w:eastAsia="Calibri" w:hAnsi="Calibri" w:cs="Times New Roman"/>
        </w:rPr>
        <w:t xml:space="preserve">A first attempt launched in 1990, a group cap exceedance offset design for point sources in the Tar-Pamlico River Basin, has never required a trade but </w:t>
      </w:r>
      <w:r w:rsidR="00551CD6">
        <w:rPr>
          <w:rFonts w:ascii="Calibri" w:eastAsia="Calibri" w:hAnsi="Calibri" w:cs="Times New Roman"/>
        </w:rPr>
        <w:t>proved</w:t>
      </w:r>
      <w:r w:rsidR="00253D6B">
        <w:rPr>
          <w:rFonts w:ascii="Calibri" w:eastAsia="Calibri" w:hAnsi="Calibri" w:cs="Times New Roman"/>
        </w:rPr>
        <w:t xml:space="preserve"> instructive for subsequent </w:t>
      </w:r>
      <w:r w:rsidR="00C07AAB">
        <w:rPr>
          <w:rFonts w:ascii="Calibri" w:eastAsia="Calibri" w:hAnsi="Calibri" w:cs="Times New Roman"/>
        </w:rPr>
        <w:t>efforts</w:t>
      </w:r>
      <w:r w:rsidR="00253D6B">
        <w:rPr>
          <w:rFonts w:ascii="Calibri" w:eastAsia="Calibri" w:hAnsi="Calibri" w:cs="Times New Roman"/>
        </w:rPr>
        <w:t>. Rules</w:t>
      </w:r>
      <w:r w:rsidR="00595EE2">
        <w:rPr>
          <w:rFonts w:ascii="Calibri" w:eastAsia="Calibri" w:hAnsi="Calibri" w:cs="Times New Roman"/>
        </w:rPr>
        <w:t xml:space="preserve"> for nutrient trading have been in place since the adoption of the Neuse nutrient strategy in 1998.  Nutrient strategies for the Tar-Pamlico estuary, Jordan Lake, and Falls Lake have all adapted and refined these </w:t>
      </w:r>
      <w:r w:rsidR="009A283D">
        <w:rPr>
          <w:rFonts w:ascii="Calibri" w:eastAsia="Calibri" w:hAnsi="Calibri" w:cs="Times New Roman"/>
        </w:rPr>
        <w:t>approaches</w:t>
      </w:r>
      <w:r w:rsidR="00D45F81">
        <w:rPr>
          <w:rFonts w:ascii="Calibri" w:eastAsia="Calibri" w:hAnsi="Calibri" w:cs="Times New Roman"/>
        </w:rPr>
        <w:t xml:space="preserve"> </w:t>
      </w:r>
      <w:r w:rsidR="00595EE2">
        <w:rPr>
          <w:rFonts w:ascii="Calibri" w:eastAsia="Calibri" w:hAnsi="Calibri" w:cs="Times New Roman"/>
        </w:rPr>
        <w:t xml:space="preserve">while </w:t>
      </w:r>
      <w:r w:rsidR="009A283D">
        <w:rPr>
          <w:rFonts w:ascii="Calibri" w:eastAsia="Calibri" w:hAnsi="Calibri" w:cs="Times New Roman"/>
        </w:rPr>
        <w:t>also authorizing</w:t>
      </w:r>
      <w:r w:rsidR="00595EE2">
        <w:rPr>
          <w:rFonts w:ascii="Calibri" w:eastAsia="Calibri" w:hAnsi="Calibri" w:cs="Times New Roman"/>
        </w:rPr>
        <w:t xml:space="preserve"> </w:t>
      </w:r>
      <w:r>
        <w:rPr>
          <w:rFonts w:ascii="Calibri" w:eastAsia="Calibri" w:hAnsi="Calibri" w:cs="Times New Roman"/>
        </w:rPr>
        <w:t>new opportunities for trading</w:t>
      </w:r>
      <w:r w:rsidR="00595EE2">
        <w:rPr>
          <w:rFonts w:ascii="Calibri" w:eastAsia="Calibri" w:hAnsi="Calibri" w:cs="Times New Roman"/>
        </w:rPr>
        <w:t>.</w:t>
      </w:r>
      <w:r>
        <w:rPr>
          <w:rFonts w:ascii="Calibri" w:eastAsia="Calibri" w:hAnsi="Calibri" w:cs="Times New Roman"/>
        </w:rPr>
        <w:t xml:space="preserve">  </w:t>
      </w:r>
      <w:r w:rsidR="00D45F81">
        <w:rPr>
          <w:rFonts w:ascii="Calibri" w:eastAsia="Calibri" w:hAnsi="Calibri" w:cs="Times New Roman"/>
        </w:rPr>
        <w:t xml:space="preserve">Robust trading markets exist in each of these basins in accordance with wastewater and new development rules. </w:t>
      </w:r>
      <w:r w:rsidR="00A80605">
        <w:rPr>
          <w:rFonts w:ascii="Calibri" w:eastAsia="Calibri" w:hAnsi="Calibri" w:cs="Times New Roman"/>
        </w:rPr>
        <w:t xml:space="preserve">These active markets provide important flexibility and economically efficient compliance options for regulated parties.  </w:t>
      </w:r>
      <w:r>
        <w:rPr>
          <w:rFonts w:ascii="Calibri" w:eastAsia="Calibri" w:hAnsi="Calibri" w:cs="Times New Roman"/>
        </w:rPr>
        <w:t>Yet while new opportunities for trading have been authorized</w:t>
      </w:r>
      <w:r w:rsidR="00D45F81">
        <w:rPr>
          <w:rFonts w:ascii="Calibri" w:eastAsia="Calibri" w:hAnsi="Calibri" w:cs="Times New Roman"/>
        </w:rPr>
        <w:t xml:space="preserve"> in successive strategies</w:t>
      </w:r>
      <w:r>
        <w:rPr>
          <w:rFonts w:ascii="Calibri" w:eastAsia="Calibri" w:hAnsi="Calibri" w:cs="Times New Roman"/>
        </w:rPr>
        <w:t xml:space="preserve">, in many cases they have not </w:t>
      </w:r>
      <w:r w:rsidR="00770FC4">
        <w:rPr>
          <w:rFonts w:ascii="Calibri" w:eastAsia="Calibri" w:hAnsi="Calibri" w:cs="Times New Roman"/>
        </w:rPr>
        <w:t xml:space="preserve">yet </w:t>
      </w:r>
      <w:r>
        <w:rPr>
          <w:rFonts w:ascii="Calibri" w:eastAsia="Calibri" w:hAnsi="Calibri" w:cs="Times New Roman"/>
        </w:rPr>
        <w:t>materialized.</w:t>
      </w:r>
    </w:p>
    <w:p w14:paraId="22CDACD9" w14:textId="77777777" w:rsidR="00017451" w:rsidRPr="00017451" w:rsidRDefault="00D45F81" w:rsidP="00017451">
      <w:pPr>
        <w:rPr>
          <w:rFonts w:ascii="Calibri" w:eastAsia="Calibri" w:hAnsi="Calibri" w:cs="Times New Roman"/>
        </w:rPr>
      </w:pPr>
      <w:r>
        <w:rPr>
          <w:rFonts w:ascii="Calibri" w:eastAsia="Calibri" w:hAnsi="Calibri" w:cs="Times New Roman"/>
        </w:rPr>
        <w:t>Each</w:t>
      </w:r>
      <w:r w:rsidR="00C97B56">
        <w:rPr>
          <w:rFonts w:ascii="Calibri" w:eastAsia="Calibri" w:hAnsi="Calibri" w:cs="Times New Roman"/>
        </w:rPr>
        <w:t xml:space="preserve"> of North Carolina’s nutrient strategy rules are presently undergoing review of some sort.  Along with these reviews come</w:t>
      </w:r>
      <w:r w:rsidR="00257AE7">
        <w:rPr>
          <w:rFonts w:ascii="Calibri" w:eastAsia="Calibri" w:hAnsi="Calibri" w:cs="Times New Roman"/>
        </w:rPr>
        <w:t>s</w:t>
      </w:r>
      <w:r w:rsidR="00C97B56">
        <w:rPr>
          <w:rFonts w:ascii="Calibri" w:eastAsia="Calibri" w:hAnsi="Calibri" w:cs="Times New Roman"/>
        </w:rPr>
        <w:t xml:space="preserve"> the opportunity to amend and improve the rules.  The Neuse strategy, Tar-Pamlico strategy, and the nutrient offset rule have been proposed for readoption pursuant to G.S. </w:t>
      </w:r>
      <w:r w:rsidR="00017451" w:rsidRPr="00017451">
        <w:rPr>
          <w:rFonts w:ascii="Calibri" w:eastAsia="Calibri" w:hAnsi="Calibri" w:cs="Times New Roman"/>
        </w:rPr>
        <w:t>150B-21.3A</w:t>
      </w:r>
      <w:r w:rsidR="00017451">
        <w:rPr>
          <w:rFonts w:ascii="Calibri" w:eastAsia="Calibri" w:hAnsi="Calibri" w:cs="Times New Roman"/>
        </w:rPr>
        <w:t xml:space="preserve">.  Notably, significant amendments to the nutrient offset rule (15A NCAC 02B .0240) have </w:t>
      </w:r>
      <w:r>
        <w:rPr>
          <w:rFonts w:ascii="Calibri" w:eastAsia="Calibri" w:hAnsi="Calibri" w:cs="Times New Roman"/>
        </w:rPr>
        <w:t xml:space="preserve">recently </w:t>
      </w:r>
      <w:r w:rsidR="00017451">
        <w:rPr>
          <w:rFonts w:ascii="Calibri" w:eastAsia="Calibri" w:hAnsi="Calibri" w:cs="Times New Roman"/>
        </w:rPr>
        <w:t>been proposed in alignment with this document.</w:t>
      </w:r>
      <w:r>
        <w:rPr>
          <w:rFonts w:ascii="Calibri" w:eastAsia="Calibri" w:hAnsi="Calibri" w:cs="Times New Roman"/>
        </w:rPr>
        <w:t xml:space="preserve">  The proposed rule is </w:t>
      </w:r>
      <w:r w:rsidRPr="00E90900">
        <w:rPr>
          <w:rFonts w:ascii="Calibri" w:eastAsia="Calibri" w:hAnsi="Calibri" w:cs="Times New Roman"/>
        </w:rPr>
        <w:t xml:space="preserve">provided </w:t>
      </w:r>
      <w:r w:rsidR="00E90900">
        <w:rPr>
          <w:rFonts w:ascii="Calibri" w:eastAsia="Calibri" w:hAnsi="Calibri" w:cs="Times New Roman"/>
        </w:rPr>
        <w:t>in</w:t>
      </w:r>
      <w:r w:rsidRPr="00E90900">
        <w:rPr>
          <w:rFonts w:ascii="Calibri" w:eastAsia="Calibri" w:hAnsi="Calibri" w:cs="Times New Roman"/>
        </w:rPr>
        <w:t xml:space="preserve"> Appendix A</w:t>
      </w:r>
      <w:r>
        <w:rPr>
          <w:rFonts w:ascii="Calibri" w:eastAsia="Calibri" w:hAnsi="Calibri" w:cs="Times New Roman"/>
        </w:rPr>
        <w:t>.</w:t>
      </w:r>
    </w:p>
    <w:p w14:paraId="476CD2F4" w14:textId="6F1F5D12" w:rsidR="000C0F6B" w:rsidRPr="00996781" w:rsidRDefault="00EA65A6" w:rsidP="00996781">
      <w:pPr>
        <w:rPr>
          <w:rFonts w:ascii="Calibri" w:eastAsia="Calibri" w:hAnsi="Calibri" w:cs="Times New Roman"/>
        </w:rPr>
      </w:pPr>
      <w:r>
        <w:rPr>
          <w:rFonts w:ascii="Calibri" w:eastAsia="Calibri" w:hAnsi="Calibri" w:cs="Times New Roman"/>
        </w:rPr>
        <w:t xml:space="preserve">The Falls Lake strategy’s existing development rule </w:t>
      </w:r>
      <w:r w:rsidR="00516F39">
        <w:rPr>
          <w:rFonts w:ascii="Calibri" w:eastAsia="Calibri" w:hAnsi="Calibri" w:cs="Times New Roman"/>
        </w:rPr>
        <w:t>is</w:t>
      </w:r>
      <w:r>
        <w:rPr>
          <w:rFonts w:ascii="Calibri" w:eastAsia="Calibri" w:hAnsi="Calibri" w:cs="Times New Roman"/>
        </w:rPr>
        <w:t xml:space="preserve"> presently driving the renewed effort to expand and improve upon existing trading options.  Many analogous rule provisions exist in the Jordan Lake strategy, but implementation of new and existing development rules have been delayed by the General Assembly. </w:t>
      </w:r>
      <w:r w:rsidR="00516F39">
        <w:rPr>
          <w:rFonts w:ascii="Calibri" w:eastAsia="Calibri" w:hAnsi="Calibri" w:cs="Times New Roman"/>
        </w:rPr>
        <w:t>Both</w:t>
      </w:r>
      <w:r>
        <w:rPr>
          <w:rFonts w:ascii="Calibri" w:eastAsia="Calibri" w:hAnsi="Calibri" w:cs="Times New Roman"/>
        </w:rPr>
        <w:t xml:space="preserve"> strategies are under study by the N.C. Policy Collaboratory. The readoption process for those rules has been delayed by several years, and Collaboratory recommendations </w:t>
      </w:r>
      <w:r w:rsidR="00516F39">
        <w:rPr>
          <w:rFonts w:ascii="Calibri" w:eastAsia="Calibri" w:hAnsi="Calibri" w:cs="Times New Roman"/>
        </w:rPr>
        <w:t>are also expected to</w:t>
      </w:r>
      <w:r>
        <w:rPr>
          <w:rFonts w:ascii="Calibri" w:eastAsia="Calibri" w:hAnsi="Calibri" w:cs="Times New Roman"/>
        </w:rPr>
        <w:t xml:space="preserve"> inform future revisions to North Carolina’s trading </w:t>
      </w:r>
      <w:r w:rsidR="00516F39">
        <w:rPr>
          <w:rFonts w:ascii="Calibri" w:eastAsia="Calibri" w:hAnsi="Calibri" w:cs="Times New Roman"/>
        </w:rPr>
        <w:t>rules.</w:t>
      </w:r>
      <w:r>
        <w:rPr>
          <w:rFonts w:ascii="Calibri" w:eastAsia="Calibri" w:hAnsi="Calibri" w:cs="Times New Roman"/>
        </w:rPr>
        <w:t xml:space="preserve">  </w:t>
      </w:r>
    </w:p>
    <w:p w14:paraId="06CF1B51" w14:textId="77777777" w:rsidR="00EA65A6" w:rsidRDefault="00EA65A6" w:rsidP="000C0F6B">
      <w:pPr>
        <w:pStyle w:val="Heading3"/>
        <w:rPr>
          <w:rFonts w:eastAsia="Times New Roman"/>
          <w:color w:val="0B3C61" w:themeColor="accent1"/>
        </w:rPr>
      </w:pPr>
      <w:bookmarkStart w:id="15" w:name="_Toc492020014"/>
      <w:bookmarkStart w:id="16" w:name="_Toc491352611"/>
      <w:bookmarkStart w:id="17" w:name="_Toc491436810"/>
      <w:r>
        <w:rPr>
          <w:rFonts w:eastAsia="Times New Roman"/>
          <w:color w:val="0B3C61" w:themeColor="accent1"/>
        </w:rPr>
        <w:t>Existing Trading Authorities</w:t>
      </w:r>
      <w:bookmarkEnd w:id="15"/>
    </w:p>
    <w:p w14:paraId="23F2CBE4" w14:textId="2F493E96" w:rsidR="00EA65A6" w:rsidRDefault="00E47007" w:rsidP="00551CD6">
      <w:pPr>
        <w:rPr>
          <w:rFonts w:ascii="Calibri" w:eastAsia="Calibri" w:hAnsi="Calibri" w:cs="Times New Roman"/>
        </w:rPr>
      </w:pPr>
      <w:r w:rsidRPr="00551CD6">
        <w:rPr>
          <w:rFonts w:ascii="Calibri" w:eastAsia="Calibri" w:hAnsi="Calibri" w:cs="Times New Roman"/>
        </w:rPr>
        <w:t xml:space="preserve">Trading activity in North Carolina is </w:t>
      </w:r>
      <w:r>
        <w:rPr>
          <w:rFonts w:ascii="Calibri" w:eastAsia="Calibri" w:hAnsi="Calibri" w:cs="Times New Roman"/>
        </w:rPr>
        <w:t>guided and bounded by</w:t>
      </w:r>
      <w:r w:rsidRPr="00551CD6">
        <w:rPr>
          <w:rFonts w:ascii="Calibri" w:eastAsia="Calibri" w:hAnsi="Calibri" w:cs="Times New Roman"/>
        </w:rPr>
        <w:t xml:space="preserve"> </w:t>
      </w:r>
      <w:r>
        <w:rPr>
          <w:rFonts w:ascii="Calibri" w:eastAsia="Calibri" w:hAnsi="Calibri" w:cs="Times New Roman"/>
        </w:rPr>
        <w:t>several</w:t>
      </w:r>
      <w:r w:rsidRPr="00551CD6">
        <w:rPr>
          <w:rFonts w:ascii="Calibri" w:eastAsia="Calibri" w:hAnsi="Calibri" w:cs="Times New Roman"/>
        </w:rPr>
        <w:t xml:space="preserve"> federal, state, and contractual sources of authority.</w:t>
      </w:r>
      <w:r>
        <w:rPr>
          <w:rFonts w:ascii="Calibri" w:eastAsia="Calibri" w:hAnsi="Calibri" w:cs="Times New Roman"/>
        </w:rPr>
        <w:t xml:space="preserve">  At the federal level, wastewater and some stormwater discharges are governed by the Clean Water Act through the </w:t>
      </w:r>
      <w:r w:rsidRPr="00551CD6">
        <w:rPr>
          <w:rFonts w:ascii="Calibri" w:eastAsia="Calibri" w:hAnsi="Calibri" w:cs="Times New Roman"/>
        </w:rPr>
        <w:t>National Pollutant Discharge Elimination System</w:t>
      </w:r>
      <w:r>
        <w:rPr>
          <w:rFonts w:ascii="Calibri" w:eastAsia="Calibri" w:hAnsi="Calibri" w:cs="Times New Roman"/>
        </w:rPr>
        <w:t xml:space="preserve"> (NPDES).  While the Clean Water Act and associated regulations are </w:t>
      </w:r>
      <w:r w:rsidR="0053397B">
        <w:rPr>
          <w:rFonts w:ascii="Calibri" w:eastAsia="Calibri" w:hAnsi="Calibri" w:cs="Times New Roman"/>
        </w:rPr>
        <w:t>generally silent</w:t>
      </w:r>
      <w:r>
        <w:rPr>
          <w:rFonts w:ascii="Calibri" w:eastAsia="Calibri" w:hAnsi="Calibri" w:cs="Times New Roman"/>
        </w:rPr>
        <w:t xml:space="preserve"> on the topic of point source trading, EPA policies have been developed to suppo</w:t>
      </w:r>
      <w:r w:rsidR="0053397B">
        <w:rPr>
          <w:rFonts w:ascii="Calibri" w:eastAsia="Calibri" w:hAnsi="Calibri" w:cs="Times New Roman"/>
        </w:rPr>
        <w:t>rt trading by permitted sources as a compliance option.</w:t>
      </w:r>
      <w:r>
        <w:rPr>
          <w:rStyle w:val="FootnoteReference"/>
          <w:rFonts w:ascii="Calibri" w:eastAsia="Calibri" w:hAnsi="Calibri" w:cs="Times New Roman"/>
        </w:rPr>
        <w:footnoteReference w:id="1"/>
      </w:r>
    </w:p>
    <w:p w14:paraId="27F2BC83" w14:textId="3CB14246" w:rsidR="0053397B" w:rsidRDefault="0053397B" w:rsidP="00551CD6">
      <w:r>
        <w:rPr>
          <w:rFonts w:ascii="Calibri" w:eastAsia="Calibri" w:hAnsi="Calibri" w:cs="Times New Roman"/>
        </w:rPr>
        <w:t xml:space="preserve">Regulatory approaches to nonpoint source pollution are largely the domain of the state.  The </w:t>
      </w:r>
      <w:r w:rsidRPr="0053397B">
        <w:rPr>
          <w:rFonts w:ascii="Calibri" w:eastAsia="Calibri" w:hAnsi="Calibri" w:cs="Times New Roman"/>
        </w:rPr>
        <w:t>Clean Water Responsibility and Environmentally Sound Policy Act</w:t>
      </w:r>
      <w:r>
        <w:rPr>
          <w:rFonts w:ascii="Calibri" w:eastAsia="Calibri" w:hAnsi="Calibri" w:cs="Times New Roman"/>
        </w:rPr>
        <w:t>, passed</w:t>
      </w:r>
      <w:r w:rsidR="00B45A37">
        <w:rPr>
          <w:rFonts w:ascii="Calibri" w:eastAsia="Calibri" w:hAnsi="Calibri" w:cs="Times New Roman"/>
        </w:rPr>
        <w:t xml:space="preserve"> by the General Assembly</w:t>
      </w:r>
      <w:r>
        <w:rPr>
          <w:rFonts w:ascii="Calibri" w:eastAsia="Calibri" w:hAnsi="Calibri" w:cs="Times New Roman"/>
        </w:rPr>
        <w:t xml:space="preserve"> in 1997, </w:t>
      </w:r>
      <w:r w:rsidR="00B45A37">
        <w:rPr>
          <w:rFonts w:ascii="Calibri" w:eastAsia="Calibri" w:hAnsi="Calibri" w:cs="Times New Roman"/>
        </w:rPr>
        <w:t>authorizes regulatory approaches</w:t>
      </w:r>
      <w:r>
        <w:rPr>
          <w:rFonts w:ascii="Calibri" w:eastAsia="Calibri" w:hAnsi="Calibri" w:cs="Times New Roman"/>
        </w:rPr>
        <w:t xml:space="preserve"> </w:t>
      </w:r>
      <w:r w:rsidR="00B45A37">
        <w:rPr>
          <w:rFonts w:ascii="Calibri" w:eastAsia="Calibri" w:hAnsi="Calibri" w:cs="Times New Roman"/>
        </w:rPr>
        <w:t>t</w:t>
      </w:r>
      <w:r>
        <w:rPr>
          <w:rFonts w:ascii="Calibri" w:eastAsia="Calibri" w:hAnsi="Calibri" w:cs="Times New Roman"/>
        </w:rPr>
        <w:t>o address nutrient-related point and nonpoint sources.</w:t>
      </w:r>
      <w:r w:rsidR="00B45A37">
        <w:rPr>
          <w:rStyle w:val="FootnoteReference"/>
          <w:rFonts w:ascii="Calibri" w:eastAsia="Calibri" w:hAnsi="Calibri" w:cs="Times New Roman"/>
        </w:rPr>
        <w:footnoteReference w:id="2"/>
      </w:r>
      <w:r w:rsidR="00B45A37">
        <w:rPr>
          <w:rFonts w:ascii="Calibri" w:eastAsia="Calibri" w:hAnsi="Calibri" w:cs="Times New Roman"/>
        </w:rPr>
        <w:t xml:space="preserve"> </w:t>
      </w:r>
      <w:r w:rsidR="005C02B6">
        <w:rPr>
          <w:rFonts w:ascii="Calibri" w:eastAsia="Calibri" w:hAnsi="Calibri" w:cs="Times New Roman"/>
        </w:rPr>
        <w:t xml:space="preserve">More recent session laws codified under </w:t>
      </w:r>
      <w:r w:rsidR="00B45A37">
        <w:rPr>
          <w:rFonts w:ascii="Calibri" w:eastAsia="Calibri" w:hAnsi="Calibri" w:cs="Times New Roman"/>
        </w:rPr>
        <w:t xml:space="preserve">G.S. </w:t>
      </w:r>
      <w:r w:rsidR="00B45A37">
        <w:t>143-2</w:t>
      </w:r>
      <w:r w:rsidR="00770FC4">
        <w:t>14.26 more specifically provide</w:t>
      </w:r>
      <w:r w:rsidR="00B45A37">
        <w:t xml:space="preserve"> legislation authorizing the trading of nutrient offset credits among various parties.</w:t>
      </w:r>
    </w:p>
    <w:p w14:paraId="72EA7A0A" w14:textId="4C462362" w:rsidR="00B45A37" w:rsidRDefault="00B45A37" w:rsidP="00551CD6">
      <w:r>
        <w:t xml:space="preserve">North Carolina’s nutrient strategy rules </w:t>
      </w:r>
      <w:r w:rsidR="002632B8">
        <w:t>provide more context for</w:t>
      </w:r>
      <w:r>
        <w:t xml:space="preserve"> trading, whether in relation to specific regulated sectors or through stand-alone nutrient offset and trading rules.  Wastewater treatment facilities are authorized to trade among themselves through compliance associations, may purchase offset credits to increase load allocation, and are required to purchase offset credits if exceedances occur.</w:t>
      </w:r>
      <w:r w:rsidR="002632B8">
        <w:rPr>
          <w:rStyle w:val="FootnoteReference"/>
        </w:rPr>
        <w:footnoteReference w:id="3"/>
      </w:r>
      <w:r w:rsidR="002632B8">
        <w:t xml:space="preserve"> New development regulations authorize the purchase of off-site nutrient offset credits after meeting specific criteria.</w:t>
      </w:r>
      <w:r w:rsidR="002632B8">
        <w:rPr>
          <w:rStyle w:val="FootnoteReference"/>
        </w:rPr>
        <w:footnoteReference w:id="4"/>
      </w:r>
      <w:r w:rsidR="00FE40BB">
        <w:t xml:space="preserve">  Agricultural rules are structured such that farmers are not required to purchase offset credits, but the rules do provide an important trading role for oversight committees in each watershed.</w:t>
      </w:r>
      <w:r w:rsidR="002D2B49">
        <w:rPr>
          <w:rStyle w:val="FootnoteReference"/>
        </w:rPr>
        <w:footnoteReference w:id="5"/>
      </w:r>
      <w:r w:rsidR="002D2B49">
        <w:t xml:space="preserve">  </w:t>
      </w:r>
      <w:r w:rsidR="00FE40BB">
        <w:t xml:space="preserve">Finally, existing development rules in the Jordan and Falls watersheds </w:t>
      </w:r>
      <w:r w:rsidR="002D2B49">
        <w:t>generally reference trading and joint compliance approaches.</w:t>
      </w:r>
    </w:p>
    <w:p w14:paraId="39C83966" w14:textId="5E3E095C" w:rsidR="002D2B49" w:rsidRDefault="002D2B49" w:rsidP="00551CD6">
      <w:r>
        <w:t xml:space="preserve">The Jordan and Falls Lake strategies also contain </w:t>
      </w:r>
      <w:r w:rsidR="007F2C9B">
        <w:t>stand-alone</w:t>
      </w:r>
      <w:r>
        <w:t xml:space="preserve"> trading rules</w:t>
      </w:r>
      <w:r w:rsidR="007F2C9B">
        <w:t xml:space="preserve">, explicitly authorizing trading for all </w:t>
      </w:r>
      <w:r w:rsidR="007F6B21">
        <w:t xml:space="preserve">regulated </w:t>
      </w:r>
      <w:r w:rsidR="007F2C9B">
        <w:t xml:space="preserve">parties </w:t>
      </w:r>
      <w:r w:rsidR="007F6B21">
        <w:t>according to specific conditions.</w:t>
      </w:r>
      <w:r w:rsidR="007F6B21">
        <w:rPr>
          <w:rStyle w:val="FootnoteReference"/>
        </w:rPr>
        <w:footnoteReference w:id="6"/>
      </w:r>
      <w:r w:rsidR="007F6B21">
        <w:t xml:space="preserve">  The nutrient offset rule largely governs the creation of nutrient offset credits, but it also includes provisions related to nutrient offset credit transactions.</w:t>
      </w:r>
      <w:r w:rsidR="007F6B21">
        <w:rPr>
          <w:rStyle w:val="FootnoteReference"/>
        </w:rPr>
        <w:footnoteReference w:id="7"/>
      </w:r>
    </w:p>
    <w:p w14:paraId="0CF9F77A" w14:textId="169F701D" w:rsidR="007F6B21" w:rsidRPr="00770FC4" w:rsidRDefault="00770FC4" w:rsidP="00551CD6">
      <w:r>
        <w:t>Finally, c</w:t>
      </w:r>
      <w:r w:rsidR="007F6B21">
        <w:t xml:space="preserve">ontractual sources of authority </w:t>
      </w:r>
      <w:r>
        <w:t>often</w:t>
      </w:r>
      <w:r w:rsidR="007F6B21">
        <w:t xml:space="preserve"> govern trading activity.  These generally include the banking instruments, project plans and conservation easements necessary for nutrient offset credit generation.  The byla</w:t>
      </w:r>
      <w:r w:rsidR="00EE7C7B">
        <w:t>ws of wastewater compliance associations also provide sufficient authority to authorize nutrient allocation trading.</w:t>
      </w:r>
    </w:p>
    <w:p w14:paraId="34E5B77A" w14:textId="0053A522" w:rsidR="000C0F6B" w:rsidRPr="00595EE2" w:rsidRDefault="000C0F6B" w:rsidP="000C0F6B">
      <w:pPr>
        <w:pStyle w:val="Heading3"/>
        <w:rPr>
          <w:rFonts w:eastAsia="Times New Roman"/>
          <w:color w:val="0B3C61" w:themeColor="accent1"/>
        </w:rPr>
      </w:pPr>
      <w:bookmarkStart w:id="18" w:name="_Toc492020015"/>
      <w:r w:rsidRPr="00595EE2">
        <w:rPr>
          <w:rFonts w:eastAsia="Times New Roman"/>
          <w:color w:val="0B3C61" w:themeColor="accent1"/>
        </w:rPr>
        <w:t>Present Trading Activity</w:t>
      </w:r>
      <w:bookmarkEnd w:id="16"/>
      <w:bookmarkEnd w:id="17"/>
      <w:bookmarkEnd w:id="18"/>
    </w:p>
    <w:p w14:paraId="6BBC9F2E" w14:textId="77777777" w:rsidR="000C0F6B" w:rsidRPr="00424A5F" w:rsidRDefault="000C0F6B" w:rsidP="000C0F6B">
      <w:pPr>
        <w:rPr>
          <w:rFonts w:ascii="Calibri" w:eastAsia="Calibri" w:hAnsi="Calibri" w:cs="Times New Roman"/>
        </w:rPr>
      </w:pPr>
      <w:r w:rsidRPr="00424A5F">
        <w:rPr>
          <w:rFonts w:ascii="Calibri" w:eastAsia="Calibri" w:hAnsi="Calibri" w:cs="Times New Roman"/>
        </w:rPr>
        <w:t xml:space="preserve">North Carolina presently has two </w:t>
      </w:r>
      <w:r w:rsidR="007566EF">
        <w:rPr>
          <w:rFonts w:ascii="Calibri" w:eastAsia="Calibri" w:hAnsi="Calibri" w:cs="Times New Roman"/>
        </w:rPr>
        <w:t xml:space="preserve">types of </w:t>
      </w:r>
      <w:r w:rsidRPr="00424A5F">
        <w:rPr>
          <w:rFonts w:ascii="Calibri" w:eastAsia="Calibri" w:hAnsi="Calibri" w:cs="Times New Roman"/>
        </w:rPr>
        <w:t>active nutrient trading, authorized by various aspects of individual nutrient strategy rules.</w:t>
      </w:r>
    </w:p>
    <w:p w14:paraId="3E339C13" w14:textId="77777777" w:rsidR="00595EE2" w:rsidRPr="0046311C" w:rsidRDefault="005C79F5" w:rsidP="0046311C">
      <w:pPr>
        <w:pStyle w:val="Heading5"/>
        <w:rPr>
          <w:rFonts w:eastAsia="Calibri"/>
          <w:color w:val="789B4A" w:themeColor="accent2"/>
        </w:rPr>
      </w:pPr>
      <w:r w:rsidRPr="0046311C">
        <w:rPr>
          <w:rFonts w:eastAsia="Calibri"/>
          <w:color w:val="789B4A" w:themeColor="accent2"/>
        </w:rPr>
        <w:t xml:space="preserve">Allocation </w:t>
      </w:r>
      <w:r w:rsidR="00595EE2" w:rsidRPr="0046311C">
        <w:rPr>
          <w:rFonts w:eastAsia="Calibri"/>
          <w:color w:val="789B4A" w:themeColor="accent2"/>
        </w:rPr>
        <w:t>Trading</w:t>
      </w:r>
      <w:r w:rsidRPr="0046311C">
        <w:rPr>
          <w:rFonts w:eastAsia="Calibri"/>
          <w:color w:val="789B4A" w:themeColor="accent2"/>
        </w:rPr>
        <w:t xml:space="preserve"> Among Wastewater Treatment Facilities</w:t>
      </w:r>
    </w:p>
    <w:p w14:paraId="5CF76230" w14:textId="560150C7" w:rsidR="000C0F6B" w:rsidRPr="00424A5F" w:rsidRDefault="007566EF" w:rsidP="000C0F6B">
      <w:pPr>
        <w:rPr>
          <w:rFonts w:ascii="Calibri" w:eastAsia="Calibri" w:hAnsi="Calibri" w:cs="Times New Roman"/>
        </w:rPr>
      </w:pPr>
      <w:r>
        <w:rPr>
          <w:rFonts w:ascii="Calibri" w:eastAsia="Calibri" w:hAnsi="Calibri" w:cs="Times New Roman"/>
        </w:rPr>
        <w:t>N</w:t>
      </w:r>
      <w:r w:rsidR="000C0F6B" w:rsidRPr="00424A5F">
        <w:rPr>
          <w:rFonts w:ascii="Calibri" w:eastAsia="Calibri" w:hAnsi="Calibri" w:cs="Times New Roman"/>
        </w:rPr>
        <w:t xml:space="preserve">utrient allocation trading </w:t>
      </w:r>
      <w:r>
        <w:rPr>
          <w:rFonts w:ascii="Calibri" w:eastAsia="Calibri" w:hAnsi="Calibri" w:cs="Times New Roman"/>
        </w:rPr>
        <w:t xml:space="preserve">between wastewater treatment facilities </w:t>
      </w:r>
      <w:r w:rsidR="000C0F6B" w:rsidRPr="00424A5F">
        <w:rPr>
          <w:rFonts w:ascii="Calibri" w:eastAsia="Calibri" w:hAnsi="Calibri" w:cs="Times New Roman"/>
        </w:rPr>
        <w:t>occurs in multiple basins</w:t>
      </w:r>
      <w:r>
        <w:rPr>
          <w:rFonts w:ascii="Calibri" w:eastAsia="Calibri" w:hAnsi="Calibri" w:cs="Times New Roman"/>
        </w:rPr>
        <w:t xml:space="preserve">, often within the ambit of </w:t>
      </w:r>
      <w:r w:rsidR="000C0F6B" w:rsidRPr="00424A5F">
        <w:rPr>
          <w:rFonts w:ascii="Calibri" w:eastAsia="Calibri" w:hAnsi="Calibri" w:cs="Times New Roman"/>
        </w:rPr>
        <w:t xml:space="preserve">a </w:t>
      </w:r>
      <w:r w:rsidR="00801D3B">
        <w:rPr>
          <w:rFonts w:ascii="Calibri" w:eastAsia="Calibri" w:hAnsi="Calibri" w:cs="Times New Roman"/>
        </w:rPr>
        <w:t>watershed</w:t>
      </w:r>
      <w:r w:rsidR="000C0F6B" w:rsidRPr="00424A5F">
        <w:rPr>
          <w:rFonts w:ascii="Calibri" w:eastAsia="Calibri" w:hAnsi="Calibri" w:cs="Times New Roman"/>
        </w:rPr>
        <w:t xml:space="preserve">-specific </w:t>
      </w:r>
      <w:r>
        <w:rPr>
          <w:rFonts w:ascii="Calibri" w:eastAsia="Calibri" w:hAnsi="Calibri" w:cs="Times New Roman"/>
        </w:rPr>
        <w:t xml:space="preserve">compliance </w:t>
      </w:r>
      <w:r w:rsidR="000C0F6B" w:rsidRPr="00424A5F">
        <w:rPr>
          <w:rFonts w:ascii="Calibri" w:eastAsia="Calibri" w:hAnsi="Calibri" w:cs="Times New Roman"/>
        </w:rPr>
        <w:t xml:space="preserve">association.  </w:t>
      </w:r>
      <w:r w:rsidR="005C79F5">
        <w:rPr>
          <w:rFonts w:ascii="Calibri" w:eastAsia="Calibri" w:hAnsi="Calibri" w:cs="Times New Roman"/>
        </w:rPr>
        <w:t xml:space="preserve">Formal allocation trades are authorized through mutual </w:t>
      </w:r>
      <w:r>
        <w:rPr>
          <w:rFonts w:ascii="Calibri" w:eastAsia="Calibri" w:hAnsi="Calibri" w:cs="Times New Roman"/>
        </w:rPr>
        <w:t xml:space="preserve">permit modifications, with </w:t>
      </w:r>
      <w:r w:rsidRPr="00424A5F">
        <w:rPr>
          <w:rFonts w:ascii="Calibri" w:eastAsia="Calibri" w:hAnsi="Calibri" w:cs="Times New Roman"/>
        </w:rPr>
        <w:t>new allocation limits reflected in the facilities’ respective permits.</w:t>
      </w:r>
      <w:r>
        <w:rPr>
          <w:rFonts w:ascii="Calibri" w:eastAsia="Calibri" w:hAnsi="Calibri" w:cs="Times New Roman"/>
        </w:rPr>
        <w:t xml:space="preserve"> More commonly, however, </w:t>
      </w:r>
      <w:r w:rsidR="005C79F5">
        <w:rPr>
          <w:rFonts w:ascii="Calibri" w:eastAsia="Calibri" w:hAnsi="Calibri" w:cs="Times New Roman"/>
        </w:rPr>
        <w:t>informal</w:t>
      </w:r>
      <w:r>
        <w:rPr>
          <w:rFonts w:ascii="Calibri" w:eastAsia="Calibri" w:hAnsi="Calibri" w:cs="Times New Roman"/>
        </w:rPr>
        <w:t xml:space="preserve"> </w:t>
      </w:r>
      <w:r w:rsidR="005C79F5">
        <w:rPr>
          <w:rFonts w:ascii="Calibri" w:eastAsia="Calibri" w:hAnsi="Calibri" w:cs="Times New Roman"/>
        </w:rPr>
        <w:t xml:space="preserve">temporary allocation </w:t>
      </w:r>
      <w:r>
        <w:rPr>
          <w:rFonts w:ascii="Calibri" w:eastAsia="Calibri" w:hAnsi="Calibri" w:cs="Times New Roman"/>
        </w:rPr>
        <w:t xml:space="preserve">trades </w:t>
      </w:r>
      <w:r w:rsidR="005C79F5">
        <w:rPr>
          <w:rFonts w:ascii="Calibri" w:eastAsia="Calibri" w:hAnsi="Calibri" w:cs="Times New Roman"/>
        </w:rPr>
        <w:t xml:space="preserve">(or “leases”) </w:t>
      </w:r>
      <w:r>
        <w:rPr>
          <w:rFonts w:ascii="Calibri" w:eastAsia="Calibri" w:hAnsi="Calibri" w:cs="Times New Roman"/>
        </w:rPr>
        <w:t xml:space="preserve">happen without direct state involvement pursuant to the bylaws of a point source compliance association.  From a </w:t>
      </w:r>
      <w:r w:rsidR="005C79F5">
        <w:rPr>
          <w:rFonts w:ascii="Calibri" w:eastAsia="Calibri" w:hAnsi="Calibri" w:cs="Times New Roman"/>
        </w:rPr>
        <w:t xml:space="preserve">state </w:t>
      </w:r>
      <w:r>
        <w:rPr>
          <w:rFonts w:ascii="Calibri" w:eastAsia="Calibri" w:hAnsi="Calibri" w:cs="Times New Roman"/>
        </w:rPr>
        <w:t>regulatory perspective, it is the joint compliance aspect of the rules that allow</w:t>
      </w:r>
      <w:r w:rsidR="00CA394C">
        <w:rPr>
          <w:rFonts w:ascii="Calibri" w:eastAsia="Calibri" w:hAnsi="Calibri" w:cs="Times New Roman"/>
        </w:rPr>
        <w:t>s</w:t>
      </w:r>
      <w:r>
        <w:rPr>
          <w:rFonts w:ascii="Calibri" w:eastAsia="Calibri" w:hAnsi="Calibri" w:cs="Times New Roman"/>
        </w:rPr>
        <w:t xml:space="preserve"> this informal</w:t>
      </w:r>
      <w:r w:rsidR="005C79F5">
        <w:rPr>
          <w:rFonts w:ascii="Calibri" w:eastAsia="Calibri" w:hAnsi="Calibri" w:cs="Times New Roman"/>
        </w:rPr>
        <w:t>, contractually-based</w:t>
      </w:r>
      <w:r>
        <w:rPr>
          <w:rFonts w:ascii="Calibri" w:eastAsia="Calibri" w:hAnsi="Calibri" w:cs="Times New Roman"/>
        </w:rPr>
        <w:t xml:space="preserve"> trading to occur.  </w:t>
      </w:r>
      <w:r w:rsidR="005C79F5">
        <w:rPr>
          <w:rFonts w:ascii="Calibri" w:eastAsia="Calibri" w:hAnsi="Calibri" w:cs="Times New Roman"/>
        </w:rPr>
        <w:t>S</w:t>
      </w:r>
      <w:r w:rsidR="000C0F6B" w:rsidRPr="00424A5F">
        <w:rPr>
          <w:rFonts w:ascii="Calibri" w:eastAsia="Calibri" w:hAnsi="Calibri" w:cs="Times New Roman"/>
        </w:rPr>
        <w:t xml:space="preserve">o long as </w:t>
      </w:r>
      <w:r w:rsidR="005C79F5">
        <w:rPr>
          <w:rFonts w:ascii="Calibri" w:eastAsia="Calibri" w:hAnsi="Calibri" w:cs="Times New Roman"/>
        </w:rPr>
        <w:t xml:space="preserve">all </w:t>
      </w:r>
      <w:r w:rsidR="000C0F6B" w:rsidRPr="00424A5F">
        <w:rPr>
          <w:rFonts w:ascii="Calibri" w:eastAsia="Calibri" w:hAnsi="Calibri" w:cs="Times New Roman"/>
        </w:rPr>
        <w:t xml:space="preserve">facilities are together meeting their </w:t>
      </w:r>
      <w:r w:rsidR="005C79F5">
        <w:rPr>
          <w:rFonts w:ascii="Calibri" w:eastAsia="Calibri" w:hAnsi="Calibri" w:cs="Times New Roman"/>
        </w:rPr>
        <w:t xml:space="preserve">nutrient </w:t>
      </w:r>
      <w:r w:rsidR="000C0F6B" w:rsidRPr="00424A5F">
        <w:rPr>
          <w:rFonts w:ascii="Calibri" w:eastAsia="Calibri" w:hAnsi="Calibri" w:cs="Times New Roman"/>
        </w:rPr>
        <w:t>compliance obligations</w:t>
      </w:r>
      <w:r w:rsidR="005C79F5">
        <w:rPr>
          <w:rFonts w:ascii="Calibri" w:eastAsia="Calibri" w:hAnsi="Calibri" w:cs="Times New Roman"/>
        </w:rPr>
        <w:t xml:space="preserve"> (“bubble permit”)</w:t>
      </w:r>
      <w:r w:rsidR="000C0F6B" w:rsidRPr="00424A5F">
        <w:rPr>
          <w:rFonts w:ascii="Calibri" w:eastAsia="Calibri" w:hAnsi="Calibri" w:cs="Times New Roman"/>
        </w:rPr>
        <w:t>, no individual violations occur</w:t>
      </w:r>
      <w:r w:rsidR="005C79F5">
        <w:rPr>
          <w:rFonts w:ascii="Calibri" w:eastAsia="Calibri" w:hAnsi="Calibri" w:cs="Times New Roman"/>
        </w:rPr>
        <w:t xml:space="preserve"> and thus there is no need for individual permit modifications.  Importantly, while “trades” are occurring, nutrient reduction credits are not involved.</w:t>
      </w:r>
    </w:p>
    <w:p w14:paraId="197EAAC0" w14:textId="21459A87" w:rsidR="000C0F6B" w:rsidRPr="00424A5F" w:rsidRDefault="000C0F6B" w:rsidP="000C0F6B">
      <w:pPr>
        <w:rPr>
          <w:rFonts w:ascii="Calibri" w:eastAsia="Calibri" w:hAnsi="Calibri" w:cs="Times New Roman"/>
        </w:rPr>
      </w:pPr>
      <w:r w:rsidRPr="00424A5F">
        <w:rPr>
          <w:rFonts w:ascii="Calibri" w:eastAsia="Calibri" w:hAnsi="Calibri" w:cs="Times New Roman"/>
        </w:rPr>
        <w:t xml:space="preserve">Nutrient strategy rules </w:t>
      </w:r>
      <w:r w:rsidR="005C79F5">
        <w:rPr>
          <w:rFonts w:ascii="Calibri" w:eastAsia="Calibri" w:hAnsi="Calibri" w:cs="Times New Roman"/>
        </w:rPr>
        <w:t xml:space="preserve">do </w:t>
      </w:r>
      <w:r w:rsidRPr="00424A5F">
        <w:rPr>
          <w:rFonts w:ascii="Calibri" w:eastAsia="Calibri" w:hAnsi="Calibri" w:cs="Times New Roman"/>
        </w:rPr>
        <w:t>allow nutrient offset</w:t>
      </w:r>
      <w:r w:rsidR="005C79F5">
        <w:rPr>
          <w:rFonts w:ascii="Calibri" w:eastAsia="Calibri" w:hAnsi="Calibri" w:cs="Times New Roman"/>
        </w:rPr>
        <w:t xml:space="preserve"> credits</w:t>
      </w:r>
      <w:r w:rsidRPr="00424A5F">
        <w:rPr>
          <w:rFonts w:ascii="Calibri" w:eastAsia="Calibri" w:hAnsi="Calibri" w:cs="Times New Roman"/>
        </w:rPr>
        <w:t xml:space="preserve"> to be purchased for new </w:t>
      </w:r>
      <w:r w:rsidR="005C79F5">
        <w:rPr>
          <w:rFonts w:ascii="Calibri" w:eastAsia="Calibri" w:hAnsi="Calibri" w:cs="Times New Roman"/>
        </w:rPr>
        <w:t xml:space="preserve">wastewater </w:t>
      </w:r>
      <w:r w:rsidRPr="00424A5F">
        <w:rPr>
          <w:rFonts w:ascii="Calibri" w:eastAsia="Calibri" w:hAnsi="Calibri" w:cs="Times New Roman"/>
        </w:rPr>
        <w:t>facilities or those approaching their</w:t>
      </w:r>
      <w:r w:rsidR="005C79F5">
        <w:rPr>
          <w:rFonts w:ascii="Calibri" w:eastAsia="Calibri" w:hAnsi="Calibri" w:cs="Times New Roman"/>
        </w:rPr>
        <w:t xml:space="preserve"> </w:t>
      </w:r>
      <w:r w:rsidR="002C4562">
        <w:rPr>
          <w:rFonts w:ascii="Calibri" w:eastAsia="Calibri" w:hAnsi="Calibri" w:cs="Times New Roman"/>
        </w:rPr>
        <w:t xml:space="preserve">nutrient </w:t>
      </w:r>
      <w:r w:rsidR="005C79F5">
        <w:rPr>
          <w:rFonts w:ascii="Calibri" w:eastAsia="Calibri" w:hAnsi="Calibri" w:cs="Times New Roman"/>
        </w:rPr>
        <w:t>allocation</w:t>
      </w:r>
      <w:r w:rsidRPr="00424A5F">
        <w:rPr>
          <w:rFonts w:ascii="Calibri" w:eastAsia="Calibri" w:hAnsi="Calibri" w:cs="Times New Roman"/>
        </w:rPr>
        <w:t xml:space="preserve"> limits.  The direct purchase of </w:t>
      </w:r>
      <w:r w:rsidR="005C79F5">
        <w:rPr>
          <w:rFonts w:ascii="Calibri" w:eastAsia="Calibri" w:hAnsi="Calibri" w:cs="Times New Roman"/>
        </w:rPr>
        <w:t>nutrient offset credits</w:t>
      </w:r>
      <w:r w:rsidRPr="00424A5F">
        <w:rPr>
          <w:rFonts w:ascii="Calibri" w:eastAsia="Calibri" w:hAnsi="Calibri" w:cs="Times New Roman"/>
        </w:rPr>
        <w:t xml:space="preserve"> </w:t>
      </w:r>
      <w:r w:rsidR="00EA48E4">
        <w:rPr>
          <w:rFonts w:ascii="Calibri" w:eastAsia="Calibri" w:hAnsi="Calibri" w:cs="Times New Roman"/>
        </w:rPr>
        <w:t xml:space="preserve">by wastewater facilities </w:t>
      </w:r>
      <w:r w:rsidRPr="00424A5F">
        <w:rPr>
          <w:rFonts w:ascii="Calibri" w:eastAsia="Calibri" w:hAnsi="Calibri" w:cs="Times New Roman"/>
        </w:rPr>
        <w:t xml:space="preserve">is rare.  The Tar-Pamlico basin is unique in that its point source nutrient obligations are determined by an agreement with two state agencies, and that </w:t>
      </w:r>
      <w:r w:rsidR="005C79F5">
        <w:rPr>
          <w:rFonts w:ascii="Calibri" w:eastAsia="Calibri" w:hAnsi="Calibri" w:cs="Times New Roman"/>
        </w:rPr>
        <w:t>nutrient reduction obligations can be met</w:t>
      </w:r>
      <w:r w:rsidRPr="00424A5F">
        <w:rPr>
          <w:rFonts w:ascii="Calibri" w:eastAsia="Calibri" w:hAnsi="Calibri" w:cs="Times New Roman"/>
        </w:rPr>
        <w:t xml:space="preserve"> </w:t>
      </w:r>
      <w:r w:rsidR="00EE7C7B">
        <w:rPr>
          <w:rFonts w:ascii="Calibri" w:eastAsia="Calibri" w:hAnsi="Calibri" w:cs="Times New Roman"/>
        </w:rPr>
        <w:t xml:space="preserve">offsite </w:t>
      </w:r>
      <w:r w:rsidRPr="00424A5F">
        <w:rPr>
          <w:rFonts w:ascii="Calibri" w:eastAsia="Calibri" w:hAnsi="Calibri" w:cs="Times New Roman"/>
        </w:rPr>
        <w:t xml:space="preserve">through direct payment to the state’s </w:t>
      </w:r>
      <w:r w:rsidR="005C79F5">
        <w:rPr>
          <w:rFonts w:ascii="Calibri" w:eastAsia="Calibri" w:hAnsi="Calibri" w:cs="Times New Roman"/>
        </w:rPr>
        <w:t>Division of Soil and Water Conservation.</w:t>
      </w:r>
    </w:p>
    <w:p w14:paraId="2B693D07" w14:textId="77777777" w:rsidR="00595EE2" w:rsidRPr="00EA48E4" w:rsidRDefault="002C4562" w:rsidP="0046311C">
      <w:pPr>
        <w:pStyle w:val="Heading5"/>
        <w:rPr>
          <w:rFonts w:eastAsia="Calibri"/>
          <w:color w:val="789B4A" w:themeColor="accent2"/>
        </w:rPr>
      </w:pPr>
      <w:r>
        <w:rPr>
          <w:rFonts w:eastAsia="Calibri"/>
          <w:color w:val="789B4A" w:themeColor="accent2"/>
        </w:rPr>
        <w:t>Nutrient Offset Credit Trades between Providers and</w:t>
      </w:r>
      <w:r w:rsidR="00EA48E4" w:rsidRPr="00EA48E4">
        <w:rPr>
          <w:rFonts w:eastAsia="Calibri"/>
          <w:color w:val="789B4A" w:themeColor="accent2"/>
        </w:rPr>
        <w:t xml:space="preserve"> Developers</w:t>
      </w:r>
    </w:p>
    <w:p w14:paraId="7F56EEA3" w14:textId="0F773EC7" w:rsidR="000C0F6B" w:rsidRPr="00424A5F" w:rsidRDefault="000C0F6B" w:rsidP="000C0F6B">
      <w:pPr>
        <w:rPr>
          <w:rFonts w:ascii="Calibri" w:eastAsia="Calibri" w:hAnsi="Calibri" w:cs="Times New Roman"/>
        </w:rPr>
      </w:pPr>
      <w:r w:rsidRPr="00424A5F">
        <w:rPr>
          <w:rFonts w:ascii="Calibri" w:eastAsia="Calibri" w:hAnsi="Calibri" w:cs="Times New Roman"/>
        </w:rPr>
        <w:t xml:space="preserve">North Carolina </w:t>
      </w:r>
      <w:r w:rsidR="00595EE2">
        <w:rPr>
          <w:rFonts w:ascii="Calibri" w:eastAsia="Calibri" w:hAnsi="Calibri" w:cs="Times New Roman"/>
        </w:rPr>
        <w:t xml:space="preserve">also </w:t>
      </w:r>
      <w:r w:rsidRPr="00424A5F">
        <w:rPr>
          <w:rFonts w:ascii="Calibri" w:eastAsia="Calibri" w:hAnsi="Calibri" w:cs="Times New Roman"/>
        </w:rPr>
        <w:t xml:space="preserve">has a robust program of nutrient offset </w:t>
      </w:r>
      <w:r w:rsidR="002C4562">
        <w:rPr>
          <w:rFonts w:ascii="Calibri" w:eastAsia="Calibri" w:hAnsi="Calibri" w:cs="Times New Roman"/>
        </w:rPr>
        <w:t xml:space="preserve">credit </w:t>
      </w:r>
      <w:r w:rsidRPr="00424A5F">
        <w:rPr>
          <w:rFonts w:ascii="Calibri" w:eastAsia="Calibri" w:hAnsi="Calibri" w:cs="Times New Roman"/>
        </w:rPr>
        <w:t xml:space="preserve">trading </w:t>
      </w:r>
      <w:r w:rsidR="002C4562">
        <w:rPr>
          <w:rFonts w:ascii="Calibri" w:eastAsia="Calibri" w:hAnsi="Calibri" w:cs="Times New Roman"/>
        </w:rPr>
        <w:t>to facilitate</w:t>
      </w:r>
      <w:r w:rsidRPr="00424A5F">
        <w:rPr>
          <w:rFonts w:ascii="Calibri" w:eastAsia="Calibri" w:hAnsi="Calibri" w:cs="Times New Roman"/>
        </w:rPr>
        <w:t xml:space="preserve"> compliance with new development regulations.  </w:t>
      </w:r>
      <w:r w:rsidR="00EA48E4">
        <w:rPr>
          <w:rFonts w:ascii="Calibri" w:eastAsia="Calibri" w:hAnsi="Calibri" w:cs="Times New Roman"/>
        </w:rPr>
        <w:t xml:space="preserve">Private providers and the N.C. Division of Mitigation Services engage in restoration work to generate nutrient offset credits in accordance with 15A NCAC 02B .0240.  </w:t>
      </w:r>
      <w:r w:rsidR="005C02B6">
        <w:rPr>
          <w:rFonts w:ascii="Calibri" w:eastAsia="Calibri" w:hAnsi="Calibri" w:cs="Times New Roman"/>
        </w:rPr>
        <w:t>To date, these</w:t>
      </w:r>
      <w:r w:rsidR="00A80605">
        <w:rPr>
          <w:rFonts w:ascii="Calibri" w:eastAsia="Calibri" w:hAnsi="Calibri" w:cs="Times New Roman"/>
        </w:rPr>
        <w:t xml:space="preserve"> credits are almost exclusively generated by</w:t>
      </w:r>
      <w:r w:rsidR="00EA48E4">
        <w:rPr>
          <w:rFonts w:ascii="Calibri" w:eastAsia="Calibri" w:hAnsi="Calibri" w:cs="Times New Roman"/>
        </w:rPr>
        <w:t xml:space="preserve"> agricultural riparian buffer restoration </w:t>
      </w:r>
      <w:r w:rsidR="002C4562">
        <w:rPr>
          <w:rFonts w:ascii="Calibri" w:eastAsia="Calibri" w:hAnsi="Calibri" w:cs="Times New Roman"/>
        </w:rPr>
        <w:t>projects</w:t>
      </w:r>
      <w:r w:rsidR="00EA48E4">
        <w:rPr>
          <w:rFonts w:ascii="Calibri" w:eastAsia="Calibri" w:hAnsi="Calibri" w:cs="Times New Roman"/>
        </w:rPr>
        <w:t>.  Providers then</w:t>
      </w:r>
      <w:r w:rsidRPr="00424A5F">
        <w:rPr>
          <w:rFonts w:ascii="Calibri" w:eastAsia="Calibri" w:hAnsi="Calibri" w:cs="Times New Roman"/>
        </w:rPr>
        <w:t xml:space="preserve"> sell nutrient </w:t>
      </w:r>
      <w:r w:rsidR="00EA48E4">
        <w:rPr>
          <w:rFonts w:ascii="Calibri" w:eastAsia="Calibri" w:hAnsi="Calibri" w:cs="Times New Roman"/>
        </w:rPr>
        <w:t xml:space="preserve">offset </w:t>
      </w:r>
      <w:r w:rsidRPr="00424A5F">
        <w:rPr>
          <w:rFonts w:ascii="Calibri" w:eastAsia="Calibri" w:hAnsi="Calibri" w:cs="Times New Roman"/>
        </w:rPr>
        <w:t xml:space="preserve">credits to developers that cannot or choose not to meet the onsite nutrient loading targets contained in new development regulations.  </w:t>
      </w:r>
      <w:r w:rsidR="002C4562">
        <w:rPr>
          <w:rFonts w:ascii="Calibri" w:eastAsia="Calibri" w:hAnsi="Calibri" w:cs="Times New Roman"/>
        </w:rPr>
        <w:t>This type of trade</w:t>
      </w:r>
      <w:r w:rsidR="00CE78BD">
        <w:rPr>
          <w:rFonts w:ascii="Calibri" w:eastAsia="Calibri" w:hAnsi="Calibri" w:cs="Times New Roman"/>
        </w:rPr>
        <w:t xml:space="preserve"> is</w:t>
      </w:r>
      <w:r w:rsidR="002C4562">
        <w:rPr>
          <w:rFonts w:ascii="Calibri" w:eastAsia="Calibri" w:hAnsi="Calibri" w:cs="Times New Roman"/>
        </w:rPr>
        <w:t xml:space="preserve"> common to each of North Carolina’s major nutrient strategies.</w:t>
      </w:r>
    </w:p>
    <w:p w14:paraId="450DCCCA" w14:textId="77777777" w:rsidR="00E90900" w:rsidRDefault="00E90900">
      <w:pPr>
        <w:rPr>
          <w:rFonts w:asciiTheme="majorHAnsi" w:eastAsia="Times New Roman" w:hAnsiTheme="majorHAnsi" w:cstheme="majorBidi"/>
          <w:color w:val="789B4A" w:themeColor="accent2"/>
          <w:sz w:val="28"/>
          <w:szCs w:val="28"/>
        </w:rPr>
      </w:pPr>
      <w:r>
        <w:rPr>
          <w:rFonts w:eastAsia="Times New Roman"/>
          <w:color w:val="789B4A" w:themeColor="accent2"/>
        </w:rPr>
        <w:br w:type="page"/>
      </w:r>
    </w:p>
    <w:p w14:paraId="3D7638AD" w14:textId="77777777" w:rsidR="00996781" w:rsidRPr="00595EE2" w:rsidRDefault="000C0F6B" w:rsidP="000C0F6B">
      <w:pPr>
        <w:pStyle w:val="Heading2"/>
        <w:rPr>
          <w:rFonts w:ascii="Calibri" w:eastAsia="Times New Roman" w:hAnsi="Calibri" w:cs="Times New Roman"/>
          <w:color w:val="789B4A" w:themeColor="accent2"/>
        </w:rPr>
      </w:pPr>
      <w:bookmarkStart w:id="19" w:name="_Toc491352612"/>
      <w:bookmarkStart w:id="20" w:name="_Toc491436811"/>
      <w:bookmarkStart w:id="21" w:name="_Toc492020016"/>
      <w:r w:rsidRPr="00595EE2">
        <w:rPr>
          <w:rFonts w:eastAsia="Times New Roman"/>
          <w:color w:val="789B4A" w:themeColor="accent2"/>
        </w:rPr>
        <w:t>Definitions and Key Concepts</w:t>
      </w:r>
      <w:bookmarkEnd w:id="19"/>
      <w:bookmarkEnd w:id="20"/>
      <w:bookmarkEnd w:id="21"/>
    </w:p>
    <w:p w14:paraId="7B690FC6" w14:textId="77777777" w:rsidR="00424A5F" w:rsidRPr="0046311C" w:rsidRDefault="00424A5F" w:rsidP="000C0F6B">
      <w:pPr>
        <w:pStyle w:val="Heading3"/>
        <w:rPr>
          <w:rFonts w:eastAsia="Times New Roman"/>
          <w:color w:val="0B3C61" w:themeColor="accent1"/>
        </w:rPr>
      </w:pPr>
      <w:bookmarkStart w:id="22" w:name="_Toc491352613"/>
      <w:bookmarkStart w:id="23" w:name="_Toc491436812"/>
      <w:bookmarkStart w:id="24" w:name="_Toc492020017"/>
      <w:r w:rsidRPr="0046311C">
        <w:rPr>
          <w:rFonts w:eastAsia="Times New Roman"/>
          <w:color w:val="0B3C61" w:themeColor="accent1"/>
        </w:rPr>
        <w:t xml:space="preserve">Types of </w:t>
      </w:r>
      <w:r w:rsidR="00E90900">
        <w:rPr>
          <w:rFonts w:eastAsia="Times New Roman"/>
          <w:color w:val="0B3C61" w:themeColor="accent1"/>
        </w:rPr>
        <w:t>N</w:t>
      </w:r>
      <w:r w:rsidRPr="0046311C">
        <w:rPr>
          <w:rFonts w:eastAsia="Times New Roman"/>
          <w:color w:val="0B3C61" w:themeColor="accent1"/>
        </w:rPr>
        <w:t xml:space="preserve">utrient </w:t>
      </w:r>
      <w:r w:rsidR="00E90900">
        <w:rPr>
          <w:rFonts w:eastAsia="Times New Roman"/>
          <w:color w:val="0B3C61" w:themeColor="accent1"/>
        </w:rPr>
        <w:t>C</w:t>
      </w:r>
      <w:r w:rsidRPr="0046311C">
        <w:rPr>
          <w:rFonts w:eastAsia="Times New Roman"/>
          <w:color w:val="0B3C61" w:themeColor="accent1"/>
        </w:rPr>
        <w:t>redits</w:t>
      </w:r>
      <w:bookmarkEnd w:id="22"/>
      <w:bookmarkEnd w:id="23"/>
      <w:bookmarkEnd w:id="24"/>
      <w:r w:rsidRPr="0046311C">
        <w:rPr>
          <w:rFonts w:eastAsia="Times New Roman"/>
          <w:color w:val="0B3C61" w:themeColor="accent1"/>
        </w:rPr>
        <w:t xml:space="preserve"> </w:t>
      </w:r>
    </w:p>
    <w:p w14:paraId="088F1159" w14:textId="1EF5F17E" w:rsidR="00424A5F" w:rsidRPr="00424A5F" w:rsidRDefault="00424A5F" w:rsidP="00424A5F">
      <w:pPr>
        <w:rPr>
          <w:rFonts w:ascii="Calibri" w:eastAsia="Calibri" w:hAnsi="Calibri" w:cs="Times New Roman"/>
        </w:rPr>
      </w:pPr>
      <w:r w:rsidRPr="00424A5F">
        <w:rPr>
          <w:rFonts w:ascii="Calibri" w:eastAsia="Calibri" w:hAnsi="Calibri" w:cs="Times New Roman"/>
        </w:rPr>
        <w:t xml:space="preserve">This framework recognizes </w:t>
      </w:r>
      <w:r w:rsidR="00305A86">
        <w:rPr>
          <w:rFonts w:ascii="Calibri" w:eastAsia="Calibri" w:hAnsi="Calibri" w:cs="Times New Roman"/>
        </w:rPr>
        <w:t>two</w:t>
      </w:r>
      <w:r w:rsidRPr="00424A5F">
        <w:rPr>
          <w:rFonts w:ascii="Calibri" w:eastAsia="Calibri" w:hAnsi="Calibri" w:cs="Times New Roman"/>
        </w:rPr>
        <w:t xml:space="preserve"> potential </w:t>
      </w:r>
      <w:r w:rsidR="00D775E6">
        <w:rPr>
          <w:rFonts w:ascii="Calibri" w:eastAsia="Calibri" w:hAnsi="Calibri" w:cs="Times New Roman"/>
        </w:rPr>
        <w:t>types of credit</w:t>
      </w:r>
      <w:r w:rsidRPr="00424A5F">
        <w:rPr>
          <w:rFonts w:ascii="Calibri" w:eastAsia="Calibri" w:hAnsi="Calibri" w:cs="Times New Roman"/>
        </w:rPr>
        <w:t xml:space="preserve">, </w:t>
      </w:r>
      <w:r w:rsidR="00A80605">
        <w:rPr>
          <w:rFonts w:ascii="Calibri" w:eastAsia="Calibri" w:hAnsi="Calibri" w:cs="Times New Roman"/>
        </w:rPr>
        <w:t xml:space="preserve">one new and one existing.  These </w:t>
      </w:r>
      <w:r w:rsidRPr="00424A5F">
        <w:rPr>
          <w:rFonts w:ascii="Calibri" w:eastAsia="Calibri" w:hAnsi="Calibri" w:cs="Times New Roman"/>
        </w:rPr>
        <w:t xml:space="preserve">might be thought of as varying currencies. </w:t>
      </w:r>
      <w:r w:rsidR="00652DC3">
        <w:rPr>
          <w:rFonts w:ascii="Calibri" w:eastAsia="Calibri" w:hAnsi="Calibri" w:cs="Times New Roman"/>
        </w:rPr>
        <w:t>Most n</w:t>
      </w:r>
      <w:r w:rsidRPr="00424A5F">
        <w:rPr>
          <w:rFonts w:ascii="Calibri" w:eastAsia="Calibri" w:hAnsi="Calibri" w:cs="Times New Roman"/>
        </w:rPr>
        <w:t xml:space="preserve">utrient reduction projects will generate only one type of currency, but depending on context a regulated party may be able to utilize </w:t>
      </w:r>
      <w:r w:rsidR="00861496">
        <w:rPr>
          <w:rFonts w:ascii="Calibri" w:eastAsia="Calibri" w:hAnsi="Calibri" w:cs="Times New Roman"/>
        </w:rPr>
        <w:t xml:space="preserve">either or </w:t>
      </w:r>
      <w:r w:rsidR="00305A86">
        <w:rPr>
          <w:rFonts w:ascii="Calibri" w:eastAsia="Calibri" w:hAnsi="Calibri" w:cs="Times New Roman"/>
        </w:rPr>
        <w:t xml:space="preserve">both </w:t>
      </w:r>
      <w:r w:rsidRPr="00424A5F">
        <w:rPr>
          <w:rFonts w:ascii="Calibri" w:eastAsia="Calibri" w:hAnsi="Calibri" w:cs="Times New Roman"/>
        </w:rPr>
        <w:t xml:space="preserve">credit types to </w:t>
      </w:r>
      <w:r w:rsidR="00A823EE">
        <w:rPr>
          <w:rFonts w:ascii="Calibri" w:eastAsia="Calibri" w:hAnsi="Calibri" w:cs="Times New Roman"/>
        </w:rPr>
        <w:t xml:space="preserve">help </w:t>
      </w:r>
      <w:r w:rsidRPr="00424A5F">
        <w:rPr>
          <w:rFonts w:ascii="Calibri" w:eastAsia="Calibri" w:hAnsi="Calibri" w:cs="Times New Roman"/>
        </w:rPr>
        <w:t>satisfy their obligations through trading.</w:t>
      </w:r>
    </w:p>
    <w:p w14:paraId="739944E4" w14:textId="6488AD01" w:rsidR="00652DC3" w:rsidRDefault="00424A5F" w:rsidP="00424A5F">
      <w:pPr>
        <w:rPr>
          <w:rFonts w:ascii="Calibri" w:eastAsia="Calibri" w:hAnsi="Calibri" w:cs="Times New Roman"/>
        </w:rPr>
      </w:pPr>
      <w:r w:rsidRPr="00424A5F">
        <w:rPr>
          <w:rFonts w:ascii="Calibri" w:eastAsia="Calibri" w:hAnsi="Calibri" w:cs="Times New Roman"/>
        </w:rPr>
        <w:t xml:space="preserve">The </w:t>
      </w:r>
      <w:r w:rsidRPr="00424A5F">
        <w:rPr>
          <w:rFonts w:ascii="Calibri" w:eastAsia="Calibri" w:hAnsi="Calibri" w:cs="Times New Roman"/>
          <w:b/>
        </w:rPr>
        <w:t>nutrient offset credit</w:t>
      </w:r>
      <w:r w:rsidRPr="00424A5F">
        <w:rPr>
          <w:rFonts w:ascii="Calibri" w:eastAsia="Calibri" w:hAnsi="Calibri" w:cs="Times New Roman"/>
        </w:rPr>
        <w:t xml:space="preserve"> reflects the </w:t>
      </w:r>
      <w:r w:rsidR="00A80605">
        <w:rPr>
          <w:rFonts w:ascii="Calibri" w:eastAsia="Calibri" w:hAnsi="Calibri" w:cs="Times New Roman"/>
        </w:rPr>
        <w:t xml:space="preserve">existing </w:t>
      </w:r>
      <w:r w:rsidRPr="00424A5F">
        <w:rPr>
          <w:rFonts w:ascii="Calibri" w:eastAsia="Calibri" w:hAnsi="Calibri" w:cs="Times New Roman"/>
        </w:rPr>
        <w:t xml:space="preserve">credits </w:t>
      </w:r>
      <w:r w:rsidR="000C0F6B">
        <w:rPr>
          <w:rFonts w:ascii="Calibri" w:eastAsia="Calibri" w:hAnsi="Calibri" w:cs="Times New Roman"/>
        </w:rPr>
        <w:t xml:space="preserve">that are </w:t>
      </w:r>
      <w:r w:rsidRPr="00424A5F">
        <w:rPr>
          <w:rFonts w:ascii="Calibri" w:eastAsia="Calibri" w:hAnsi="Calibri" w:cs="Times New Roman"/>
        </w:rPr>
        <w:t xml:space="preserve">presently generated through North Carolina’s nutrient offset program.  </w:t>
      </w:r>
      <w:r w:rsidR="000F45D7">
        <w:rPr>
          <w:rFonts w:ascii="Calibri" w:eastAsia="Calibri" w:hAnsi="Calibri" w:cs="Times New Roman"/>
        </w:rPr>
        <w:t>Typically,</w:t>
      </w:r>
      <w:r w:rsidR="00652DC3">
        <w:rPr>
          <w:rFonts w:ascii="Calibri" w:eastAsia="Calibri" w:hAnsi="Calibri" w:cs="Times New Roman"/>
        </w:rPr>
        <w:t xml:space="preserve"> agricultural buffer restoration projects receiv</w:t>
      </w:r>
      <w:r w:rsidR="000F45D7">
        <w:rPr>
          <w:rFonts w:ascii="Calibri" w:eastAsia="Calibri" w:hAnsi="Calibri" w:cs="Times New Roman"/>
        </w:rPr>
        <w:t>e</w:t>
      </w:r>
      <w:r w:rsidR="00652DC3">
        <w:rPr>
          <w:rFonts w:ascii="Calibri" w:eastAsia="Calibri" w:hAnsi="Calibri" w:cs="Times New Roman"/>
        </w:rPr>
        <w:t xml:space="preserve"> </w:t>
      </w:r>
      <w:r w:rsidR="00D775E6">
        <w:rPr>
          <w:rFonts w:ascii="Calibri" w:eastAsia="Calibri" w:hAnsi="Calibri" w:cs="Times New Roman"/>
        </w:rPr>
        <w:t xml:space="preserve">an </w:t>
      </w:r>
      <w:r w:rsidR="00652DC3">
        <w:rPr>
          <w:rFonts w:ascii="Calibri" w:eastAsia="Calibri" w:hAnsi="Calibri" w:cs="Times New Roman"/>
        </w:rPr>
        <w:t xml:space="preserve">annual nutrient credit for each of 30 years.  </w:t>
      </w:r>
      <w:r w:rsidR="00652DC3" w:rsidRPr="00424A5F">
        <w:rPr>
          <w:rFonts w:ascii="Calibri" w:eastAsia="Calibri" w:hAnsi="Calibri" w:cs="Times New Roman"/>
        </w:rPr>
        <w:t>These credits are utilized to offset new development impacts</w:t>
      </w:r>
      <w:r w:rsidR="00652DC3">
        <w:rPr>
          <w:rFonts w:ascii="Calibri" w:eastAsia="Calibri" w:hAnsi="Calibri" w:cs="Times New Roman"/>
        </w:rPr>
        <w:t xml:space="preserve"> for a period of 30 years</w:t>
      </w:r>
      <w:r w:rsidR="00652DC3" w:rsidRPr="00424A5F">
        <w:rPr>
          <w:rFonts w:ascii="Calibri" w:eastAsia="Calibri" w:hAnsi="Calibri" w:cs="Times New Roman"/>
        </w:rPr>
        <w:t xml:space="preserve">, a one-time exchange. </w:t>
      </w:r>
      <w:r w:rsidR="00D775E6">
        <w:rPr>
          <w:rFonts w:ascii="Calibri" w:eastAsia="Calibri" w:hAnsi="Calibri" w:cs="Times New Roman"/>
        </w:rPr>
        <w:t>Crediting units can be reduced to a finite number of pounds generated by a project</w:t>
      </w:r>
      <w:r w:rsidR="00CE78BD">
        <w:rPr>
          <w:rFonts w:ascii="Calibri" w:eastAsia="Calibri" w:hAnsi="Calibri" w:cs="Times New Roman"/>
        </w:rPr>
        <w:t>, and they are exchanged in this manner.</w:t>
      </w:r>
    </w:p>
    <w:p w14:paraId="59F4DC8E" w14:textId="2D9AE654" w:rsidR="00652DC3" w:rsidRDefault="00652DC3" w:rsidP="00424A5F">
      <w:pPr>
        <w:rPr>
          <w:rFonts w:ascii="Calibri" w:eastAsia="Calibri" w:hAnsi="Calibri" w:cs="Times New Roman"/>
        </w:rPr>
      </w:pPr>
      <w:r>
        <w:rPr>
          <w:rFonts w:ascii="Calibri" w:eastAsia="Calibri" w:hAnsi="Calibri" w:cs="Times New Roman"/>
        </w:rPr>
        <w:t xml:space="preserve">In proposed amendments to the nutrient offset rule, DWR </w:t>
      </w:r>
      <w:r w:rsidR="00E90900">
        <w:rPr>
          <w:rFonts w:ascii="Calibri" w:eastAsia="Calibri" w:hAnsi="Calibri" w:cs="Times New Roman"/>
        </w:rPr>
        <w:t xml:space="preserve">recommends making </w:t>
      </w:r>
      <w:r>
        <w:rPr>
          <w:rFonts w:ascii="Calibri" w:eastAsia="Calibri" w:hAnsi="Calibri" w:cs="Times New Roman"/>
        </w:rPr>
        <w:t xml:space="preserve">nutrient offset credits </w:t>
      </w:r>
      <w:r w:rsidR="00861496">
        <w:rPr>
          <w:rFonts w:ascii="Calibri" w:eastAsia="Calibri" w:hAnsi="Calibri" w:cs="Times New Roman"/>
        </w:rPr>
        <w:t xml:space="preserve">exclusively </w:t>
      </w:r>
      <w:r>
        <w:rPr>
          <w:rFonts w:ascii="Calibri" w:eastAsia="Calibri" w:hAnsi="Calibri" w:cs="Times New Roman"/>
        </w:rPr>
        <w:t>permanent</w:t>
      </w:r>
      <w:r w:rsidR="00E90900">
        <w:rPr>
          <w:rFonts w:ascii="Calibri" w:eastAsia="Calibri" w:hAnsi="Calibri" w:cs="Times New Roman"/>
        </w:rPr>
        <w:t xml:space="preserve"> in nature</w:t>
      </w:r>
      <w:r>
        <w:rPr>
          <w:rFonts w:ascii="Calibri" w:eastAsia="Calibri" w:hAnsi="Calibri" w:cs="Times New Roman"/>
        </w:rPr>
        <w:t xml:space="preserve">.  </w:t>
      </w:r>
      <w:r w:rsidR="00861496">
        <w:rPr>
          <w:rFonts w:ascii="Calibri" w:eastAsia="Calibri" w:hAnsi="Calibri" w:cs="Times New Roman"/>
        </w:rPr>
        <w:t xml:space="preserve">Crediting units would be lbs./yr. This proposal reflects the recognition that the </w:t>
      </w:r>
      <w:r>
        <w:rPr>
          <w:rFonts w:ascii="Calibri" w:eastAsia="Calibri" w:hAnsi="Calibri" w:cs="Times New Roman"/>
        </w:rPr>
        <w:t xml:space="preserve">practices that </w:t>
      </w:r>
      <w:r w:rsidR="00861496">
        <w:rPr>
          <w:rFonts w:ascii="Calibri" w:eastAsia="Calibri" w:hAnsi="Calibri" w:cs="Times New Roman"/>
        </w:rPr>
        <w:t xml:space="preserve">currently </w:t>
      </w:r>
      <w:r>
        <w:rPr>
          <w:rFonts w:ascii="Calibri" w:eastAsia="Calibri" w:hAnsi="Calibri" w:cs="Times New Roman"/>
        </w:rPr>
        <w:t>generate nutrient offset credits are secured by permanent conservation easement</w:t>
      </w:r>
      <w:r w:rsidR="0046311C">
        <w:rPr>
          <w:rFonts w:ascii="Calibri" w:eastAsia="Calibri" w:hAnsi="Calibri" w:cs="Times New Roman"/>
        </w:rPr>
        <w:t>s</w:t>
      </w:r>
      <w:r>
        <w:rPr>
          <w:rFonts w:ascii="Calibri" w:eastAsia="Calibri" w:hAnsi="Calibri" w:cs="Times New Roman"/>
        </w:rPr>
        <w:t>, and the</w:t>
      </w:r>
      <w:r w:rsidR="0046311C">
        <w:rPr>
          <w:rFonts w:ascii="Calibri" w:eastAsia="Calibri" w:hAnsi="Calibri" w:cs="Times New Roman"/>
        </w:rPr>
        <w:t xml:space="preserve"> nutrient offset credits they generate</w:t>
      </w:r>
      <w:r>
        <w:rPr>
          <w:rFonts w:ascii="Calibri" w:eastAsia="Calibri" w:hAnsi="Calibri" w:cs="Times New Roman"/>
        </w:rPr>
        <w:t xml:space="preserve"> </w:t>
      </w:r>
      <w:r w:rsidR="00861496">
        <w:rPr>
          <w:rFonts w:ascii="Calibri" w:eastAsia="Calibri" w:hAnsi="Calibri" w:cs="Times New Roman"/>
        </w:rPr>
        <w:t xml:space="preserve">currently </w:t>
      </w:r>
      <w:r>
        <w:rPr>
          <w:rFonts w:ascii="Calibri" w:eastAsia="Calibri" w:hAnsi="Calibri" w:cs="Times New Roman"/>
        </w:rPr>
        <w:t xml:space="preserve">offset development activity that is effectively permanent from a regulatory perspective.  </w:t>
      </w:r>
    </w:p>
    <w:p w14:paraId="2741F9FE" w14:textId="11EC834E" w:rsidR="00DE5CFC" w:rsidRDefault="00424A5F" w:rsidP="00424A5F">
      <w:pPr>
        <w:rPr>
          <w:rFonts w:ascii="Calibri" w:eastAsia="Calibri" w:hAnsi="Calibri" w:cs="Times New Roman"/>
        </w:rPr>
      </w:pPr>
      <w:r w:rsidRPr="00424A5F">
        <w:rPr>
          <w:rFonts w:ascii="Calibri" w:eastAsia="Calibri" w:hAnsi="Calibri" w:cs="Times New Roman"/>
        </w:rPr>
        <w:t xml:space="preserve">The </w:t>
      </w:r>
      <w:r w:rsidRPr="00424A5F">
        <w:rPr>
          <w:rFonts w:ascii="Calibri" w:eastAsia="Calibri" w:hAnsi="Calibri" w:cs="Times New Roman"/>
          <w:b/>
        </w:rPr>
        <w:t xml:space="preserve">nutrient exchange credit </w:t>
      </w:r>
      <w:r w:rsidRPr="00424A5F">
        <w:rPr>
          <w:rFonts w:ascii="Calibri" w:eastAsia="Calibri" w:hAnsi="Calibri" w:cs="Times New Roman"/>
        </w:rPr>
        <w:t xml:space="preserve">is proposed as a </w:t>
      </w:r>
      <w:r w:rsidR="00A80605">
        <w:rPr>
          <w:rFonts w:ascii="Calibri" w:eastAsia="Calibri" w:hAnsi="Calibri" w:cs="Times New Roman"/>
        </w:rPr>
        <w:t xml:space="preserve">new </w:t>
      </w:r>
      <w:r w:rsidRPr="00424A5F">
        <w:rPr>
          <w:rFonts w:ascii="Calibri" w:eastAsia="Calibri" w:hAnsi="Calibri" w:cs="Times New Roman"/>
        </w:rPr>
        <w:t>t</w:t>
      </w:r>
      <w:r w:rsidR="00542C1D">
        <w:rPr>
          <w:rFonts w:ascii="Calibri" w:eastAsia="Calibri" w:hAnsi="Calibri" w:cs="Times New Roman"/>
        </w:rPr>
        <w:t>ime</w:t>
      </w:r>
      <w:r w:rsidRPr="00424A5F">
        <w:rPr>
          <w:rFonts w:ascii="Calibri" w:eastAsia="Calibri" w:hAnsi="Calibri" w:cs="Times New Roman"/>
        </w:rPr>
        <w:t xml:space="preserve">-limited credit type, with the term depending on the nutrient reduction practice </w:t>
      </w:r>
      <w:r w:rsidR="0046311C">
        <w:rPr>
          <w:rFonts w:ascii="Calibri" w:eastAsia="Calibri" w:hAnsi="Calibri" w:cs="Times New Roman"/>
        </w:rPr>
        <w:t>implemented</w:t>
      </w:r>
      <w:r w:rsidRPr="00424A5F">
        <w:rPr>
          <w:rFonts w:ascii="Calibri" w:eastAsia="Calibri" w:hAnsi="Calibri" w:cs="Times New Roman"/>
        </w:rPr>
        <w:t xml:space="preserve">.  These credits </w:t>
      </w:r>
      <w:r w:rsidR="001264ED">
        <w:rPr>
          <w:rFonts w:ascii="Calibri" w:eastAsia="Calibri" w:hAnsi="Calibri" w:cs="Times New Roman"/>
        </w:rPr>
        <w:t>would be most</w:t>
      </w:r>
      <w:r w:rsidRPr="00424A5F">
        <w:rPr>
          <w:rFonts w:ascii="Calibri" w:eastAsia="Calibri" w:hAnsi="Calibri" w:cs="Times New Roman"/>
        </w:rPr>
        <w:t xml:space="preserve"> appropriate for nutrient reduction projects where significant maintenance obligations are required to sustain the project’s nutrient reductions.  Upon expiration, credits c</w:t>
      </w:r>
      <w:r w:rsidR="001264ED">
        <w:rPr>
          <w:rFonts w:ascii="Calibri" w:eastAsia="Calibri" w:hAnsi="Calibri" w:cs="Times New Roman"/>
        </w:rPr>
        <w:t>ould</w:t>
      </w:r>
      <w:r w:rsidRPr="00424A5F">
        <w:rPr>
          <w:rFonts w:ascii="Calibri" w:eastAsia="Calibri" w:hAnsi="Calibri" w:cs="Times New Roman"/>
        </w:rPr>
        <w:t xml:space="preserve"> be renewed upon demonstration that project maintenance obligations are met.  </w:t>
      </w:r>
    </w:p>
    <w:p w14:paraId="21BE2BFF" w14:textId="6D00F385" w:rsidR="00D775E6" w:rsidRDefault="00424A5F" w:rsidP="00424A5F">
      <w:pPr>
        <w:rPr>
          <w:rFonts w:ascii="Calibri" w:eastAsia="Calibri" w:hAnsi="Calibri" w:cs="Times New Roman"/>
        </w:rPr>
      </w:pPr>
      <w:r w:rsidRPr="00424A5F">
        <w:rPr>
          <w:rFonts w:ascii="Calibri" w:eastAsia="Calibri" w:hAnsi="Calibri" w:cs="Times New Roman"/>
        </w:rPr>
        <w:t xml:space="preserve">Exchange credits </w:t>
      </w:r>
      <w:r w:rsidR="002323CD">
        <w:rPr>
          <w:rFonts w:ascii="Calibri" w:eastAsia="Calibri" w:hAnsi="Calibri" w:cs="Times New Roman"/>
        </w:rPr>
        <w:t xml:space="preserve">would be </w:t>
      </w:r>
      <w:r w:rsidRPr="00424A5F">
        <w:rPr>
          <w:rFonts w:ascii="Calibri" w:eastAsia="Calibri" w:hAnsi="Calibri" w:cs="Times New Roman"/>
        </w:rPr>
        <w:t xml:space="preserve">appropriate to </w:t>
      </w:r>
      <w:r w:rsidR="006F7854">
        <w:rPr>
          <w:rFonts w:ascii="Calibri" w:eastAsia="Calibri" w:hAnsi="Calibri" w:cs="Times New Roman"/>
        </w:rPr>
        <w:t>contribute to satisfying</w:t>
      </w:r>
      <w:r w:rsidR="006F7854" w:rsidRPr="00424A5F">
        <w:rPr>
          <w:rFonts w:ascii="Calibri" w:eastAsia="Calibri" w:hAnsi="Calibri" w:cs="Times New Roman"/>
        </w:rPr>
        <w:t xml:space="preserve"> </w:t>
      </w:r>
      <w:r w:rsidRPr="00424A5F">
        <w:rPr>
          <w:rFonts w:ascii="Calibri" w:eastAsia="Calibri" w:hAnsi="Calibri" w:cs="Times New Roman"/>
        </w:rPr>
        <w:t>nutrient obligations incurred by point sources and local governments</w:t>
      </w:r>
      <w:r w:rsidR="00DE5CFC">
        <w:rPr>
          <w:rFonts w:ascii="Calibri" w:eastAsia="Calibri" w:hAnsi="Calibri" w:cs="Times New Roman"/>
        </w:rPr>
        <w:t xml:space="preserve"> because each of these sources have ongoing compliance obligations</w:t>
      </w:r>
      <w:r w:rsidR="006F7854">
        <w:rPr>
          <w:rFonts w:ascii="Calibri" w:eastAsia="Calibri" w:hAnsi="Calibri" w:cs="Times New Roman"/>
        </w:rPr>
        <w:t xml:space="preserve"> and </w:t>
      </w:r>
      <w:r w:rsidR="00801D3B">
        <w:rPr>
          <w:rFonts w:ascii="Calibri" w:eastAsia="Calibri" w:hAnsi="Calibri" w:cs="Times New Roman"/>
        </w:rPr>
        <w:t xml:space="preserve">an </w:t>
      </w:r>
      <w:r w:rsidR="006F7854">
        <w:rPr>
          <w:rFonts w:ascii="Calibri" w:eastAsia="Calibri" w:hAnsi="Calibri" w:cs="Times New Roman"/>
        </w:rPr>
        <w:t>ongoing presence that allows for more involved reduction programs</w:t>
      </w:r>
      <w:r w:rsidRPr="00424A5F">
        <w:rPr>
          <w:rFonts w:ascii="Calibri" w:eastAsia="Calibri" w:hAnsi="Calibri" w:cs="Times New Roman"/>
        </w:rPr>
        <w:t xml:space="preserve">.  </w:t>
      </w:r>
      <w:r w:rsidR="006F7854">
        <w:rPr>
          <w:rFonts w:ascii="Calibri" w:eastAsia="Calibri" w:hAnsi="Calibri" w:cs="Times New Roman"/>
        </w:rPr>
        <w:t>By comparison, they</w:t>
      </w:r>
      <w:r w:rsidR="00DE5CFC">
        <w:rPr>
          <w:rFonts w:ascii="Calibri" w:eastAsia="Calibri" w:hAnsi="Calibri" w:cs="Times New Roman"/>
        </w:rPr>
        <w:t xml:space="preserve"> are differently situated than developers, who satisfy regulatory obligations </w:t>
      </w:r>
      <w:r w:rsidR="006F7854">
        <w:rPr>
          <w:rFonts w:ascii="Calibri" w:eastAsia="Calibri" w:hAnsi="Calibri" w:cs="Times New Roman"/>
        </w:rPr>
        <w:t xml:space="preserve">of a permanent nature </w:t>
      </w:r>
      <w:r w:rsidR="00DE5CFC">
        <w:rPr>
          <w:rFonts w:ascii="Calibri" w:eastAsia="Calibri" w:hAnsi="Calibri" w:cs="Times New Roman"/>
        </w:rPr>
        <w:t>only once during construction.</w:t>
      </w:r>
    </w:p>
    <w:p w14:paraId="17AAAB82" w14:textId="479197D5" w:rsidR="002323CD" w:rsidRDefault="00DE5CFC" w:rsidP="00424A5F">
      <w:pPr>
        <w:rPr>
          <w:rFonts w:ascii="Calibri" w:eastAsia="Calibri" w:hAnsi="Calibri" w:cs="Times New Roman"/>
        </w:rPr>
      </w:pPr>
      <w:r>
        <w:rPr>
          <w:rFonts w:ascii="Calibri" w:eastAsia="Calibri" w:hAnsi="Calibri" w:cs="Times New Roman"/>
        </w:rPr>
        <w:t>Exchange credits are</w:t>
      </w:r>
      <w:r w:rsidR="00D775E6">
        <w:rPr>
          <w:rFonts w:ascii="Calibri" w:eastAsia="Calibri" w:hAnsi="Calibri" w:cs="Times New Roman"/>
        </w:rPr>
        <w:t xml:space="preserve"> proposed to help address the complexities that arise in conjunction with existing development rule compliance.  </w:t>
      </w:r>
      <w:r w:rsidR="00F47E7B">
        <w:rPr>
          <w:rFonts w:ascii="Calibri" w:eastAsia="Calibri" w:hAnsi="Calibri" w:cs="Times New Roman"/>
        </w:rPr>
        <w:t xml:space="preserve">First, they provide needed flexibility for local governments to make incremental early progress while evaluating other sources of permanent reduction.  </w:t>
      </w:r>
      <w:r>
        <w:rPr>
          <w:rFonts w:ascii="Calibri" w:eastAsia="Calibri" w:hAnsi="Calibri" w:cs="Times New Roman"/>
        </w:rPr>
        <w:t>These credits likely</w:t>
      </w:r>
      <w:r w:rsidR="00D775E6">
        <w:rPr>
          <w:rFonts w:ascii="Calibri" w:eastAsia="Calibri" w:hAnsi="Calibri" w:cs="Times New Roman"/>
        </w:rPr>
        <w:t xml:space="preserve"> provide an avenue to decentralize the regulatory credit approval process.  </w:t>
      </w:r>
      <w:r>
        <w:rPr>
          <w:rFonts w:ascii="Calibri" w:eastAsia="Calibri" w:hAnsi="Calibri" w:cs="Times New Roman"/>
        </w:rPr>
        <w:t xml:space="preserve">They may also incentivize new market participants </w:t>
      </w:r>
      <w:r w:rsidR="00F47E7B">
        <w:rPr>
          <w:rFonts w:ascii="Calibri" w:eastAsia="Calibri" w:hAnsi="Calibri" w:cs="Times New Roman"/>
        </w:rPr>
        <w:t>otherwise</w:t>
      </w:r>
      <w:r>
        <w:rPr>
          <w:rFonts w:ascii="Calibri" w:eastAsia="Calibri" w:hAnsi="Calibri" w:cs="Times New Roman"/>
        </w:rPr>
        <w:t xml:space="preserve"> unwilling to commit to permanent restoration projects.  </w:t>
      </w:r>
    </w:p>
    <w:p w14:paraId="098253DA" w14:textId="77777777" w:rsidR="00424A5F" w:rsidRPr="00424A5F" w:rsidRDefault="00424A5F" w:rsidP="00424A5F">
      <w:pPr>
        <w:rPr>
          <w:rFonts w:ascii="Calibri" w:eastAsia="Calibri" w:hAnsi="Calibri" w:cs="Times New Roman"/>
        </w:rPr>
      </w:pPr>
      <w:r w:rsidRPr="00424A5F">
        <w:rPr>
          <w:rFonts w:ascii="Calibri" w:eastAsia="Calibri" w:hAnsi="Calibri" w:cs="Times New Roman"/>
        </w:rPr>
        <w:t xml:space="preserve">Both the nutrient offset credit and the nutrient exchange credit can be considered </w:t>
      </w:r>
      <w:r w:rsidRPr="002323CD">
        <w:rPr>
          <w:rFonts w:ascii="Calibri" w:eastAsia="Calibri" w:hAnsi="Calibri" w:cs="Times New Roman"/>
          <w:b/>
        </w:rPr>
        <w:t>nutrient reduction credits</w:t>
      </w:r>
      <w:r w:rsidRPr="00424A5F">
        <w:rPr>
          <w:rFonts w:ascii="Calibri" w:eastAsia="Calibri" w:hAnsi="Calibri" w:cs="Times New Roman"/>
        </w:rPr>
        <w:t xml:space="preserve"> because they represent verifiable nutrient reductions from a nutrient strategy baseline.</w:t>
      </w:r>
    </w:p>
    <w:p w14:paraId="67D77975" w14:textId="7562A98E" w:rsidR="00D775E6" w:rsidRPr="00424A5F" w:rsidRDefault="0046311C" w:rsidP="00424A5F">
      <w:pPr>
        <w:rPr>
          <w:rFonts w:ascii="Calibri" w:eastAsia="Calibri" w:hAnsi="Calibri" w:cs="Times New Roman"/>
        </w:rPr>
      </w:pPr>
      <w:r w:rsidRPr="0046311C">
        <w:rPr>
          <w:rFonts w:ascii="Calibri" w:eastAsia="Calibri" w:hAnsi="Calibri" w:cs="Times New Roman"/>
        </w:rPr>
        <w:t xml:space="preserve">The </w:t>
      </w:r>
      <w:r>
        <w:rPr>
          <w:rFonts w:ascii="Calibri" w:eastAsia="Calibri" w:hAnsi="Calibri" w:cs="Times New Roman"/>
          <w:b/>
        </w:rPr>
        <w:t>n</w:t>
      </w:r>
      <w:r w:rsidR="00424A5F" w:rsidRPr="00424A5F">
        <w:rPr>
          <w:rFonts w:ascii="Calibri" w:eastAsia="Calibri" w:hAnsi="Calibri" w:cs="Times New Roman"/>
          <w:b/>
        </w:rPr>
        <w:t>utrient allocation</w:t>
      </w:r>
      <w:r w:rsidR="00E90900">
        <w:rPr>
          <w:rFonts w:ascii="Calibri" w:eastAsia="Calibri" w:hAnsi="Calibri" w:cs="Times New Roman"/>
          <w:b/>
        </w:rPr>
        <w:t xml:space="preserve"> limits</w:t>
      </w:r>
      <w:r w:rsidR="00424A5F" w:rsidRPr="00424A5F">
        <w:rPr>
          <w:rFonts w:ascii="Calibri" w:eastAsia="Calibri" w:hAnsi="Calibri" w:cs="Times New Roman"/>
          <w:b/>
        </w:rPr>
        <w:t xml:space="preserve"> </w:t>
      </w:r>
      <w:r>
        <w:rPr>
          <w:rFonts w:ascii="Calibri" w:eastAsia="Calibri" w:hAnsi="Calibri" w:cs="Times New Roman"/>
        </w:rPr>
        <w:t>of</w:t>
      </w:r>
      <w:r w:rsidR="002323CD">
        <w:rPr>
          <w:rFonts w:ascii="Calibri" w:eastAsia="Calibri" w:hAnsi="Calibri" w:cs="Times New Roman"/>
        </w:rPr>
        <w:t xml:space="preserve"> point source dischargers are not nutrient reduction credits.  </w:t>
      </w:r>
      <w:r w:rsidR="0015242E">
        <w:rPr>
          <w:rFonts w:ascii="Calibri" w:eastAsia="Calibri" w:hAnsi="Calibri" w:cs="Times New Roman"/>
        </w:rPr>
        <w:t>However, they do have some relationships to nutrient reduction credits.  Like nutrient reduction credits, allocation can be traded between facilities under existing rule.  A</w:t>
      </w:r>
      <w:r w:rsidR="00424A5F" w:rsidRPr="00424A5F">
        <w:rPr>
          <w:rFonts w:ascii="Calibri" w:eastAsia="Calibri" w:hAnsi="Calibri" w:cs="Times New Roman"/>
        </w:rPr>
        <w:t>llocation trading can eliminate or delay the need for a point source to purchase offset or exchange credits</w:t>
      </w:r>
      <w:r w:rsidR="001264ED">
        <w:rPr>
          <w:rFonts w:ascii="Calibri" w:eastAsia="Calibri" w:hAnsi="Calibri" w:cs="Times New Roman"/>
        </w:rPr>
        <w:t>.</w:t>
      </w:r>
      <w:r w:rsidR="00424A5F" w:rsidRPr="00424A5F">
        <w:rPr>
          <w:rFonts w:ascii="Calibri" w:eastAsia="Calibri" w:hAnsi="Calibri" w:cs="Times New Roman"/>
        </w:rPr>
        <w:t xml:space="preserve">  </w:t>
      </w:r>
      <w:r w:rsidR="001264ED">
        <w:rPr>
          <w:rFonts w:ascii="Calibri" w:eastAsia="Calibri" w:hAnsi="Calibri" w:cs="Times New Roman"/>
        </w:rPr>
        <w:t>DWR also expects that n</w:t>
      </w:r>
      <w:r w:rsidR="00424A5F" w:rsidRPr="00424A5F">
        <w:rPr>
          <w:rFonts w:ascii="Calibri" w:eastAsia="Calibri" w:hAnsi="Calibri" w:cs="Times New Roman"/>
        </w:rPr>
        <w:t>utrient allocations can be converted into nutrient exchange or nutrient offset credits</w:t>
      </w:r>
      <w:r w:rsidR="001264ED">
        <w:rPr>
          <w:rFonts w:ascii="Calibri" w:eastAsia="Calibri" w:hAnsi="Calibri" w:cs="Times New Roman"/>
        </w:rPr>
        <w:t xml:space="preserve"> in specific situations</w:t>
      </w:r>
      <w:r w:rsidR="00BF2FEC">
        <w:rPr>
          <w:rFonts w:ascii="Calibri" w:eastAsia="Calibri" w:hAnsi="Calibri" w:cs="Times New Roman"/>
        </w:rPr>
        <w:t>. The nature of suitable conversions will be established in practice specifications and credit documents</w:t>
      </w:r>
      <w:r w:rsidR="008E00A8">
        <w:rPr>
          <w:rFonts w:ascii="Calibri" w:eastAsia="Calibri" w:hAnsi="Calibri" w:cs="Times New Roman"/>
        </w:rPr>
        <w:t xml:space="preserve">, which will be incorporated into </w:t>
      </w:r>
      <w:r w:rsidR="00424A5F" w:rsidRPr="00424A5F">
        <w:rPr>
          <w:rFonts w:ascii="Calibri" w:eastAsia="Calibri" w:hAnsi="Calibri" w:cs="Times New Roman"/>
        </w:rPr>
        <w:t>the N.C. Catalog of Nutrient Reduction Practices.</w:t>
      </w:r>
    </w:p>
    <w:p w14:paraId="505B5E3C" w14:textId="77777777" w:rsidR="00424A5F" w:rsidRPr="00582CBF" w:rsidRDefault="00424A5F" w:rsidP="000C0F6B">
      <w:pPr>
        <w:pStyle w:val="Heading3"/>
        <w:rPr>
          <w:rFonts w:eastAsia="Times New Roman"/>
          <w:color w:val="0B3C61" w:themeColor="accent1"/>
        </w:rPr>
      </w:pPr>
      <w:bookmarkStart w:id="25" w:name="_Toc491352614"/>
      <w:bookmarkStart w:id="26" w:name="_Toc491436813"/>
      <w:bookmarkStart w:id="27" w:name="_Toc492020018"/>
      <w:r w:rsidRPr="00582CBF">
        <w:rPr>
          <w:rFonts w:eastAsia="Times New Roman"/>
          <w:color w:val="0B3C61" w:themeColor="accent1"/>
        </w:rPr>
        <w:t>Utilizing Traded Credits for Compliance</w:t>
      </w:r>
      <w:bookmarkEnd w:id="25"/>
      <w:bookmarkEnd w:id="26"/>
      <w:bookmarkEnd w:id="27"/>
    </w:p>
    <w:p w14:paraId="5C3B10BE" w14:textId="4CD44C96" w:rsidR="00424A5F" w:rsidRPr="00424A5F" w:rsidRDefault="00DD6FE6" w:rsidP="00424A5F">
      <w:pPr>
        <w:rPr>
          <w:rFonts w:ascii="Calibri" w:eastAsia="Calibri" w:hAnsi="Calibri" w:cs="Times New Roman"/>
        </w:rPr>
      </w:pPr>
      <w:r>
        <w:rPr>
          <w:rFonts w:ascii="Calibri" w:eastAsia="Calibri" w:hAnsi="Calibri" w:cs="Times New Roman"/>
        </w:rPr>
        <w:t>If implemented as proposed in the preceding section, offset and exchange credits</w:t>
      </w:r>
      <w:r w:rsidR="00424A5F" w:rsidRPr="00424A5F">
        <w:rPr>
          <w:rFonts w:ascii="Calibri" w:eastAsia="Calibri" w:hAnsi="Calibri" w:cs="Times New Roman"/>
        </w:rPr>
        <w:t xml:space="preserve"> </w:t>
      </w:r>
      <w:r>
        <w:rPr>
          <w:rFonts w:ascii="Calibri" w:eastAsia="Calibri" w:hAnsi="Calibri" w:cs="Times New Roman"/>
        </w:rPr>
        <w:t xml:space="preserve">would both be available </w:t>
      </w:r>
      <w:r w:rsidR="00F7656A">
        <w:rPr>
          <w:rFonts w:ascii="Calibri" w:eastAsia="Calibri" w:hAnsi="Calibri" w:cs="Times New Roman"/>
        </w:rPr>
        <w:t xml:space="preserve">for purchase to </w:t>
      </w:r>
      <w:r w:rsidR="00424A5F" w:rsidRPr="00424A5F">
        <w:rPr>
          <w:rFonts w:ascii="Calibri" w:eastAsia="Calibri" w:hAnsi="Calibri" w:cs="Times New Roman"/>
        </w:rPr>
        <w:t xml:space="preserve">satisfy regulatory obligations pursuant to North Carolina’s various nutrient strategies.  </w:t>
      </w:r>
      <w:r>
        <w:rPr>
          <w:rFonts w:ascii="Calibri" w:eastAsia="Calibri" w:hAnsi="Calibri" w:cs="Times New Roman"/>
        </w:rPr>
        <w:t>Some regulated parties, like local governments or wastewater treatment facilities</w:t>
      </w:r>
      <w:r w:rsidR="00F7656A">
        <w:rPr>
          <w:rFonts w:ascii="Calibri" w:eastAsia="Calibri" w:hAnsi="Calibri" w:cs="Times New Roman"/>
        </w:rPr>
        <w:t>,</w:t>
      </w:r>
      <w:r w:rsidR="00424A5F" w:rsidRPr="00424A5F">
        <w:rPr>
          <w:rFonts w:ascii="Calibri" w:eastAsia="Calibri" w:hAnsi="Calibri" w:cs="Times New Roman"/>
        </w:rPr>
        <w:t xml:space="preserve"> may </w:t>
      </w:r>
      <w:r w:rsidR="00F7656A">
        <w:rPr>
          <w:rFonts w:ascii="Calibri" w:eastAsia="Calibri" w:hAnsi="Calibri" w:cs="Times New Roman"/>
        </w:rPr>
        <w:t>demonstrate compliance</w:t>
      </w:r>
      <w:r w:rsidR="00424A5F" w:rsidRPr="00424A5F">
        <w:rPr>
          <w:rFonts w:ascii="Calibri" w:eastAsia="Calibri" w:hAnsi="Calibri" w:cs="Times New Roman"/>
        </w:rPr>
        <w:t xml:space="preserve"> through some combination of permanent and temporary credits </w:t>
      </w:r>
      <w:r w:rsidR="00F7656A">
        <w:rPr>
          <w:rFonts w:ascii="Calibri" w:eastAsia="Calibri" w:hAnsi="Calibri" w:cs="Times New Roman"/>
        </w:rPr>
        <w:t xml:space="preserve">within </w:t>
      </w:r>
      <w:r w:rsidR="00424A5F" w:rsidRPr="00424A5F">
        <w:rPr>
          <w:rFonts w:ascii="Calibri" w:eastAsia="Calibri" w:hAnsi="Calibri" w:cs="Times New Roman"/>
        </w:rPr>
        <w:t xml:space="preserve">a given time period.  Figure 1 provides an overview of which credits </w:t>
      </w:r>
      <w:r w:rsidR="00EA6CE8">
        <w:rPr>
          <w:rFonts w:ascii="Calibri" w:eastAsia="Calibri" w:hAnsi="Calibri" w:cs="Times New Roman"/>
        </w:rPr>
        <w:t>could be used to</w:t>
      </w:r>
      <w:r w:rsidR="00424A5F" w:rsidRPr="00424A5F">
        <w:rPr>
          <w:rFonts w:ascii="Calibri" w:eastAsia="Calibri" w:hAnsi="Calibri" w:cs="Times New Roman"/>
        </w:rPr>
        <w:t xml:space="preserve"> satisfy the regulatory requirements from various sectors.</w:t>
      </w:r>
    </w:p>
    <w:p w14:paraId="112782FA" w14:textId="088F6031" w:rsidR="00424A5F" w:rsidRPr="00424A5F" w:rsidRDefault="00424A5F" w:rsidP="00424A5F">
      <w:pPr>
        <w:spacing w:line="240" w:lineRule="auto"/>
        <w:rPr>
          <w:rFonts w:ascii="Calibri" w:eastAsia="Calibri" w:hAnsi="Calibri" w:cs="Times New Roman"/>
          <w:b/>
          <w:bCs/>
          <w:smallCaps/>
          <w:color w:val="595959"/>
        </w:rPr>
      </w:pPr>
      <w:r w:rsidRPr="00424A5F">
        <w:rPr>
          <w:rFonts w:ascii="Calibri" w:eastAsia="Calibri" w:hAnsi="Calibri" w:cs="Times New Roman"/>
          <w:b/>
          <w:bCs/>
          <w:smallCaps/>
          <w:color w:val="595959"/>
        </w:rPr>
        <w:t xml:space="preserve">Figure </w:t>
      </w:r>
      <w:r w:rsidRPr="00424A5F">
        <w:rPr>
          <w:rFonts w:ascii="Calibri" w:eastAsia="Calibri" w:hAnsi="Calibri" w:cs="Times New Roman"/>
          <w:b/>
          <w:bCs/>
          <w:smallCaps/>
          <w:color w:val="595959"/>
        </w:rPr>
        <w:fldChar w:fldCharType="begin"/>
      </w:r>
      <w:r w:rsidRPr="00424A5F">
        <w:rPr>
          <w:rFonts w:ascii="Calibri" w:eastAsia="Calibri" w:hAnsi="Calibri" w:cs="Times New Roman"/>
          <w:b/>
          <w:bCs/>
          <w:smallCaps/>
          <w:color w:val="595959"/>
        </w:rPr>
        <w:instrText xml:space="preserve"> SEQ Figure \* ARABIC </w:instrText>
      </w:r>
      <w:r w:rsidRPr="00424A5F">
        <w:rPr>
          <w:rFonts w:ascii="Calibri" w:eastAsia="Calibri" w:hAnsi="Calibri" w:cs="Times New Roman"/>
          <w:b/>
          <w:bCs/>
          <w:smallCaps/>
          <w:color w:val="595959"/>
        </w:rPr>
        <w:fldChar w:fldCharType="separate"/>
      </w:r>
      <w:r w:rsidR="003F2C18">
        <w:rPr>
          <w:rFonts w:ascii="Calibri" w:eastAsia="Calibri" w:hAnsi="Calibri" w:cs="Times New Roman"/>
          <w:b/>
          <w:bCs/>
          <w:smallCaps/>
          <w:noProof/>
          <w:color w:val="595959"/>
        </w:rPr>
        <w:t>1</w:t>
      </w:r>
      <w:r w:rsidRPr="00424A5F">
        <w:rPr>
          <w:rFonts w:ascii="Calibri" w:eastAsia="Calibri" w:hAnsi="Calibri" w:cs="Times New Roman"/>
          <w:b/>
          <w:bCs/>
          <w:smallCaps/>
          <w:noProof/>
          <w:color w:val="595959"/>
        </w:rPr>
        <w:fldChar w:fldCharType="end"/>
      </w:r>
      <w:r w:rsidRPr="00424A5F">
        <w:rPr>
          <w:rFonts w:ascii="Calibri" w:eastAsia="Calibri" w:hAnsi="Calibri" w:cs="Times New Roman"/>
          <w:b/>
          <w:bCs/>
          <w:smallCaps/>
          <w:color w:val="595959"/>
        </w:rPr>
        <w:t xml:space="preserve">: Credit types </w:t>
      </w:r>
      <w:r w:rsidR="00996C36">
        <w:rPr>
          <w:rFonts w:ascii="Calibri" w:eastAsia="Calibri" w:hAnsi="Calibri" w:cs="Times New Roman"/>
          <w:b/>
          <w:bCs/>
          <w:smallCaps/>
          <w:color w:val="595959"/>
        </w:rPr>
        <w:t>proposed</w:t>
      </w:r>
      <w:r w:rsidRPr="00424A5F">
        <w:rPr>
          <w:rFonts w:ascii="Calibri" w:eastAsia="Calibri" w:hAnsi="Calibri" w:cs="Times New Roman"/>
          <w:b/>
          <w:bCs/>
          <w:smallCaps/>
          <w:color w:val="595959"/>
        </w:rPr>
        <w:t xml:space="preserve"> to satisfy various regulatory obligations</w:t>
      </w:r>
    </w:p>
    <w:tbl>
      <w:tblPr>
        <w:tblStyle w:val="TableGrid"/>
        <w:tblW w:w="9265" w:type="dxa"/>
        <w:tblLook w:val="04A0" w:firstRow="1" w:lastRow="0" w:firstColumn="1" w:lastColumn="0" w:noHBand="0" w:noVBand="1"/>
      </w:tblPr>
      <w:tblGrid>
        <w:gridCol w:w="1896"/>
        <w:gridCol w:w="2419"/>
        <w:gridCol w:w="2700"/>
        <w:gridCol w:w="2250"/>
      </w:tblGrid>
      <w:tr w:rsidR="00996C36" w:rsidRPr="00424A5F" w14:paraId="5029882B" w14:textId="77777777" w:rsidTr="00801D3B">
        <w:trPr>
          <w:trHeight w:val="395"/>
        </w:trPr>
        <w:tc>
          <w:tcPr>
            <w:tcW w:w="1896" w:type="dxa"/>
          </w:tcPr>
          <w:p w14:paraId="33D86B7E" w14:textId="77777777" w:rsidR="00996C36" w:rsidRPr="00424A5F" w:rsidRDefault="00996C36" w:rsidP="00424A5F">
            <w:pPr>
              <w:rPr>
                <w:rFonts w:ascii="Calibri" w:eastAsia="Calibri" w:hAnsi="Calibri" w:cs="Times New Roman"/>
              </w:rPr>
            </w:pPr>
          </w:p>
        </w:tc>
        <w:tc>
          <w:tcPr>
            <w:tcW w:w="2419" w:type="dxa"/>
          </w:tcPr>
          <w:p w14:paraId="10A07CDF" w14:textId="77777777" w:rsidR="00996C36" w:rsidRPr="00424A5F" w:rsidRDefault="00996C36" w:rsidP="00424A5F">
            <w:pPr>
              <w:rPr>
                <w:rFonts w:ascii="Calibri" w:eastAsia="Calibri" w:hAnsi="Calibri" w:cs="Times New Roman"/>
              </w:rPr>
            </w:pPr>
            <w:r w:rsidRPr="00424A5F">
              <w:rPr>
                <w:rFonts w:ascii="Calibri" w:eastAsia="Calibri" w:hAnsi="Calibri" w:cs="Times New Roman"/>
              </w:rPr>
              <w:t xml:space="preserve">Nutrient offset credit </w:t>
            </w:r>
          </w:p>
        </w:tc>
        <w:tc>
          <w:tcPr>
            <w:tcW w:w="2700" w:type="dxa"/>
          </w:tcPr>
          <w:p w14:paraId="77E31E0C" w14:textId="77777777" w:rsidR="00996C36" w:rsidRPr="00424A5F" w:rsidRDefault="00A823EE" w:rsidP="00424A5F">
            <w:pPr>
              <w:rPr>
                <w:rFonts w:ascii="Calibri" w:eastAsia="Calibri" w:hAnsi="Calibri" w:cs="Times New Roman"/>
              </w:rPr>
            </w:pPr>
            <w:r>
              <w:rPr>
                <w:rFonts w:ascii="Calibri" w:eastAsia="Calibri" w:hAnsi="Calibri" w:cs="Times New Roman"/>
              </w:rPr>
              <w:t>Nutrient exchange credit</w:t>
            </w:r>
          </w:p>
        </w:tc>
        <w:tc>
          <w:tcPr>
            <w:tcW w:w="2250" w:type="dxa"/>
          </w:tcPr>
          <w:p w14:paraId="5F04A48C" w14:textId="77777777" w:rsidR="00996C36" w:rsidRPr="00424A5F" w:rsidRDefault="00996C36" w:rsidP="00424A5F">
            <w:pPr>
              <w:rPr>
                <w:rFonts w:ascii="Calibri" w:eastAsia="Calibri" w:hAnsi="Calibri" w:cs="Times New Roman"/>
              </w:rPr>
            </w:pPr>
            <w:r>
              <w:rPr>
                <w:rFonts w:ascii="Calibri" w:eastAsia="Calibri" w:hAnsi="Calibri" w:cs="Times New Roman"/>
              </w:rPr>
              <w:t>Nutrient allocation</w:t>
            </w:r>
          </w:p>
        </w:tc>
      </w:tr>
      <w:tr w:rsidR="00996C36" w:rsidRPr="00424A5F" w14:paraId="61051B6C" w14:textId="77777777" w:rsidTr="00996C36">
        <w:trPr>
          <w:trHeight w:val="437"/>
        </w:trPr>
        <w:tc>
          <w:tcPr>
            <w:tcW w:w="1896" w:type="dxa"/>
          </w:tcPr>
          <w:p w14:paraId="6459B661" w14:textId="77777777" w:rsidR="00996C36" w:rsidRPr="00424A5F" w:rsidRDefault="00996C36" w:rsidP="00424A5F">
            <w:pPr>
              <w:rPr>
                <w:rFonts w:ascii="Calibri" w:eastAsia="Calibri" w:hAnsi="Calibri" w:cs="Times New Roman"/>
              </w:rPr>
            </w:pPr>
            <w:r w:rsidRPr="00424A5F">
              <w:rPr>
                <w:rFonts w:ascii="Calibri" w:eastAsia="Calibri" w:hAnsi="Calibri" w:cs="Times New Roman"/>
              </w:rPr>
              <w:t>New development nutrient reductions</w:t>
            </w:r>
          </w:p>
        </w:tc>
        <w:tc>
          <w:tcPr>
            <w:tcW w:w="2419" w:type="dxa"/>
          </w:tcPr>
          <w:p w14:paraId="60B6A27E" w14:textId="77777777" w:rsidR="00996C36" w:rsidRPr="00424A5F" w:rsidRDefault="00996C36" w:rsidP="00424A5F">
            <w:pPr>
              <w:jc w:val="center"/>
              <w:rPr>
                <w:rFonts w:ascii="Calibri" w:eastAsia="Calibri" w:hAnsi="Calibri" w:cs="Times New Roman"/>
              </w:rPr>
            </w:pPr>
            <w:r w:rsidRPr="00424A5F">
              <w:rPr>
                <w:rFonts w:ascii="Calibri" w:eastAsia="Calibri" w:hAnsi="Calibri" w:cs="Times New Roman"/>
              </w:rPr>
              <w:t>x</w:t>
            </w:r>
          </w:p>
        </w:tc>
        <w:tc>
          <w:tcPr>
            <w:tcW w:w="2700" w:type="dxa"/>
          </w:tcPr>
          <w:p w14:paraId="5984B442" w14:textId="77777777" w:rsidR="00996C36" w:rsidRPr="00424A5F" w:rsidRDefault="00996C36" w:rsidP="00424A5F">
            <w:pPr>
              <w:jc w:val="center"/>
              <w:rPr>
                <w:rFonts w:ascii="Calibri" w:eastAsia="Calibri" w:hAnsi="Calibri" w:cs="Times New Roman"/>
              </w:rPr>
            </w:pPr>
          </w:p>
        </w:tc>
        <w:tc>
          <w:tcPr>
            <w:tcW w:w="2250" w:type="dxa"/>
          </w:tcPr>
          <w:p w14:paraId="530424D0" w14:textId="77777777" w:rsidR="00996C36" w:rsidRPr="00424A5F" w:rsidRDefault="00996C36" w:rsidP="00424A5F">
            <w:pPr>
              <w:jc w:val="center"/>
              <w:rPr>
                <w:rFonts w:ascii="Calibri" w:eastAsia="Calibri" w:hAnsi="Calibri" w:cs="Times New Roman"/>
              </w:rPr>
            </w:pPr>
          </w:p>
        </w:tc>
      </w:tr>
      <w:tr w:rsidR="00996C36" w:rsidRPr="00424A5F" w14:paraId="7B872BD5" w14:textId="77777777" w:rsidTr="00996C36">
        <w:trPr>
          <w:trHeight w:val="437"/>
        </w:trPr>
        <w:tc>
          <w:tcPr>
            <w:tcW w:w="1896" w:type="dxa"/>
          </w:tcPr>
          <w:p w14:paraId="1BF9F29A" w14:textId="77777777" w:rsidR="00996C36" w:rsidRPr="00424A5F" w:rsidRDefault="00996C36" w:rsidP="00424A5F">
            <w:pPr>
              <w:rPr>
                <w:rFonts w:ascii="Calibri" w:eastAsia="Calibri" w:hAnsi="Calibri" w:cs="Times New Roman"/>
              </w:rPr>
            </w:pPr>
            <w:r w:rsidRPr="00424A5F">
              <w:rPr>
                <w:rFonts w:ascii="Calibri" w:eastAsia="Calibri" w:hAnsi="Calibri" w:cs="Times New Roman"/>
              </w:rPr>
              <w:t>Existing development nutrient reductions</w:t>
            </w:r>
          </w:p>
        </w:tc>
        <w:tc>
          <w:tcPr>
            <w:tcW w:w="2419" w:type="dxa"/>
          </w:tcPr>
          <w:p w14:paraId="5EDCB4CB" w14:textId="77777777" w:rsidR="00996C36" w:rsidRPr="00424A5F" w:rsidRDefault="00996C36" w:rsidP="00424A5F">
            <w:pPr>
              <w:jc w:val="center"/>
              <w:rPr>
                <w:rFonts w:ascii="Calibri" w:eastAsia="Calibri" w:hAnsi="Calibri" w:cs="Times New Roman"/>
              </w:rPr>
            </w:pPr>
            <w:r w:rsidRPr="00424A5F">
              <w:rPr>
                <w:rFonts w:ascii="Calibri" w:eastAsia="Calibri" w:hAnsi="Calibri" w:cs="Times New Roman"/>
              </w:rPr>
              <w:t>x</w:t>
            </w:r>
          </w:p>
        </w:tc>
        <w:tc>
          <w:tcPr>
            <w:tcW w:w="2700" w:type="dxa"/>
          </w:tcPr>
          <w:p w14:paraId="5410A816" w14:textId="77777777" w:rsidR="00996C36" w:rsidRPr="00424A5F" w:rsidRDefault="00996C36" w:rsidP="00424A5F">
            <w:pPr>
              <w:jc w:val="center"/>
              <w:rPr>
                <w:rFonts w:ascii="Calibri" w:eastAsia="Calibri" w:hAnsi="Calibri" w:cs="Times New Roman"/>
              </w:rPr>
            </w:pPr>
            <w:r w:rsidRPr="00424A5F">
              <w:rPr>
                <w:rFonts w:ascii="Calibri" w:eastAsia="Calibri" w:hAnsi="Calibri" w:cs="Times New Roman"/>
              </w:rPr>
              <w:t>x</w:t>
            </w:r>
          </w:p>
        </w:tc>
        <w:tc>
          <w:tcPr>
            <w:tcW w:w="2250" w:type="dxa"/>
          </w:tcPr>
          <w:p w14:paraId="1E0D33C1" w14:textId="77777777" w:rsidR="00996C36" w:rsidRPr="00424A5F" w:rsidRDefault="00996C36" w:rsidP="00424A5F">
            <w:pPr>
              <w:jc w:val="center"/>
              <w:rPr>
                <w:rFonts w:ascii="Calibri" w:eastAsia="Calibri" w:hAnsi="Calibri" w:cs="Times New Roman"/>
              </w:rPr>
            </w:pPr>
          </w:p>
        </w:tc>
      </w:tr>
      <w:tr w:rsidR="00996C36" w:rsidRPr="00424A5F" w14:paraId="576F9DFD" w14:textId="77777777" w:rsidTr="00996C36">
        <w:trPr>
          <w:trHeight w:val="437"/>
        </w:trPr>
        <w:tc>
          <w:tcPr>
            <w:tcW w:w="1896" w:type="dxa"/>
          </w:tcPr>
          <w:p w14:paraId="0BA9777A" w14:textId="77777777" w:rsidR="00996C36" w:rsidRPr="00424A5F" w:rsidRDefault="00996C36" w:rsidP="00424A5F">
            <w:pPr>
              <w:rPr>
                <w:rFonts w:ascii="Calibri" w:eastAsia="Calibri" w:hAnsi="Calibri" w:cs="Times New Roman"/>
              </w:rPr>
            </w:pPr>
            <w:r w:rsidRPr="00424A5F">
              <w:rPr>
                <w:rFonts w:ascii="Calibri" w:eastAsia="Calibri" w:hAnsi="Calibri" w:cs="Times New Roman"/>
              </w:rPr>
              <w:t>Point source reductions</w:t>
            </w:r>
          </w:p>
        </w:tc>
        <w:tc>
          <w:tcPr>
            <w:tcW w:w="2419" w:type="dxa"/>
          </w:tcPr>
          <w:p w14:paraId="7F5948C6" w14:textId="77777777" w:rsidR="00996C36" w:rsidRPr="00424A5F" w:rsidRDefault="00996C36" w:rsidP="00424A5F">
            <w:pPr>
              <w:jc w:val="center"/>
              <w:rPr>
                <w:rFonts w:ascii="Calibri" w:eastAsia="Calibri" w:hAnsi="Calibri" w:cs="Times New Roman"/>
              </w:rPr>
            </w:pPr>
            <w:r w:rsidRPr="00424A5F">
              <w:rPr>
                <w:rFonts w:ascii="Calibri" w:eastAsia="Calibri" w:hAnsi="Calibri" w:cs="Times New Roman"/>
              </w:rPr>
              <w:t>x</w:t>
            </w:r>
          </w:p>
        </w:tc>
        <w:tc>
          <w:tcPr>
            <w:tcW w:w="2700" w:type="dxa"/>
          </w:tcPr>
          <w:p w14:paraId="1F49E2BF" w14:textId="77777777" w:rsidR="00996C36" w:rsidRPr="00424A5F" w:rsidRDefault="00996C36" w:rsidP="00424A5F">
            <w:pPr>
              <w:jc w:val="center"/>
              <w:rPr>
                <w:rFonts w:ascii="Calibri" w:eastAsia="Calibri" w:hAnsi="Calibri" w:cs="Times New Roman"/>
              </w:rPr>
            </w:pPr>
            <w:r w:rsidRPr="00424A5F">
              <w:rPr>
                <w:rFonts w:ascii="Calibri" w:eastAsia="Calibri" w:hAnsi="Calibri" w:cs="Times New Roman"/>
              </w:rPr>
              <w:t>x</w:t>
            </w:r>
          </w:p>
        </w:tc>
        <w:tc>
          <w:tcPr>
            <w:tcW w:w="2250" w:type="dxa"/>
          </w:tcPr>
          <w:p w14:paraId="708C74F4" w14:textId="77777777" w:rsidR="00996C36" w:rsidRPr="00424A5F" w:rsidRDefault="00996C36" w:rsidP="00424A5F">
            <w:pPr>
              <w:jc w:val="center"/>
              <w:rPr>
                <w:rFonts w:ascii="Calibri" w:eastAsia="Calibri" w:hAnsi="Calibri" w:cs="Times New Roman"/>
              </w:rPr>
            </w:pPr>
          </w:p>
        </w:tc>
      </w:tr>
      <w:tr w:rsidR="00996C36" w:rsidRPr="00424A5F" w14:paraId="435DCD2E" w14:textId="77777777" w:rsidTr="00996C36">
        <w:trPr>
          <w:trHeight w:val="422"/>
        </w:trPr>
        <w:tc>
          <w:tcPr>
            <w:tcW w:w="1896" w:type="dxa"/>
          </w:tcPr>
          <w:p w14:paraId="700CDBBB" w14:textId="77777777" w:rsidR="00996C36" w:rsidRPr="00424A5F" w:rsidRDefault="00996C36" w:rsidP="00424A5F">
            <w:pPr>
              <w:rPr>
                <w:rFonts w:ascii="Calibri" w:eastAsia="Calibri" w:hAnsi="Calibri" w:cs="Times New Roman"/>
              </w:rPr>
            </w:pPr>
            <w:r w:rsidRPr="00424A5F">
              <w:rPr>
                <w:rFonts w:ascii="Calibri" w:eastAsia="Calibri" w:hAnsi="Calibri" w:cs="Times New Roman"/>
              </w:rPr>
              <w:t>Point source allocations</w:t>
            </w:r>
          </w:p>
        </w:tc>
        <w:tc>
          <w:tcPr>
            <w:tcW w:w="2419" w:type="dxa"/>
          </w:tcPr>
          <w:p w14:paraId="3856998F" w14:textId="77777777" w:rsidR="00996C36" w:rsidRPr="00424A5F" w:rsidRDefault="00996C36" w:rsidP="00424A5F">
            <w:pPr>
              <w:jc w:val="center"/>
              <w:rPr>
                <w:rFonts w:ascii="Calibri" w:eastAsia="Calibri" w:hAnsi="Calibri" w:cs="Times New Roman"/>
              </w:rPr>
            </w:pPr>
            <w:r w:rsidRPr="00424A5F">
              <w:rPr>
                <w:rFonts w:ascii="Calibri" w:eastAsia="Calibri" w:hAnsi="Calibri" w:cs="Times New Roman"/>
              </w:rPr>
              <w:t>x</w:t>
            </w:r>
          </w:p>
        </w:tc>
        <w:tc>
          <w:tcPr>
            <w:tcW w:w="2700" w:type="dxa"/>
          </w:tcPr>
          <w:p w14:paraId="6D4DC9E7" w14:textId="68B65CD1" w:rsidR="00996C36" w:rsidRPr="00424A5F" w:rsidRDefault="00801D3B" w:rsidP="00424A5F">
            <w:pPr>
              <w:jc w:val="center"/>
              <w:rPr>
                <w:rFonts w:ascii="Calibri" w:eastAsia="Calibri" w:hAnsi="Calibri" w:cs="Times New Roman"/>
              </w:rPr>
            </w:pPr>
            <w:r>
              <w:rPr>
                <w:rFonts w:ascii="Calibri" w:eastAsia="Calibri" w:hAnsi="Calibri" w:cs="Times New Roman"/>
              </w:rPr>
              <w:t>x</w:t>
            </w:r>
          </w:p>
        </w:tc>
        <w:tc>
          <w:tcPr>
            <w:tcW w:w="2250" w:type="dxa"/>
          </w:tcPr>
          <w:p w14:paraId="5C47A3A5" w14:textId="77777777" w:rsidR="00996C36" w:rsidRPr="00424A5F" w:rsidRDefault="00996C36" w:rsidP="00424A5F">
            <w:pPr>
              <w:jc w:val="center"/>
              <w:rPr>
                <w:rFonts w:ascii="Calibri" w:eastAsia="Calibri" w:hAnsi="Calibri" w:cs="Times New Roman"/>
              </w:rPr>
            </w:pPr>
            <w:r w:rsidRPr="00424A5F">
              <w:rPr>
                <w:rFonts w:ascii="Calibri" w:eastAsia="Calibri" w:hAnsi="Calibri" w:cs="Times New Roman"/>
              </w:rPr>
              <w:t>x</w:t>
            </w:r>
          </w:p>
        </w:tc>
      </w:tr>
    </w:tbl>
    <w:p w14:paraId="00952832" w14:textId="77777777" w:rsidR="00424A5F" w:rsidRPr="00424A5F" w:rsidRDefault="00424A5F" w:rsidP="00424A5F">
      <w:pPr>
        <w:keepNext/>
        <w:keepLines/>
        <w:spacing w:before="80" w:after="0" w:line="240" w:lineRule="auto"/>
        <w:outlineLvl w:val="1"/>
        <w:rPr>
          <w:rFonts w:ascii="Calibri" w:eastAsia="Times New Roman" w:hAnsi="Calibri" w:cs="Times New Roman"/>
          <w:color w:val="00616B"/>
          <w:sz w:val="28"/>
          <w:szCs w:val="28"/>
        </w:rPr>
      </w:pPr>
    </w:p>
    <w:p w14:paraId="7533A867" w14:textId="77777777" w:rsidR="00424A5F" w:rsidRPr="000742F4" w:rsidRDefault="00424A5F" w:rsidP="000C0F6B">
      <w:pPr>
        <w:pStyle w:val="Heading3"/>
        <w:rPr>
          <w:rFonts w:eastAsia="Times New Roman"/>
          <w:color w:val="0B3C61" w:themeColor="accent1"/>
        </w:rPr>
      </w:pPr>
      <w:bookmarkStart w:id="28" w:name="_Toc491352615"/>
      <w:bookmarkStart w:id="29" w:name="_Toc491436814"/>
      <w:bookmarkStart w:id="30" w:name="_Toc492020019"/>
      <w:r w:rsidRPr="000742F4">
        <w:rPr>
          <w:rFonts w:eastAsia="Times New Roman"/>
          <w:color w:val="0B3C61" w:themeColor="accent1"/>
        </w:rPr>
        <w:t>Joint Compliance</w:t>
      </w:r>
      <w:bookmarkEnd w:id="28"/>
      <w:bookmarkEnd w:id="29"/>
      <w:bookmarkEnd w:id="30"/>
    </w:p>
    <w:p w14:paraId="59D077FF" w14:textId="77777777" w:rsidR="00424A5F" w:rsidRPr="00424A5F" w:rsidRDefault="00424A5F" w:rsidP="00424A5F">
      <w:pPr>
        <w:rPr>
          <w:rFonts w:ascii="Calibri" w:eastAsia="Calibri" w:hAnsi="Calibri" w:cs="Times New Roman"/>
        </w:rPr>
      </w:pPr>
      <w:r w:rsidRPr="00424A5F">
        <w:rPr>
          <w:rFonts w:ascii="Calibri" w:eastAsia="Calibri" w:hAnsi="Calibri" w:cs="Times New Roman"/>
        </w:rPr>
        <w:t xml:space="preserve">In addition to utilizing traded nutrient credits, North Carolina’s nutrient strategies have long provided mechanisms for </w:t>
      </w:r>
      <w:r w:rsidR="00257AE7">
        <w:rPr>
          <w:rFonts w:ascii="Calibri" w:eastAsia="Calibri" w:hAnsi="Calibri" w:cs="Times New Roman"/>
        </w:rPr>
        <w:t>joint</w:t>
      </w:r>
      <w:r w:rsidRPr="00424A5F">
        <w:rPr>
          <w:rFonts w:ascii="Calibri" w:eastAsia="Calibri" w:hAnsi="Calibri" w:cs="Times New Roman"/>
        </w:rPr>
        <w:t xml:space="preserve"> compliance among a group of regulated entities.  This feature is a common characteristic of North Carolina’s agriculture nutrient rules, where the entire sector seeks to reduce its baseline nutrient loading estimates by a given percentage.</w:t>
      </w:r>
      <w:r w:rsidRPr="00424A5F">
        <w:rPr>
          <w:rFonts w:ascii="Calibri" w:eastAsia="Calibri" w:hAnsi="Calibri" w:cs="Times New Roman"/>
          <w:vertAlign w:val="superscript"/>
        </w:rPr>
        <w:footnoteReference w:id="8"/>
      </w:r>
      <w:r w:rsidRPr="00424A5F">
        <w:rPr>
          <w:rFonts w:ascii="Calibri" w:eastAsia="Calibri" w:hAnsi="Calibri" w:cs="Times New Roman"/>
        </w:rPr>
        <w:t xml:space="preserve">  Wastewater nutrient rules </w:t>
      </w:r>
      <w:r w:rsidR="00047C47">
        <w:rPr>
          <w:rFonts w:ascii="Calibri" w:eastAsia="Calibri" w:hAnsi="Calibri" w:cs="Times New Roman"/>
        </w:rPr>
        <w:t>provide</w:t>
      </w:r>
      <w:r w:rsidRPr="00424A5F">
        <w:rPr>
          <w:rFonts w:ascii="Calibri" w:eastAsia="Calibri" w:hAnsi="Calibri" w:cs="Times New Roman"/>
        </w:rPr>
        <w:t xml:space="preserve"> an option for group compliance as well, including </w:t>
      </w:r>
      <w:r w:rsidR="00257AE7">
        <w:rPr>
          <w:rFonts w:ascii="Calibri" w:eastAsia="Calibri" w:hAnsi="Calibri" w:cs="Times New Roman"/>
        </w:rPr>
        <w:t>the aforementioned</w:t>
      </w:r>
      <w:r w:rsidRPr="00424A5F">
        <w:rPr>
          <w:rFonts w:ascii="Calibri" w:eastAsia="Calibri" w:hAnsi="Calibri" w:cs="Times New Roman"/>
        </w:rPr>
        <w:t xml:space="preserve"> bubble permit issued for all facilities participating in a wastewater compliance association.</w:t>
      </w:r>
      <w:r w:rsidRPr="00424A5F">
        <w:rPr>
          <w:rFonts w:ascii="Calibri" w:eastAsia="Calibri" w:hAnsi="Calibri" w:cs="Times New Roman"/>
          <w:vertAlign w:val="superscript"/>
        </w:rPr>
        <w:footnoteReference w:id="9"/>
      </w:r>
      <w:r w:rsidRPr="00424A5F">
        <w:rPr>
          <w:rFonts w:ascii="Calibri" w:eastAsia="Calibri" w:hAnsi="Calibri" w:cs="Times New Roman"/>
        </w:rPr>
        <w:t xml:space="preserve">  These provisions have been in place for nearly two decades in some watersheds and are generally well understood by their respective regulated communities.</w:t>
      </w:r>
    </w:p>
    <w:p w14:paraId="2D984B54" w14:textId="79CF3B2D" w:rsidR="00424A5F" w:rsidRPr="00424A5F" w:rsidRDefault="00424A5F" w:rsidP="00424A5F">
      <w:pPr>
        <w:rPr>
          <w:rFonts w:ascii="Calibri" w:eastAsia="Calibri" w:hAnsi="Calibri" w:cs="Times New Roman"/>
        </w:rPr>
      </w:pPr>
      <w:r w:rsidRPr="00424A5F">
        <w:rPr>
          <w:rFonts w:ascii="Calibri" w:eastAsia="Calibri" w:hAnsi="Calibri" w:cs="Times New Roman"/>
        </w:rPr>
        <w:t xml:space="preserve">In contrast with agriculture and wastewater nutrient regulations, North Carolina’s existing development regulations are relatively new and </w:t>
      </w:r>
      <w:r w:rsidR="00863B05">
        <w:rPr>
          <w:rFonts w:ascii="Calibri" w:eastAsia="Calibri" w:hAnsi="Calibri" w:cs="Times New Roman"/>
        </w:rPr>
        <w:t>untested, but both</w:t>
      </w:r>
      <w:r w:rsidRPr="00424A5F">
        <w:rPr>
          <w:rFonts w:ascii="Calibri" w:eastAsia="Calibri" w:hAnsi="Calibri" w:cs="Times New Roman"/>
        </w:rPr>
        <w:t xml:space="preserve"> the Jordan and Falls </w:t>
      </w:r>
      <w:r w:rsidR="000C0F6B">
        <w:rPr>
          <w:rFonts w:ascii="Calibri" w:eastAsia="Calibri" w:hAnsi="Calibri" w:cs="Times New Roman"/>
        </w:rPr>
        <w:t>nutrient strategies</w:t>
      </w:r>
      <w:r w:rsidRPr="00424A5F">
        <w:rPr>
          <w:rFonts w:ascii="Calibri" w:eastAsia="Calibri" w:hAnsi="Calibri" w:cs="Times New Roman"/>
        </w:rPr>
        <w:t xml:space="preserve"> envision additional types of joint compliance</w:t>
      </w:r>
      <w:r w:rsidR="00F7656A">
        <w:rPr>
          <w:rFonts w:ascii="Calibri" w:eastAsia="Calibri" w:hAnsi="Calibri" w:cs="Times New Roman"/>
        </w:rPr>
        <w:t xml:space="preserve"> associated with these rules</w:t>
      </w:r>
      <w:r w:rsidRPr="00424A5F">
        <w:rPr>
          <w:rFonts w:ascii="Calibri" w:eastAsia="Calibri" w:hAnsi="Calibri" w:cs="Times New Roman"/>
        </w:rPr>
        <w:t>.  First, local governments may choose to jointly meet existing development obligations within the same subwatershed.</w:t>
      </w:r>
      <w:r w:rsidRPr="00424A5F">
        <w:rPr>
          <w:rFonts w:ascii="Calibri" w:eastAsia="Calibri" w:hAnsi="Calibri" w:cs="Times New Roman"/>
          <w:vertAlign w:val="superscript"/>
        </w:rPr>
        <w:footnoteReference w:id="10"/>
      </w:r>
      <w:r w:rsidRPr="00424A5F">
        <w:rPr>
          <w:rFonts w:ascii="Calibri" w:eastAsia="Calibri" w:hAnsi="Calibri" w:cs="Times New Roman"/>
        </w:rPr>
        <w:t xml:space="preserve">   Also, an individual local government may combine its wastewater and existing development obligations and jointly meet them.</w:t>
      </w:r>
      <w:r w:rsidRPr="00424A5F">
        <w:rPr>
          <w:rFonts w:ascii="Calibri" w:eastAsia="Calibri" w:hAnsi="Calibri" w:cs="Times New Roman"/>
          <w:vertAlign w:val="superscript"/>
        </w:rPr>
        <w:footnoteReference w:id="11"/>
      </w:r>
      <w:r w:rsidR="000415F9">
        <w:rPr>
          <w:rFonts w:ascii="Calibri" w:eastAsia="Calibri" w:hAnsi="Calibri" w:cs="Times New Roman"/>
        </w:rPr>
        <w:t xml:space="preserve">  </w:t>
      </w:r>
      <w:r w:rsidR="00047C47">
        <w:rPr>
          <w:rFonts w:ascii="Calibri" w:eastAsia="Calibri" w:hAnsi="Calibri" w:cs="Times New Roman"/>
        </w:rPr>
        <w:t>While the terminology has not been settled, t</w:t>
      </w:r>
      <w:r w:rsidR="000415F9">
        <w:rPr>
          <w:rFonts w:ascii="Calibri" w:eastAsia="Calibri" w:hAnsi="Calibri" w:cs="Times New Roman"/>
        </w:rPr>
        <w:t xml:space="preserve">hese options </w:t>
      </w:r>
      <w:r w:rsidR="00047C47">
        <w:rPr>
          <w:rFonts w:ascii="Calibri" w:eastAsia="Calibri" w:hAnsi="Calibri" w:cs="Times New Roman"/>
        </w:rPr>
        <w:t>are hereafter</w:t>
      </w:r>
      <w:r w:rsidR="000415F9">
        <w:rPr>
          <w:rFonts w:ascii="Calibri" w:eastAsia="Calibri" w:hAnsi="Calibri" w:cs="Times New Roman"/>
        </w:rPr>
        <w:t xml:space="preserve"> referred to as interlocal and </w:t>
      </w:r>
      <w:r w:rsidR="000C0F6B">
        <w:rPr>
          <w:rFonts w:ascii="Calibri" w:eastAsia="Calibri" w:hAnsi="Calibri" w:cs="Times New Roman"/>
        </w:rPr>
        <w:t>intersectoral</w:t>
      </w:r>
      <w:r w:rsidR="000415F9">
        <w:rPr>
          <w:rFonts w:ascii="Calibri" w:eastAsia="Calibri" w:hAnsi="Calibri" w:cs="Times New Roman"/>
        </w:rPr>
        <w:t xml:space="preserve"> joint compliance, respectively.</w:t>
      </w:r>
    </w:p>
    <w:p w14:paraId="468E9940" w14:textId="5FDEF4EB" w:rsidR="00B94000" w:rsidRDefault="00B94000" w:rsidP="00B94000">
      <w:r w:rsidRPr="00047C47">
        <w:t xml:space="preserve">The </w:t>
      </w:r>
      <w:r w:rsidR="00047C47" w:rsidRPr="00047C47">
        <w:t xml:space="preserve">intersectoral </w:t>
      </w:r>
      <w:r w:rsidRPr="00047C47">
        <w:t>joint compliance option is subject to some rule-</w:t>
      </w:r>
      <w:r w:rsidR="002D2017">
        <w:t xml:space="preserve"> and permit-</w:t>
      </w:r>
      <w:r w:rsidRPr="00047C47">
        <w:t xml:space="preserve">based limitations.  Nutrient credit generated by </w:t>
      </w:r>
      <w:r w:rsidR="00047C47" w:rsidRPr="00047C47">
        <w:t>overtreating wastewater</w:t>
      </w:r>
      <w:r w:rsidRPr="00047C47">
        <w:t xml:space="preserve"> may be used toward a local government’s compliance with an existing development rule.  </w:t>
      </w:r>
      <w:r w:rsidR="00F7656A">
        <w:t xml:space="preserve">A local government’s intention to use this option </w:t>
      </w:r>
      <w:r w:rsidR="00E17B87">
        <w:t>must</w:t>
      </w:r>
      <w:r w:rsidR="00F7656A">
        <w:t xml:space="preserve"> be clearly and specifically described in its </w:t>
      </w:r>
      <w:r w:rsidR="002D2017">
        <w:t xml:space="preserve">existing development </w:t>
      </w:r>
      <w:r w:rsidR="00F7656A">
        <w:t xml:space="preserve">program. Then, existing development rule compliance </w:t>
      </w:r>
      <w:r w:rsidR="00E17B87">
        <w:t>may</w:t>
      </w:r>
      <w:r w:rsidR="009E4EE0">
        <w:t xml:space="preserve"> </w:t>
      </w:r>
      <w:r w:rsidR="00F7656A">
        <w:t xml:space="preserve">be </w:t>
      </w:r>
      <w:r w:rsidR="009E4EE0">
        <w:t>demonstrated</w:t>
      </w:r>
      <w:r w:rsidRPr="00047C47">
        <w:t xml:space="preserve"> by reporting overtreatment credits as part of a local government’s annual report. Evaluating the converse scenario, </w:t>
      </w:r>
      <w:r w:rsidR="00047C47" w:rsidRPr="00047C47">
        <w:t xml:space="preserve">wastewater </w:t>
      </w:r>
      <w:r w:rsidRPr="00047C47">
        <w:t xml:space="preserve">permit violations cannot be avoided by purchasing other nutrient reduction credits after an exceedance occurs.  </w:t>
      </w:r>
      <w:r w:rsidR="002D2017">
        <w:t>To avoid penalties, a</w:t>
      </w:r>
      <w:r w:rsidR="002D2017" w:rsidRPr="00047C47">
        <w:t xml:space="preserve"> </w:t>
      </w:r>
      <w:r w:rsidRPr="00047C47">
        <w:t xml:space="preserve">facility at risk of exceedances </w:t>
      </w:r>
      <w:r w:rsidR="002D2017">
        <w:t>must</w:t>
      </w:r>
      <w:r w:rsidR="002D2017" w:rsidRPr="00047C47">
        <w:t xml:space="preserve"> </w:t>
      </w:r>
      <w:r w:rsidRPr="00047C47">
        <w:t>plan to increase its nutrient allocation by purchasing either nutrient allocation or nutrient credits, which may be converted to allocation.</w:t>
      </w:r>
    </w:p>
    <w:p w14:paraId="679A0DE1" w14:textId="4A202A1B" w:rsidR="00B94000" w:rsidRDefault="00047C47" w:rsidP="00424A5F">
      <w:pPr>
        <w:rPr>
          <w:rFonts w:ascii="Calibri" w:eastAsia="Calibri" w:hAnsi="Calibri" w:cs="Times New Roman"/>
        </w:rPr>
      </w:pPr>
      <w:r w:rsidRPr="00424A5F">
        <w:rPr>
          <w:rFonts w:ascii="Calibri" w:eastAsia="Calibri" w:hAnsi="Calibri" w:cs="Times New Roman"/>
        </w:rPr>
        <w:t xml:space="preserve">Importantly, nutrient </w:t>
      </w:r>
      <w:r>
        <w:rPr>
          <w:rFonts w:ascii="Calibri" w:eastAsia="Calibri" w:hAnsi="Calibri" w:cs="Times New Roman"/>
        </w:rPr>
        <w:t xml:space="preserve">credit </w:t>
      </w:r>
      <w:r w:rsidRPr="00424A5F">
        <w:rPr>
          <w:rFonts w:ascii="Calibri" w:eastAsia="Calibri" w:hAnsi="Calibri" w:cs="Times New Roman"/>
        </w:rPr>
        <w:t xml:space="preserve">trading and joint compliance are not mutually exclusive approaches nor are they </w:t>
      </w:r>
      <w:r>
        <w:rPr>
          <w:rFonts w:ascii="Calibri" w:eastAsia="Calibri" w:hAnsi="Calibri" w:cs="Times New Roman"/>
        </w:rPr>
        <w:t xml:space="preserve">directly </w:t>
      </w:r>
      <w:r w:rsidRPr="00424A5F">
        <w:rPr>
          <w:rFonts w:ascii="Calibri" w:eastAsia="Calibri" w:hAnsi="Calibri" w:cs="Times New Roman"/>
        </w:rPr>
        <w:t xml:space="preserve">synonymous.  In each joint compliance scenario described above, regulated parties can demonstrate joint compliance </w:t>
      </w:r>
      <w:r w:rsidR="00C612B4">
        <w:rPr>
          <w:rFonts w:ascii="Calibri" w:eastAsia="Calibri" w:hAnsi="Calibri" w:cs="Times New Roman"/>
        </w:rPr>
        <w:t xml:space="preserve">(from a state regulatory perspective) </w:t>
      </w:r>
      <w:r w:rsidRPr="00424A5F">
        <w:rPr>
          <w:rFonts w:ascii="Calibri" w:eastAsia="Calibri" w:hAnsi="Calibri" w:cs="Times New Roman"/>
        </w:rPr>
        <w:t>without the need to trade</w:t>
      </w:r>
      <w:r w:rsidR="000742F4">
        <w:rPr>
          <w:rFonts w:ascii="Calibri" w:eastAsia="Calibri" w:hAnsi="Calibri" w:cs="Times New Roman"/>
        </w:rPr>
        <w:t xml:space="preserve"> </w:t>
      </w:r>
      <w:r w:rsidR="00C612B4">
        <w:rPr>
          <w:rFonts w:ascii="Calibri" w:eastAsia="Calibri" w:hAnsi="Calibri" w:cs="Times New Roman"/>
        </w:rPr>
        <w:t>credits</w:t>
      </w:r>
      <w:r w:rsidRPr="00424A5F">
        <w:rPr>
          <w:rFonts w:ascii="Calibri" w:eastAsia="Calibri" w:hAnsi="Calibri" w:cs="Times New Roman"/>
        </w:rPr>
        <w:t xml:space="preserve">. </w:t>
      </w:r>
      <w:r w:rsidR="00210BDE">
        <w:rPr>
          <w:rFonts w:ascii="Calibri" w:eastAsia="Calibri" w:hAnsi="Calibri" w:cs="Times New Roman"/>
        </w:rPr>
        <w:t>While nutrient</w:t>
      </w:r>
      <w:r w:rsidR="00210BDE" w:rsidRPr="00424A5F">
        <w:rPr>
          <w:rFonts w:ascii="Calibri" w:eastAsia="Calibri" w:hAnsi="Calibri" w:cs="Times New Roman"/>
        </w:rPr>
        <w:t xml:space="preserve"> </w:t>
      </w:r>
      <w:r>
        <w:rPr>
          <w:rFonts w:ascii="Calibri" w:eastAsia="Calibri" w:hAnsi="Calibri" w:cs="Times New Roman"/>
        </w:rPr>
        <w:t xml:space="preserve">reduction </w:t>
      </w:r>
      <w:r w:rsidRPr="00424A5F">
        <w:rPr>
          <w:rFonts w:ascii="Calibri" w:eastAsia="Calibri" w:hAnsi="Calibri" w:cs="Times New Roman"/>
        </w:rPr>
        <w:t>credit</w:t>
      </w:r>
      <w:r w:rsidR="000742F4">
        <w:rPr>
          <w:rFonts w:ascii="Calibri" w:eastAsia="Calibri" w:hAnsi="Calibri" w:cs="Times New Roman"/>
        </w:rPr>
        <w:t xml:space="preserve"> trades</w:t>
      </w:r>
      <w:r w:rsidRPr="00424A5F">
        <w:rPr>
          <w:rFonts w:ascii="Calibri" w:eastAsia="Calibri" w:hAnsi="Calibri" w:cs="Times New Roman"/>
        </w:rPr>
        <w:t xml:space="preserve"> </w:t>
      </w:r>
      <w:r w:rsidR="00863B05">
        <w:rPr>
          <w:rFonts w:ascii="Calibri" w:eastAsia="Calibri" w:hAnsi="Calibri" w:cs="Times New Roman"/>
        </w:rPr>
        <w:t xml:space="preserve">can </w:t>
      </w:r>
      <w:r w:rsidRPr="00424A5F">
        <w:rPr>
          <w:rFonts w:ascii="Calibri" w:eastAsia="Calibri" w:hAnsi="Calibri" w:cs="Times New Roman"/>
        </w:rPr>
        <w:t xml:space="preserve">provide a </w:t>
      </w:r>
      <w:r>
        <w:rPr>
          <w:rFonts w:ascii="Calibri" w:eastAsia="Calibri" w:hAnsi="Calibri" w:cs="Times New Roman"/>
        </w:rPr>
        <w:t xml:space="preserve">reliable </w:t>
      </w:r>
      <w:r w:rsidRPr="00424A5F">
        <w:rPr>
          <w:rFonts w:ascii="Calibri" w:eastAsia="Calibri" w:hAnsi="Calibri" w:cs="Times New Roman"/>
        </w:rPr>
        <w:t>option for these parties to equitably exchange credits among themselves</w:t>
      </w:r>
      <w:r w:rsidR="00210BDE">
        <w:rPr>
          <w:rFonts w:ascii="Calibri" w:eastAsia="Calibri" w:hAnsi="Calibri" w:cs="Times New Roman"/>
        </w:rPr>
        <w:t xml:space="preserve">, they may instead or in addition </w:t>
      </w:r>
      <w:r w:rsidR="000742F4">
        <w:rPr>
          <w:rFonts w:ascii="Calibri" w:eastAsia="Calibri" w:hAnsi="Calibri" w:cs="Times New Roman"/>
        </w:rPr>
        <w:t>wish to negotiate terms contractually</w:t>
      </w:r>
      <w:r w:rsidR="00E47007">
        <w:rPr>
          <w:rFonts w:ascii="Calibri" w:eastAsia="Calibri" w:hAnsi="Calibri" w:cs="Times New Roman"/>
        </w:rPr>
        <w:t>. This arrangement is exemplified by</w:t>
      </w:r>
      <w:r w:rsidR="000742F4">
        <w:rPr>
          <w:rFonts w:ascii="Calibri" w:eastAsia="Calibri" w:hAnsi="Calibri" w:cs="Times New Roman"/>
        </w:rPr>
        <w:t xml:space="preserve"> the informal allocation trading that presently occurs within compliance associations. </w:t>
      </w:r>
      <w:r>
        <w:rPr>
          <w:rFonts w:ascii="Calibri" w:eastAsia="Calibri" w:hAnsi="Calibri" w:cs="Times New Roman"/>
        </w:rPr>
        <w:t>Thus, nutrient credit</w:t>
      </w:r>
      <w:r w:rsidR="000742F4">
        <w:rPr>
          <w:rFonts w:ascii="Calibri" w:eastAsia="Calibri" w:hAnsi="Calibri" w:cs="Times New Roman"/>
        </w:rPr>
        <w:t xml:space="preserve"> trading</w:t>
      </w:r>
      <w:r>
        <w:rPr>
          <w:rFonts w:ascii="Calibri" w:eastAsia="Calibri" w:hAnsi="Calibri" w:cs="Times New Roman"/>
        </w:rPr>
        <w:t xml:space="preserve"> </w:t>
      </w:r>
      <w:r w:rsidR="00D36E19">
        <w:rPr>
          <w:rFonts w:ascii="Calibri" w:eastAsia="Calibri" w:hAnsi="Calibri" w:cs="Times New Roman"/>
        </w:rPr>
        <w:t>is</w:t>
      </w:r>
      <w:r>
        <w:rPr>
          <w:rFonts w:ascii="Calibri" w:eastAsia="Calibri" w:hAnsi="Calibri" w:cs="Times New Roman"/>
        </w:rPr>
        <w:t xml:space="preserve"> a desirable </w:t>
      </w:r>
      <w:r w:rsidR="000742F4">
        <w:rPr>
          <w:rFonts w:ascii="Calibri" w:eastAsia="Calibri" w:hAnsi="Calibri" w:cs="Times New Roman"/>
        </w:rPr>
        <w:t xml:space="preserve">but optional </w:t>
      </w:r>
      <w:r>
        <w:rPr>
          <w:rFonts w:ascii="Calibri" w:eastAsia="Calibri" w:hAnsi="Calibri" w:cs="Times New Roman"/>
        </w:rPr>
        <w:t>feature to support joint compliance</w:t>
      </w:r>
      <w:r w:rsidR="000742F4">
        <w:rPr>
          <w:rFonts w:ascii="Calibri" w:eastAsia="Calibri" w:hAnsi="Calibri" w:cs="Times New Roman"/>
        </w:rPr>
        <w:t>.</w:t>
      </w:r>
    </w:p>
    <w:p w14:paraId="1C136494" w14:textId="3DC44C24" w:rsidR="00424A5F" w:rsidRPr="000742F4" w:rsidRDefault="00424A5F" w:rsidP="002323CD">
      <w:pPr>
        <w:pStyle w:val="Heading3"/>
        <w:rPr>
          <w:rFonts w:eastAsia="Times New Roman"/>
          <w:color w:val="0B3C61" w:themeColor="accent1"/>
        </w:rPr>
      </w:pPr>
      <w:bookmarkStart w:id="31" w:name="_Toc491352616"/>
      <w:bookmarkStart w:id="32" w:name="_Toc491436815"/>
      <w:bookmarkStart w:id="33" w:name="_Toc492020020"/>
      <w:r w:rsidRPr="000742F4">
        <w:rPr>
          <w:rFonts w:eastAsia="Times New Roman"/>
          <w:color w:val="0B3C61" w:themeColor="accent1"/>
        </w:rPr>
        <w:t xml:space="preserve">Anticipated Trading </w:t>
      </w:r>
      <w:bookmarkEnd w:id="31"/>
      <w:bookmarkEnd w:id="32"/>
      <w:r w:rsidR="006838EF">
        <w:rPr>
          <w:rFonts w:eastAsia="Times New Roman"/>
          <w:color w:val="0B3C61" w:themeColor="accent1"/>
        </w:rPr>
        <w:t>Needs</w:t>
      </w:r>
      <w:bookmarkEnd w:id="33"/>
    </w:p>
    <w:p w14:paraId="2F065490" w14:textId="75BFD964" w:rsidR="00424A5F" w:rsidRPr="00424A5F" w:rsidRDefault="00424A5F" w:rsidP="00424A5F">
      <w:pPr>
        <w:rPr>
          <w:rFonts w:ascii="Calibri" w:eastAsia="Calibri" w:hAnsi="Calibri" w:cs="Times New Roman"/>
        </w:rPr>
      </w:pPr>
      <w:r w:rsidRPr="00424A5F">
        <w:rPr>
          <w:rFonts w:ascii="Calibri" w:eastAsia="Calibri" w:hAnsi="Calibri" w:cs="Times New Roman"/>
        </w:rPr>
        <w:t xml:space="preserve">Regulatory structure and market forces will eventually dictate the direction and volume of nutrient credit trading among parties.  </w:t>
      </w:r>
      <w:r w:rsidR="00DA671F">
        <w:rPr>
          <w:rFonts w:ascii="Calibri" w:eastAsia="Calibri" w:hAnsi="Calibri" w:cs="Times New Roman"/>
        </w:rPr>
        <w:t>In the meantime,</w:t>
      </w:r>
      <w:r w:rsidRPr="00424A5F">
        <w:rPr>
          <w:rFonts w:ascii="Calibri" w:eastAsia="Calibri" w:hAnsi="Calibri" w:cs="Times New Roman"/>
        </w:rPr>
        <w:t xml:space="preserve"> the design of a trading framework</w:t>
      </w:r>
      <w:r w:rsidR="00DA671F">
        <w:rPr>
          <w:rFonts w:ascii="Calibri" w:eastAsia="Calibri" w:hAnsi="Calibri" w:cs="Times New Roman"/>
        </w:rPr>
        <w:t xml:space="preserve"> needs to anticipate</w:t>
      </w:r>
      <w:r w:rsidRPr="00424A5F">
        <w:rPr>
          <w:rFonts w:ascii="Calibri" w:eastAsia="Calibri" w:hAnsi="Calibri" w:cs="Times New Roman"/>
        </w:rPr>
        <w:t xml:space="preserve"> the most likely types of trades.  Consideration must also be given to the market drivers for those trades, including the allocation of regulatory obligations among trading market participants.</w:t>
      </w:r>
    </w:p>
    <w:p w14:paraId="6E35D132" w14:textId="525FAE4C" w:rsidR="0091508E" w:rsidRDefault="00424A5F" w:rsidP="00424A5F">
      <w:pPr>
        <w:rPr>
          <w:rFonts w:ascii="Calibri" w:eastAsia="Calibri" w:hAnsi="Calibri" w:cs="Times New Roman"/>
        </w:rPr>
      </w:pPr>
      <w:r w:rsidRPr="00424A5F">
        <w:rPr>
          <w:rFonts w:ascii="Calibri" w:eastAsia="Calibri" w:hAnsi="Calibri" w:cs="Times New Roman"/>
        </w:rPr>
        <w:t xml:space="preserve">Nationally, most trading programs </w:t>
      </w:r>
      <w:r w:rsidR="00CE78BD">
        <w:rPr>
          <w:rFonts w:ascii="Calibri" w:eastAsia="Calibri" w:hAnsi="Calibri" w:cs="Times New Roman"/>
        </w:rPr>
        <w:t>proceed upon the paradigm that</w:t>
      </w:r>
      <w:r w:rsidRPr="00424A5F">
        <w:rPr>
          <w:rFonts w:ascii="Calibri" w:eastAsia="Calibri" w:hAnsi="Calibri" w:cs="Times New Roman"/>
        </w:rPr>
        <w:t xml:space="preserve"> point sources a</w:t>
      </w:r>
      <w:r w:rsidR="00CE78BD">
        <w:rPr>
          <w:rFonts w:ascii="Calibri" w:eastAsia="Calibri" w:hAnsi="Calibri" w:cs="Times New Roman"/>
        </w:rPr>
        <w:t>re</w:t>
      </w:r>
      <w:r w:rsidRPr="00424A5F">
        <w:rPr>
          <w:rFonts w:ascii="Calibri" w:eastAsia="Calibri" w:hAnsi="Calibri" w:cs="Times New Roman"/>
        </w:rPr>
        <w:t xml:space="preserve"> the primary buyers of nutrient credit.  Sellers are typically other point sources or agricultural producers that can generate nutrient reductions beyond regulatory requirements at lower cost than the credit purchaser.</w:t>
      </w:r>
      <w:r w:rsidR="00257AE7">
        <w:rPr>
          <w:rFonts w:ascii="Calibri" w:eastAsia="Calibri" w:hAnsi="Calibri" w:cs="Times New Roman"/>
        </w:rPr>
        <w:t xml:space="preserve">  The</w:t>
      </w:r>
      <w:r w:rsidR="00CE78BD">
        <w:rPr>
          <w:rFonts w:ascii="Calibri" w:eastAsia="Calibri" w:hAnsi="Calibri" w:cs="Times New Roman"/>
        </w:rPr>
        <w:t xml:space="preserve"> recently published</w:t>
      </w:r>
      <w:r w:rsidR="00257AE7">
        <w:rPr>
          <w:rFonts w:ascii="Calibri" w:eastAsia="Calibri" w:hAnsi="Calibri" w:cs="Times New Roman"/>
        </w:rPr>
        <w:t xml:space="preserve"> </w:t>
      </w:r>
      <w:r w:rsidR="00CE78BD">
        <w:rPr>
          <w:rFonts w:ascii="Calibri" w:eastAsia="Calibri" w:hAnsi="Calibri" w:cs="Times New Roman"/>
        </w:rPr>
        <w:t>Water Quality Trading Toolkit, presented as a nationwide model for trading program development, reflects this general approach.</w:t>
      </w:r>
      <w:r w:rsidR="00CE78BD">
        <w:rPr>
          <w:rStyle w:val="FootnoteReference"/>
          <w:rFonts w:ascii="Calibri" w:eastAsia="Calibri" w:hAnsi="Calibri" w:cs="Times New Roman"/>
        </w:rPr>
        <w:footnoteReference w:id="12"/>
      </w:r>
      <w:r w:rsidR="00CE78BD">
        <w:rPr>
          <w:rFonts w:ascii="Calibri" w:eastAsia="Calibri" w:hAnsi="Calibri" w:cs="Times New Roman"/>
        </w:rPr>
        <w:t xml:space="preserve">  </w:t>
      </w:r>
      <w:r w:rsidR="0091508E">
        <w:rPr>
          <w:rFonts w:ascii="Calibri" w:eastAsia="Calibri" w:hAnsi="Calibri" w:cs="Times New Roman"/>
        </w:rPr>
        <w:t>National guidance documents and comparative program analyses have provided many helpful insights in the development of this document.  Yet w</w:t>
      </w:r>
      <w:r w:rsidR="00804108">
        <w:rPr>
          <w:rFonts w:ascii="Calibri" w:eastAsia="Calibri" w:hAnsi="Calibri" w:cs="Times New Roman"/>
        </w:rPr>
        <w:t xml:space="preserve">hile </w:t>
      </w:r>
      <w:r w:rsidR="0091508E">
        <w:rPr>
          <w:rFonts w:ascii="Calibri" w:eastAsia="Calibri" w:hAnsi="Calibri" w:cs="Times New Roman"/>
        </w:rPr>
        <w:t xml:space="preserve">many </w:t>
      </w:r>
      <w:r w:rsidR="00804108">
        <w:rPr>
          <w:rFonts w:ascii="Calibri" w:eastAsia="Calibri" w:hAnsi="Calibri" w:cs="Times New Roman"/>
        </w:rPr>
        <w:t xml:space="preserve">important similarities exist, </w:t>
      </w:r>
      <w:r w:rsidR="00A45634">
        <w:rPr>
          <w:rFonts w:ascii="Calibri" w:eastAsia="Calibri" w:hAnsi="Calibri" w:cs="Times New Roman"/>
        </w:rPr>
        <w:t xml:space="preserve">North Carolina’s nutrient management strategies diverge </w:t>
      </w:r>
      <w:r w:rsidR="00804108">
        <w:rPr>
          <w:rFonts w:ascii="Calibri" w:eastAsia="Calibri" w:hAnsi="Calibri" w:cs="Times New Roman"/>
        </w:rPr>
        <w:t xml:space="preserve">somewhat </w:t>
      </w:r>
      <w:r w:rsidR="00A45634">
        <w:rPr>
          <w:rFonts w:ascii="Calibri" w:eastAsia="Calibri" w:hAnsi="Calibri" w:cs="Times New Roman"/>
        </w:rPr>
        <w:t xml:space="preserve">from the national model.  </w:t>
      </w:r>
    </w:p>
    <w:p w14:paraId="4799AA91" w14:textId="03BDBE0E" w:rsidR="00424A5F" w:rsidRPr="00424A5F" w:rsidRDefault="0091508E" w:rsidP="00424A5F">
      <w:pPr>
        <w:rPr>
          <w:rFonts w:ascii="Calibri" w:eastAsia="Calibri" w:hAnsi="Calibri" w:cs="Times New Roman"/>
        </w:rPr>
      </w:pPr>
      <w:r>
        <w:rPr>
          <w:rFonts w:ascii="Calibri" w:eastAsia="Calibri" w:hAnsi="Calibri" w:cs="Times New Roman"/>
        </w:rPr>
        <w:t>A key difference is the ability for North Carolina’s</w:t>
      </w:r>
      <w:r w:rsidR="005B5887">
        <w:rPr>
          <w:rFonts w:ascii="Calibri" w:eastAsia="Calibri" w:hAnsi="Calibri" w:cs="Times New Roman"/>
        </w:rPr>
        <w:t xml:space="preserve"> </w:t>
      </w:r>
      <w:r>
        <w:rPr>
          <w:rFonts w:ascii="Calibri" w:eastAsia="Calibri" w:hAnsi="Calibri" w:cs="Times New Roman"/>
        </w:rPr>
        <w:t xml:space="preserve">new development and existing development rules to serve as additional </w:t>
      </w:r>
      <w:r w:rsidR="005B5887">
        <w:rPr>
          <w:rFonts w:ascii="Calibri" w:eastAsia="Calibri" w:hAnsi="Calibri" w:cs="Times New Roman"/>
        </w:rPr>
        <w:t>market drivers for nonpoint source</w:t>
      </w:r>
      <w:r>
        <w:rPr>
          <w:rFonts w:ascii="Calibri" w:eastAsia="Calibri" w:hAnsi="Calibri" w:cs="Times New Roman"/>
        </w:rPr>
        <w:t xml:space="preserve"> trading</w:t>
      </w:r>
      <w:r w:rsidR="005B5887">
        <w:rPr>
          <w:rFonts w:ascii="Calibri" w:eastAsia="Calibri" w:hAnsi="Calibri" w:cs="Times New Roman"/>
        </w:rPr>
        <w:t>.</w:t>
      </w:r>
      <w:r>
        <w:rPr>
          <w:rFonts w:ascii="Calibri" w:eastAsia="Calibri" w:hAnsi="Calibri" w:cs="Times New Roman"/>
        </w:rPr>
        <w:t xml:space="preserve">  In the near term</w:t>
      </w:r>
      <w:r w:rsidR="00424A5F" w:rsidRPr="00424A5F">
        <w:rPr>
          <w:rFonts w:ascii="Calibri" w:eastAsia="Calibri" w:hAnsi="Calibri" w:cs="Times New Roman"/>
        </w:rPr>
        <w:t>, the most likely credit purchasers are parties regulated under new d</w:t>
      </w:r>
      <w:r w:rsidR="00EA6CE8">
        <w:rPr>
          <w:rFonts w:ascii="Calibri" w:eastAsia="Calibri" w:hAnsi="Calibri" w:cs="Times New Roman"/>
        </w:rPr>
        <w:t xml:space="preserve">evelopment </w:t>
      </w:r>
      <w:r w:rsidR="005B5887">
        <w:rPr>
          <w:rFonts w:ascii="Calibri" w:eastAsia="Calibri" w:hAnsi="Calibri" w:cs="Times New Roman"/>
        </w:rPr>
        <w:t xml:space="preserve">(developers) </w:t>
      </w:r>
      <w:r w:rsidR="00EA6CE8">
        <w:rPr>
          <w:rFonts w:ascii="Calibri" w:eastAsia="Calibri" w:hAnsi="Calibri" w:cs="Times New Roman"/>
        </w:rPr>
        <w:t xml:space="preserve">and </w:t>
      </w:r>
      <w:r w:rsidR="00424A5F" w:rsidRPr="00424A5F">
        <w:rPr>
          <w:rFonts w:ascii="Calibri" w:eastAsia="Calibri" w:hAnsi="Calibri" w:cs="Times New Roman"/>
        </w:rPr>
        <w:t>existing development</w:t>
      </w:r>
      <w:r w:rsidR="005B5887">
        <w:rPr>
          <w:rFonts w:ascii="Calibri" w:eastAsia="Calibri" w:hAnsi="Calibri" w:cs="Times New Roman"/>
        </w:rPr>
        <w:t xml:space="preserve"> </w:t>
      </w:r>
      <w:r w:rsidR="00EA6CE8">
        <w:rPr>
          <w:rFonts w:ascii="Calibri" w:eastAsia="Calibri" w:hAnsi="Calibri" w:cs="Times New Roman"/>
        </w:rPr>
        <w:t>rules</w:t>
      </w:r>
      <w:r w:rsidR="005B5887">
        <w:rPr>
          <w:rFonts w:ascii="Calibri" w:eastAsia="Calibri" w:hAnsi="Calibri" w:cs="Times New Roman"/>
        </w:rPr>
        <w:t xml:space="preserve"> (local governments)</w:t>
      </w:r>
      <w:r w:rsidR="00EA6CE8">
        <w:rPr>
          <w:rFonts w:ascii="Calibri" w:eastAsia="Calibri" w:hAnsi="Calibri" w:cs="Times New Roman"/>
        </w:rPr>
        <w:t xml:space="preserve">. </w:t>
      </w:r>
      <w:r w:rsidR="00424A5F" w:rsidRPr="00424A5F">
        <w:rPr>
          <w:rFonts w:ascii="Calibri" w:eastAsia="Calibri" w:hAnsi="Calibri" w:cs="Times New Roman"/>
        </w:rPr>
        <w:t xml:space="preserve"> </w:t>
      </w:r>
      <w:r w:rsidR="00EA6CE8">
        <w:rPr>
          <w:rFonts w:ascii="Calibri" w:eastAsia="Calibri" w:hAnsi="Calibri" w:cs="Times New Roman"/>
        </w:rPr>
        <w:t xml:space="preserve">Point sources </w:t>
      </w:r>
      <w:r w:rsidR="00DA671F">
        <w:rPr>
          <w:rFonts w:ascii="Calibri" w:eastAsia="Calibri" w:hAnsi="Calibri" w:cs="Times New Roman"/>
        </w:rPr>
        <w:t>may also</w:t>
      </w:r>
      <w:r w:rsidR="00EA6CE8">
        <w:rPr>
          <w:rFonts w:ascii="Calibri" w:eastAsia="Calibri" w:hAnsi="Calibri" w:cs="Times New Roman"/>
        </w:rPr>
        <w:t xml:space="preserve"> </w:t>
      </w:r>
      <w:r w:rsidR="00C53BD9">
        <w:rPr>
          <w:rFonts w:ascii="Calibri" w:eastAsia="Calibri" w:hAnsi="Calibri" w:cs="Times New Roman"/>
        </w:rPr>
        <w:t xml:space="preserve">eventually </w:t>
      </w:r>
      <w:r w:rsidR="00DA671F">
        <w:rPr>
          <w:rFonts w:ascii="Calibri" w:eastAsia="Calibri" w:hAnsi="Calibri" w:cs="Times New Roman"/>
        </w:rPr>
        <w:t xml:space="preserve">become </w:t>
      </w:r>
      <w:r w:rsidR="00EA6CE8">
        <w:rPr>
          <w:rFonts w:ascii="Calibri" w:eastAsia="Calibri" w:hAnsi="Calibri" w:cs="Times New Roman"/>
        </w:rPr>
        <w:t>buyers of credit, but</w:t>
      </w:r>
      <w:r w:rsidR="00C53BD9">
        <w:rPr>
          <w:rFonts w:ascii="Calibri" w:eastAsia="Calibri" w:hAnsi="Calibri" w:cs="Times New Roman"/>
        </w:rPr>
        <w:t xml:space="preserve"> presently most large facilities and compliance associations appear to be operating comfortably within their nutrient allocations.  </w:t>
      </w:r>
      <w:r w:rsidR="00424A5F" w:rsidRPr="00424A5F">
        <w:rPr>
          <w:rFonts w:ascii="Calibri" w:eastAsia="Calibri" w:hAnsi="Calibri" w:cs="Times New Roman"/>
        </w:rPr>
        <w:t xml:space="preserve">New development and point source markets are in place and described above.  Existing development rules are still in early implementation stages in the Jordan and Falls watersheds, but local governments subject to these rules are </w:t>
      </w:r>
      <w:r w:rsidR="006838EF">
        <w:rPr>
          <w:rFonts w:ascii="Calibri" w:eastAsia="Calibri" w:hAnsi="Calibri" w:cs="Times New Roman"/>
        </w:rPr>
        <w:t>likely</w:t>
      </w:r>
      <w:r w:rsidR="006838EF" w:rsidRPr="00424A5F">
        <w:rPr>
          <w:rFonts w:ascii="Calibri" w:eastAsia="Calibri" w:hAnsi="Calibri" w:cs="Times New Roman"/>
        </w:rPr>
        <w:t xml:space="preserve"> </w:t>
      </w:r>
      <w:r w:rsidR="00424A5F" w:rsidRPr="00424A5F">
        <w:rPr>
          <w:rFonts w:ascii="Calibri" w:eastAsia="Calibri" w:hAnsi="Calibri" w:cs="Times New Roman"/>
        </w:rPr>
        <w:t xml:space="preserve">to seek offset or exchange credits from as many sources as </w:t>
      </w:r>
      <w:r w:rsidR="00DA671F">
        <w:rPr>
          <w:rFonts w:ascii="Calibri" w:eastAsia="Calibri" w:hAnsi="Calibri" w:cs="Times New Roman"/>
        </w:rPr>
        <w:t>can offer cost-effective options</w:t>
      </w:r>
      <w:r w:rsidR="00424A5F" w:rsidRPr="00424A5F">
        <w:rPr>
          <w:rFonts w:ascii="Calibri" w:eastAsia="Calibri" w:hAnsi="Calibri" w:cs="Times New Roman"/>
        </w:rPr>
        <w:t>.</w:t>
      </w:r>
    </w:p>
    <w:p w14:paraId="6D31608E" w14:textId="6103EB61" w:rsidR="00424A5F" w:rsidRPr="00424A5F" w:rsidRDefault="00424A5F" w:rsidP="00424A5F">
      <w:pPr>
        <w:autoSpaceDE w:val="0"/>
        <w:autoSpaceDN w:val="0"/>
        <w:adjustRightInd w:val="0"/>
        <w:rPr>
          <w:rFonts w:ascii="Calibri" w:eastAsia="Calibri" w:hAnsi="Calibri" w:cs="Times New Roman"/>
        </w:rPr>
      </w:pPr>
      <w:r w:rsidRPr="00424A5F">
        <w:rPr>
          <w:rFonts w:ascii="Calibri" w:eastAsia="Calibri" w:hAnsi="Calibri" w:cs="Calibri"/>
        </w:rPr>
        <w:t xml:space="preserve">Net credit generators and sellers are envisioned to be private parties, agricultural operators, and local governments.  </w:t>
      </w:r>
      <w:r w:rsidR="00C53BD9">
        <w:rPr>
          <w:rFonts w:ascii="Calibri" w:eastAsia="Calibri" w:hAnsi="Calibri" w:cs="Calibri"/>
        </w:rPr>
        <w:t xml:space="preserve">Point sources with surplus allocation (at present) may also be interested in temporarily converting allocation into nutrient credit. </w:t>
      </w:r>
      <w:r w:rsidRPr="00424A5F">
        <w:rPr>
          <w:rFonts w:ascii="Calibri" w:eastAsia="Calibri" w:hAnsi="Calibri" w:cs="Calibri"/>
        </w:rPr>
        <w:t xml:space="preserve">As DWR expands its list of approved nutrient reduction practices, these parties and others will have new opportunities to engage in the nutrient market.  Private individuals or corporations may be able to opportunistically generate nutrient credits on their land either through direct market engagement or by participating in local government programs.  Local governments </w:t>
      </w:r>
      <w:r w:rsidR="005B5887">
        <w:rPr>
          <w:rFonts w:ascii="Calibri" w:eastAsia="Calibri" w:hAnsi="Calibri" w:cs="Calibri"/>
        </w:rPr>
        <w:t>will</w:t>
      </w:r>
      <w:r w:rsidRPr="00424A5F">
        <w:rPr>
          <w:rFonts w:ascii="Calibri" w:eastAsia="Calibri" w:hAnsi="Calibri" w:cs="Calibri"/>
        </w:rPr>
        <w:t xml:space="preserve"> undertake </w:t>
      </w:r>
      <w:r w:rsidR="005B5887">
        <w:rPr>
          <w:rFonts w:ascii="Calibri" w:eastAsia="Calibri" w:hAnsi="Calibri" w:cs="Calibri"/>
        </w:rPr>
        <w:t xml:space="preserve">nutrient reduction </w:t>
      </w:r>
      <w:r w:rsidRPr="00424A5F">
        <w:rPr>
          <w:rFonts w:ascii="Calibri" w:eastAsia="Calibri" w:hAnsi="Calibri" w:cs="Calibri"/>
        </w:rPr>
        <w:t>projects on public lands within their jurisdictions</w:t>
      </w:r>
      <w:r w:rsidR="005B5887">
        <w:rPr>
          <w:rFonts w:ascii="Calibri" w:eastAsia="Calibri" w:hAnsi="Calibri" w:cs="Calibri"/>
        </w:rPr>
        <w:t>, and some may be able to generate a surplus available for trading</w:t>
      </w:r>
      <w:r w:rsidRPr="00424A5F">
        <w:rPr>
          <w:rFonts w:ascii="Calibri" w:eastAsia="Calibri" w:hAnsi="Calibri" w:cs="Calibri"/>
        </w:rPr>
        <w:t xml:space="preserve">.  Agricultural producers can also generate new credits, but </w:t>
      </w:r>
      <w:r w:rsidR="00A9620B">
        <w:rPr>
          <w:rFonts w:ascii="Calibri" w:eastAsia="Calibri" w:hAnsi="Calibri" w:cs="Calibri"/>
        </w:rPr>
        <w:t xml:space="preserve">they </w:t>
      </w:r>
      <w:r w:rsidRPr="00424A5F">
        <w:rPr>
          <w:rFonts w:ascii="Calibri" w:eastAsia="Calibri" w:hAnsi="Calibri" w:cs="Calibri"/>
        </w:rPr>
        <w:t xml:space="preserve">are also subject to strategy-specific agricultural regulations.  Existing challenges to engaging the agricultural sector are discussed further </w:t>
      </w:r>
      <w:r w:rsidRPr="0032199B">
        <w:rPr>
          <w:rFonts w:ascii="Calibri" w:eastAsia="Calibri" w:hAnsi="Calibri" w:cs="Calibri"/>
        </w:rPr>
        <w:t xml:space="preserve">on page </w:t>
      </w:r>
      <w:r w:rsidR="00EC27A9" w:rsidRPr="0032199B">
        <w:rPr>
          <w:rFonts w:ascii="Calibri" w:eastAsia="Calibri" w:hAnsi="Calibri" w:cs="Calibri"/>
        </w:rPr>
        <w:t>1</w:t>
      </w:r>
      <w:r w:rsidR="00123F2A" w:rsidRPr="00770FC4">
        <w:rPr>
          <w:rFonts w:ascii="Calibri" w:eastAsia="Calibri" w:hAnsi="Calibri" w:cs="Calibri"/>
        </w:rPr>
        <w:t>4</w:t>
      </w:r>
      <w:r w:rsidR="00EC27A9" w:rsidRPr="0032199B">
        <w:rPr>
          <w:rFonts w:ascii="Calibri" w:eastAsia="Calibri" w:hAnsi="Calibri" w:cs="Calibri"/>
        </w:rPr>
        <w:t>.</w:t>
      </w:r>
    </w:p>
    <w:p w14:paraId="1A52064C" w14:textId="77777777" w:rsidR="00255FE6" w:rsidRDefault="00255FE6">
      <w:pPr>
        <w:rPr>
          <w:rFonts w:ascii="Calibri" w:eastAsia="Times New Roman" w:hAnsi="Calibri" w:cs="Times New Roman"/>
          <w:color w:val="789B4A" w:themeColor="accent2"/>
          <w:sz w:val="28"/>
          <w:szCs w:val="28"/>
        </w:rPr>
      </w:pPr>
      <w:r>
        <w:rPr>
          <w:rFonts w:ascii="Calibri" w:eastAsia="Times New Roman" w:hAnsi="Calibri" w:cs="Times New Roman"/>
          <w:color w:val="789B4A" w:themeColor="accent2"/>
          <w:sz w:val="28"/>
          <w:szCs w:val="28"/>
        </w:rPr>
        <w:br w:type="page"/>
      </w:r>
    </w:p>
    <w:p w14:paraId="57C85BDD" w14:textId="77777777" w:rsidR="002323CD" w:rsidRPr="002323CD" w:rsidRDefault="002323CD" w:rsidP="002323CD">
      <w:pPr>
        <w:keepNext/>
        <w:keepLines/>
        <w:spacing w:before="80" w:after="0" w:line="240" w:lineRule="auto"/>
        <w:outlineLvl w:val="1"/>
        <w:rPr>
          <w:rFonts w:ascii="Calibri" w:eastAsia="Times New Roman" w:hAnsi="Calibri" w:cs="Times New Roman"/>
          <w:color w:val="00616B"/>
          <w:sz w:val="28"/>
          <w:szCs w:val="28"/>
        </w:rPr>
      </w:pPr>
      <w:bookmarkStart w:id="34" w:name="_Toc491352617"/>
      <w:bookmarkStart w:id="35" w:name="_Toc491436816"/>
      <w:bookmarkStart w:id="36" w:name="_Toc492020021"/>
      <w:r w:rsidRPr="00595EE2">
        <w:rPr>
          <w:rFonts w:ascii="Calibri" w:eastAsia="Times New Roman" w:hAnsi="Calibri" w:cs="Times New Roman"/>
          <w:color w:val="789B4A" w:themeColor="accent2"/>
          <w:sz w:val="28"/>
          <w:szCs w:val="28"/>
        </w:rPr>
        <w:t>Mechanisms for Trading: Existing and Proposed</w:t>
      </w:r>
      <w:bookmarkEnd w:id="34"/>
      <w:bookmarkEnd w:id="35"/>
      <w:bookmarkEnd w:id="36"/>
    </w:p>
    <w:p w14:paraId="3C790759" w14:textId="77777777" w:rsidR="00424A5F" w:rsidRPr="000742F4" w:rsidRDefault="00424A5F" w:rsidP="002323CD">
      <w:pPr>
        <w:pStyle w:val="Heading3"/>
        <w:rPr>
          <w:rFonts w:eastAsia="Times New Roman"/>
          <w:color w:val="0B3C61" w:themeColor="accent1"/>
        </w:rPr>
      </w:pPr>
      <w:bookmarkStart w:id="37" w:name="_Toc491352618"/>
      <w:bookmarkStart w:id="38" w:name="_Toc491436817"/>
      <w:bookmarkStart w:id="39" w:name="_Toc492020022"/>
      <w:r w:rsidRPr="000742F4">
        <w:rPr>
          <w:rFonts w:eastAsia="Times New Roman"/>
          <w:color w:val="0B3C61" w:themeColor="accent1"/>
        </w:rPr>
        <w:t>Generating Credit</w:t>
      </w:r>
      <w:bookmarkEnd w:id="37"/>
      <w:bookmarkEnd w:id="38"/>
      <w:bookmarkEnd w:id="39"/>
    </w:p>
    <w:p w14:paraId="0A1BC7EA" w14:textId="2130BFFB" w:rsidR="001F0F16" w:rsidRDefault="00357E5F" w:rsidP="00424A5F">
      <w:pPr>
        <w:autoSpaceDE w:val="0"/>
        <w:autoSpaceDN w:val="0"/>
        <w:adjustRightInd w:val="0"/>
        <w:rPr>
          <w:rFonts w:ascii="Calibri" w:eastAsia="Calibri" w:hAnsi="Calibri" w:cs="Calibri"/>
        </w:rPr>
      </w:pPr>
      <w:r>
        <w:rPr>
          <w:rFonts w:ascii="Calibri" w:eastAsia="Calibri" w:hAnsi="Calibri" w:cs="Calibri"/>
        </w:rPr>
        <w:t>Credit generation generally describes the process of creating and docu</w:t>
      </w:r>
      <w:r w:rsidR="00AF012E">
        <w:rPr>
          <w:rFonts w:ascii="Calibri" w:eastAsia="Calibri" w:hAnsi="Calibri" w:cs="Calibri"/>
        </w:rPr>
        <w:t>menting nutrient load reduction</w:t>
      </w:r>
      <w:r w:rsidR="005B5887">
        <w:rPr>
          <w:rFonts w:ascii="Calibri" w:eastAsia="Calibri" w:hAnsi="Calibri" w:cs="Calibri"/>
        </w:rPr>
        <w:t>s</w:t>
      </w:r>
      <w:r w:rsidR="00AF012E">
        <w:rPr>
          <w:rFonts w:ascii="Calibri" w:eastAsia="Calibri" w:hAnsi="Calibri" w:cs="Calibri"/>
        </w:rPr>
        <w:t xml:space="preserve"> in compliance with a nutrient strategy</w:t>
      </w:r>
      <w:r>
        <w:rPr>
          <w:rFonts w:ascii="Calibri" w:eastAsia="Calibri" w:hAnsi="Calibri" w:cs="Calibri"/>
        </w:rPr>
        <w:t xml:space="preserve">.  Once credit is generated, it may be used for compliance purposes by the party that generated it.  </w:t>
      </w:r>
      <w:r w:rsidR="001F0F16">
        <w:rPr>
          <w:rFonts w:ascii="Calibri" w:eastAsia="Calibri" w:hAnsi="Calibri" w:cs="Calibri"/>
        </w:rPr>
        <w:t xml:space="preserve">In the near term, </w:t>
      </w:r>
      <w:r w:rsidR="00AF012E">
        <w:rPr>
          <w:rFonts w:ascii="Calibri" w:eastAsia="Calibri" w:hAnsi="Calibri" w:cs="Calibri"/>
        </w:rPr>
        <w:t>except for</w:t>
      </w:r>
      <w:r w:rsidR="001F0F16">
        <w:rPr>
          <w:rFonts w:ascii="Calibri" w:eastAsia="Calibri" w:hAnsi="Calibri" w:cs="Calibri"/>
        </w:rPr>
        <w:t xml:space="preserve"> private nutrient </w:t>
      </w:r>
      <w:r w:rsidR="00DD6FE6">
        <w:rPr>
          <w:rFonts w:ascii="Calibri" w:eastAsia="Calibri" w:hAnsi="Calibri" w:cs="Calibri"/>
        </w:rPr>
        <w:t xml:space="preserve">offset </w:t>
      </w:r>
      <w:r w:rsidR="001F0F16">
        <w:rPr>
          <w:rFonts w:ascii="Calibri" w:eastAsia="Calibri" w:hAnsi="Calibri" w:cs="Calibri"/>
        </w:rPr>
        <w:t xml:space="preserve">providers, the vast majority of </w:t>
      </w:r>
      <w:r w:rsidR="00AF012E">
        <w:rPr>
          <w:rFonts w:ascii="Calibri" w:eastAsia="Calibri" w:hAnsi="Calibri" w:cs="Calibri"/>
        </w:rPr>
        <w:t xml:space="preserve">nutrient </w:t>
      </w:r>
      <w:r w:rsidR="001F0F16">
        <w:rPr>
          <w:rFonts w:ascii="Calibri" w:eastAsia="Calibri" w:hAnsi="Calibri" w:cs="Calibri"/>
        </w:rPr>
        <w:t xml:space="preserve">credits that are generated are likely to be used for direct compliance purposes by the party that generated them.  </w:t>
      </w:r>
    </w:p>
    <w:p w14:paraId="66D102AB" w14:textId="6772EAF4" w:rsidR="00357E5F" w:rsidRDefault="001F0F16" w:rsidP="00424A5F">
      <w:pPr>
        <w:autoSpaceDE w:val="0"/>
        <w:autoSpaceDN w:val="0"/>
        <w:adjustRightInd w:val="0"/>
        <w:rPr>
          <w:rFonts w:ascii="Calibri" w:eastAsia="Calibri" w:hAnsi="Calibri" w:cs="Calibri"/>
        </w:rPr>
      </w:pPr>
      <w:r>
        <w:rPr>
          <w:rFonts w:ascii="Calibri" w:eastAsia="Calibri" w:hAnsi="Calibri" w:cs="Calibri"/>
        </w:rPr>
        <w:t>As regulated parties develop a surplus of nutrient reduction credit</w:t>
      </w:r>
      <w:r w:rsidR="009316A0">
        <w:rPr>
          <w:rFonts w:ascii="Calibri" w:eastAsia="Calibri" w:hAnsi="Calibri" w:cs="Calibri"/>
        </w:rPr>
        <w:t>s</w:t>
      </w:r>
      <w:r>
        <w:rPr>
          <w:rFonts w:ascii="Calibri" w:eastAsia="Calibri" w:hAnsi="Calibri" w:cs="Calibri"/>
        </w:rPr>
        <w:t xml:space="preserve">, they may wish to </w:t>
      </w:r>
      <w:r w:rsidR="009316A0">
        <w:rPr>
          <w:rFonts w:ascii="Calibri" w:eastAsia="Calibri" w:hAnsi="Calibri" w:cs="Calibri"/>
        </w:rPr>
        <w:t>sell</w:t>
      </w:r>
      <w:r>
        <w:rPr>
          <w:rFonts w:ascii="Calibri" w:eastAsia="Calibri" w:hAnsi="Calibri" w:cs="Calibri"/>
        </w:rPr>
        <w:t xml:space="preserve"> them on the trading market. </w:t>
      </w:r>
      <w:r w:rsidR="0072597E">
        <w:rPr>
          <w:rFonts w:ascii="Calibri" w:eastAsia="Calibri" w:hAnsi="Calibri" w:cs="Calibri"/>
        </w:rPr>
        <w:t xml:space="preserve">New development offset credits would be handled through DWR’s existing Nutrient Offset program pursuant to the offset rule, 15A NCAC 02B .0240. </w:t>
      </w:r>
      <w:r w:rsidR="00B5025D">
        <w:rPr>
          <w:rFonts w:ascii="Calibri" w:eastAsia="Calibri" w:hAnsi="Calibri" w:cs="Calibri"/>
        </w:rPr>
        <w:t xml:space="preserve">For </w:t>
      </w:r>
      <w:r w:rsidR="009058D6">
        <w:rPr>
          <w:rFonts w:ascii="Calibri" w:eastAsia="Calibri" w:hAnsi="Calibri" w:cs="Calibri"/>
        </w:rPr>
        <w:t>temporary exchange credit</w:t>
      </w:r>
      <w:r w:rsidR="002D3395">
        <w:rPr>
          <w:rFonts w:ascii="Calibri" w:eastAsia="Calibri" w:hAnsi="Calibri" w:cs="Calibri"/>
        </w:rPr>
        <w:t xml:space="preserve"> activities under the Jordan and Falls</w:t>
      </w:r>
      <w:r w:rsidR="00D61DDF">
        <w:rPr>
          <w:rFonts w:ascii="Calibri" w:eastAsia="Calibri" w:hAnsi="Calibri" w:cs="Calibri"/>
        </w:rPr>
        <w:t xml:space="preserve"> rules, </w:t>
      </w:r>
      <w:r w:rsidR="002D3395">
        <w:rPr>
          <w:rFonts w:ascii="Calibri" w:eastAsia="Calibri" w:hAnsi="Calibri" w:cs="Calibri"/>
        </w:rPr>
        <w:t xml:space="preserve">currently the strategy rules </w:t>
      </w:r>
      <w:r w:rsidR="00D61DDF">
        <w:rPr>
          <w:rFonts w:ascii="Calibri" w:eastAsia="Calibri" w:hAnsi="Calibri" w:cs="Calibri"/>
        </w:rPr>
        <w:t xml:space="preserve">titled </w:t>
      </w:r>
      <w:r w:rsidR="00D61DDF" w:rsidRPr="00770FC4">
        <w:rPr>
          <w:rFonts w:ascii="Calibri" w:eastAsia="Calibri" w:hAnsi="Calibri" w:cs="Calibri"/>
          <w:i/>
        </w:rPr>
        <w:t>Options for Offsetting Nutrient Loads</w:t>
      </w:r>
      <w:r w:rsidR="00D61DDF">
        <w:rPr>
          <w:rFonts w:ascii="Calibri" w:eastAsia="Calibri" w:hAnsi="Calibri" w:cs="Calibri"/>
        </w:rPr>
        <w:t xml:space="preserve">, 15A NCAC 02B .0273 and .0282 </w:t>
      </w:r>
      <w:r w:rsidR="002D3395">
        <w:rPr>
          <w:rFonts w:ascii="Calibri" w:eastAsia="Calibri" w:hAnsi="Calibri" w:cs="Calibri"/>
        </w:rPr>
        <w:t xml:space="preserve">for Jordan and Falls </w:t>
      </w:r>
      <w:r w:rsidR="00D61DDF">
        <w:rPr>
          <w:rFonts w:ascii="Calibri" w:eastAsia="Calibri" w:hAnsi="Calibri" w:cs="Calibri"/>
        </w:rPr>
        <w:t xml:space="preserve">respectively, establish basic </w:t>
      </w:r>
      <w:r w:rsidR="002D3395">
        <w:rPr>
          <w:rFonts w:ascii="Calibri" w:eastAsia="Calibri" w:hAnsi="Calibri" w:cs="Calibri"/>
        </w:rPr>
        <w:t>requirements</w:t>
      </w:r>
      <w:r w:rsidR="00D61DDF">
        <w:rPr>
          <w:rFonts w:ascii="Calibri" w:eastAsia="Calibri" w:hAnsi="Calibri" w:cs="Calibri"/>
        </w:rPr>
        <w:t xml:space="preserve"> for trading such credits. However, additional</w:t>
      </w:r>
      <w:r>
        <w:rPr>
          <w:rFonts w:ascii="Calibri" w:eastAsia="Calibri" w:hAnsi="Calibri" w:cs="Calibri"/>
        </w:rPr>
        <w:t xml:space="preserve"> procedural </w:t>
      </w:r>
      <w:r w:rsidR="00357E5F">
        <w:rPr>
          <w:rFonts w:ascii="Calibri" w:eastAsia="Calibri" w:hAnsi="Calibri" w:cs="Calibri"/>
        </w:rPr>
        <w:t xml:space="preserve">requirements will be </w:t>
      </w:r>
      <w:r w:rsidR="002672D0">
        <w:rPr>
          <w:rFonts w:ascii="Calibri" w:eastAsia="Calibri" w:hAnsi="Calibri" w:cs="Calibri"/>
        </w:rPr>
        <w:t>needed to carry out the</w:t>
      </w:r>
      <w:r w:rsidR="00357E5F">
        <w:rPr>
          <w:rFonts w:ascii="Calibri" w:eastAsia="Calibri" w:hAnsi="Calibri" w:cs="Calibri"/>
        </w:rPr>
        <w:t xml:space="preserve"> “release” and “trade” </w:t>
      </w:r>
      <w:r w:rsidR="002672D0">
        <w:rPr>
          <w:rFonts w:ascii="Calibri" w:eastAsia="Calibri" w:hAnsi="Calibri" w:cs="Calibri"/>
        </w:rPr>
        <w:t xml:space="preserve">of </w:t>
      </w:r>
      <w:r w:rsidR="00357E5F">
        <w:rPr>
          <w:rFonts w:ascii="Calibri" w:eastAsia="Calibri" w:hAnsi="Calibri" w:cs="Calibri"/>
        </w:rPr>
        <w:t xml:space="preserve">these credits to other parties, as described in the sections below.  </w:t>
      </w:r>
      <w:r w:rsidR="002672D0">
        <w:rPr>
          <w:rFonts w:ascii="Calibri" w:eastAsia="Calibri" w:hAnsi="Calibri" w:cs="Calibri"/>
        </w:rPr>
        <w:t xml:space="preserve">In addition, the </w:t>
      </w:r>
      <w:r>
        <w:rPr>
          <w:rFonts w:ascii="Calibri" w:eastAsia="Calibri" w:hAnsi="Calibri" w:cs="Calibri"/>
        </w:rPr>
        <w:t xml:space="preserve">subset of tradable </w:t>
      </w:r>
      <w:r w:rsidR="00AF012E">
        <w:rPr>
          <w:rFonts w:ascii="Calibri" w:eastAsia="Calibri" w:hAnsi="Calibri" w:cs="Calibri"/>
        </w:rPr>
        <w:t xml:space="preserve">nutrient reduction </w:t>
      </w:r>
      <w:r>
        <w:rPr>
          <w:rFonts w:ascii="Calibri" w:eastAsia="Calibri" w:hAnsi="Calibri" w:cs="Calibri"/>
        </w:rPr>
        <w:t>credits</w:t>
      </w:r>
      <w:r w:rsidR="00B5025D">
        <w:rPr>
          <w:rFonts w:ascii="Calibri" w:eastAsia="Calibri" w:hAnsi="Calibri" w:cs="Calibri"/>
        </w:rPr>
        <w:t xml:space="preserve"> generated by </w:t>
      </w:r>
      <w:r w:rsidR="002D3395">
        <w:rPr>
          <w:rFonts w:ascii="Calibri" w:eastAsia="Calibri" w:hAnsi="Calibri" w:cs="Calibri"/>
        </w:rPr>
        <w:t xml:space="preserve">all </w:t>
      </w:r>
      <w:r w:rsidR="00B5025D">
        <w:rPr>
          <w:rFonts w:ascii="Calibri" w:eastAsia="Calibri" w:hAnsi="Calibri" w:cs="Calibri"/>
        </w:rPr>
        <w:t>regulated sources as “extra” credit</w:t>
      </w:r>
      <w:r>
        <w:rPr>
          <w:rFonts w:ascii="Calibri" w:eastAsia="Calibri" w:hAnsi="Calibri" w:cs="Calibri"/>
        </w:rPr>
        <w:t xml:space="preserve"> will require more rig</w:t>
      </w:r>
      <w:r w:rsidR="00AF012E">
        <w:rPr>
          <w:rFonts w:ascii="Calibri" w:eastAsia="Calibri" w:hAnsi="Calibri" w:cs="Calibri"/>
        </w:rPr>
        <w:t>orous and centralized tracking</w:t>
      </w:r>
      <w:r w:rsidR="005B5887">
        <w:rPr>
          <w:rFonts w:ascii="Calibri" w:eastAsia="Calibri" w:hAnsi="Calibri" w:cs="Calibri"/>
        </w:rPr>
        <w:t xml:space="preserve"> to ensure a functional and reliable market.</w:t>
      </w:r>
    </w:p>
    <w:p w14:paraId="7B604FD5" w14:textId="097CF313" w:rsidR="00424A5F" w:rsidRDefault="007E5F17" w:rsidP="00424A5F">
      <w:pPr>
        <w:autoSpaceDE w:val="0"/>
        <w:autoSpaceDN w:val="0"/>
        <w:adjustRightInd w:val="0"/>
        <w:rPr>
          <w:rFonts w:ascii="Calibri" w:eastAsia="Calibri" w:hAnsi="Calibri" w:cs="Calibri"/>
        </w:rPr>
      </w:pPr>
      <w:r>
        <w:rPr>
          <w:rFonts w:ascii="Calibri" w:eastAsia="Calibri" w:hAnsi="Calibri" w:cs="Calibri"/>
        </w:rPr>
        <w:t>F</w:t>
      </w:r>
      <w:r w:rsidR="002D3395">
        <w:rPr>
          <w:rFonts w:ascii="Calibri" w:eastAsia="Calibri" w:hAnsi="Calibri" w:cs="Calibri"/>
        </w:rPr>
        <w:t xml:space="preserve">or each available </w:t>
      </w:r>
      <w:r>
        <w:rPr>
          <w:rFonts w:ascii="Calibri" w:eastAsia="Calibri" w:hAnsi="Calibri" w:cs="Calibri"/>
        </w:rPr>
        <w:t xml:space="preserve">nutrient reduction </w:t>
      </w:r>
      <w:r w:rsidR="002D3395">
        <w:rPr>
          <w:rFonts w:ascii="Calibri" w:eastAsia="Calibri" w:hAnsi="Calibri" w:cs="Calibri"/>
        </w:rPr>
        <w:t xml:space="preserve">practice, design </w:t>
      </w:r>
      <w:r w:rsidR="001264ED">
        <w:rPr>
          <w:rFonts w:ascii="Calibri" w:eastAsia="Calibri" w:hAnsi="Calibri" w:cs="Calibri"/>
        </w:rPr>
        <w:t xml:space="preserve">criteria, calculation methods, and the </w:t>
      </w:r>
      <w:r w:rsidR="00424A5F" w:rsidRPr="00424A5F">
        <w:rPr>
          <w:rFonts w:ascii="Calibri" w:eastAsia="Calibri" w:hAnsi="Calibri" w:cs="Calibri"/>
        </w:rPr>
        <w:t xml:space="preserve">scientific basis for generating nutrient reduction credit are </w:t>
      </w:r>
      <w:r w:rsidR="001264ED">
        <w:rPr>
          <w:rFonts w:ascii="Calibri" w:eastAsia="Calibri" w:hAnsi="Calibri" w:cs="Calibri"/>
        </w:rPr>
        <w:t xml:space="preserve">presently contained in individual documents authorized and maintained by DWR.  </w:t>
      </w:r>
      <w:r w:rsidR="004C14F9">
        <w:rPr>
          <w:rFonts w:ascii="Calibri" w:eastAsia="Calibri" w:hAnsi="Calibri" w:cs="Calibri"/>
        </w:rPr>
        <w:t>These</w:t>
      </w:r>
      <w:r w:rsidR="001264ED">
        <w:rPr>
          <w:rFonts w:ascii="Calibri" w:eastAsia="Calibri" w:hAnsi="Calibri" w:cs="Calibri"/>
        </w:rPr>
        <w:t xml:space="preserve"> documents will be compiled and published as </w:t>
      </w:r>
      <w:r w:rsidR="00424A5F" w:rsidRPr="00424A5F">
        <w:rPr>
          <w:rFonts w:ascii="Calibri" w:eastAsia="Calibri" w:hAnsi="Calibri" w:cs="Calibri"/>
        </w:rPr>
        <w:t>the N.C. Catalog of Nutri</w:t>
      </w:r>
      <w:r w:rsidR="001264ED">
        <w:rPr>
          <w:rFonts w:ascii="Calibri" w:eastAsia="Calibri" w:hAnsi="Calibri" w:cs="Calibri"/>
        </w:rPr>
        <w:t xml:space="preserve">ent Reduction Practices.  </w:t>
      </w:r>
      <w:r w:rsidR="00DD6FE6">
        <w:rPr>
          <w:rFonts w:ascii="Calibri" w:eastAsia="Calibri" w:hAnsi="Calibri" w:cs="Calibri"/>
        </w:rPr>
        <w:t>Within the Catalog, each</w:t>
      </w:r>
      <w:r w:rsidR="00996781">
        <w:rPr>
          <w:rFonts w:ascii="Calibri" w:eastAsia="Calibri" w:hAnsi="Calibri" w:cs="Calibri"/>
        </w:rPr>
        <w:t xml:space="preserve"> practice </w:t>
      </w:r>
      <w:r w:rsidR="00DD6FE6">
        <w:rPr>
          <w:rFonts w:ascii="Calibri" w:eastAsia="Calibri" w:hAnsi="Calibri" w:cs="Calibri"/>
        </w:rPr>
        <w:t xml:space="preserve">will be approved for generation of </w:t>
      </w:r>
      <w:r w:rsidR="00996781">
        <w:rPr>
          <w:rFonts w:ascii="Calibri" w:eastAsia="Calibri" w:hAnsi="Calibri" w:cs="Calibri"/>
        </w:rPr>
        <w:t>permanent nutrient offset credits, temporary nutrient exchange credits, or both depending on varying design criteria.</w:t>
      </w:r>
    </w:p>
    <w:p w14:paraId="38E385EE" w14:textId="0AB026EA" w:rsidR="001264ED" w:rsidRDefault="001264ED" w:rsidP="00424A5F">
      <w:pPr>
        <w:autoSpaceDE w:val="0"/>
        <w:autoSpaceDN w:val="0"/>
        <w:adjustRightInd w:val="0"/>
        <w:rPr>
          <w:rFonts w:ascii="Calibri" w:eastAsia="Calibri" w:hAnsi="Calibri" w:cs="Calibri"/>
        </w:rPr>
      </w:pPr>
      <w:r>
        <w:rPr>
          <w:rFonts w:ascii="Calibri" w:eastAsia="Calibri" w:hAnsi="Calibri" w:cs="Calibri"/>
        </w:rPr>
        <w:t xml:space="preserve">Stormwater control measures </w:t>
      </w:r>
      <w:r w:rsidR="004C14F9">
        <w:rPr>
          <w:rFonts w:ascii="Calibri" w:eastAsia="Calibri" w:hAnsi="Calibri" w:cs="Calibri"/>
        </w:rPr>
        <w:t xml:space="preserve">(SCMs) </w:t>
      </w:r>
      <w:r>
        <w:rPr>
          <w:rFonts w:ascii="Calibri" w:eastAsia="Calibri" w:hAnsi="Calibri" w:cs="Calibri"/>
        </w:rPr>
        <w:t>meeting applicable rule requirements of 15A NCAC 02H</w:t>
      </w:r>
      <w:r w:rsidR="00996781">
        <w:rPr>
          <w:rFonts w:ascii="Calibri" w:eastAsia="Calibri" w:hAnsi="Calibri" w:cs="Calibri"/>
        </w:rPr>
        <w:t xml:space="preserve"> are also proposed to be suitable for generating permanent nutrient offset credit</w:t>
      </w:r>
      <w:r w:rsidR="009316A0">
        <w:rPr>
          <w:rFonts w:ascii="Calibri" w:eastAsia="Calibri" w:hAnsi="Calibri" w:cs="Calibri"/>
        </w:rPr>
        <w:t>s</w:t>
      </w:r>
      <w:r w:rsidR="00996781">
        <w:rPr>
          <w:rFonts w:ascii="Calibri" w:eastAsia="Calibri" w:hAnsi="Calibri" w:cs="Calibri"/>
        </w:rPr>
        <w:t>.  This provision has been proposed as part of the readoption of the nutrient offset rule (15A NCAC 02B .0240</w:t>
      </w:r>
      <w:r w:rsidR="004C14F9">
        <w:rPr>
          <w:rFonts w:ascii="Calibri" w:eastAsia="Calibri" w:hAnsi="Calibri" w:cs="Calibri"/>
        </w:rPr>
        <w:t xml:space="preserve">), and the Catalog will include </w:t>
      </w:r>
      <w:r w:rsidR="002D3395">
        <w:rPr>
          <w:rFonts w:ascii="Calibri" w:eastAsia="Calibri" w:hAnsi="Calibri" w:cs="Calibri"/>
        </w:rPr>
        <w:t xml:space="preserve">reference to </w:t>
      </w:r>
      <w:r w:rsidR="007E0095">
        <w:rPr>
          <w:rFonts w:ascii="Calibri" w:eastAsia="Calibri" w:hAnsi="Calibri" w:cs="Calibri"/>
        </w:rPr>
        <w:t xml:space="preserve">the location of design criteria and </w:t>
      </w:r>
      <w:r w:rsidR="00BE358A">
        <w:rPr>
          <w:rFonts w:ascii="Calibri" w:eastAsia="Calibri" w:hAnsi="Calibri" w:cs="Calibri"/>
        </w:rPr>
        <w:t xml:space="preserve">a </w:t>
      </w:r>
      <w:r w:rsidR="007E0095">
        <w:rPr>
          <w:rFonts w:ascii="Calibri" w:eastAsia="Calibri" w:hAnsi="Calibri" w:cs="Calibri"/>
        </w:rPr>
        <w:t xml:space="preserve">credit calculation method, along with </w:t>
      </w:r>
      <w:r w:rsidR="002D3395">
        <w:rPr>
          <w:rFonts w:ascii="Calibri" w:eastAsia="Calibri" w:hAnsi="Calibri" w:cs="Calibri"/>
        </w:rPr>
        <w:t>any additional</w:t>
      </w:r>
      <w:r w:rsidR="004C14F9">
        <w:rPr>
          <w:rFonts w:ascii="Calibri" w:eastAsia="Calibri" w:hAnsi="Calibri" w:cs="Calibri"/>
        </w:rPr>
        <w:t xml:space="preserve"> </w:t>
      </w:r>
      <w:r w:rsidR="007E0095">
        <w:rPr>
          <w:rFonts w:ascii="Calibri" w:eastAsia="Calibri" w:hAnsi="Calibri" w:cs="Calibri"/>
        </w:rPr>
        <w:t xml:space="preserve">procedural requirements for </w:t>
      </w:r>
      <w:r w:rsidR="004C14F9">
        <w:rPr>
          <w:rFonts w:ascii="Calibri" w:eastAsia="Calibri" w:hAnsi="Calibri" w:cs="Calibri"/>
        </w:rPr>
        <w:t>SCMs.</w:t>
      </w:r>
    </w:p>
    <w:p w14:paraId="0B95D681" w14:textId="0312F07F" w:rsidR="00357E5F" w:rsidRDefault="00357E5F" w:rsidP="00424A5F">
      <w:pPr>
        <w:autoSpaceDE w:val="0"/>
        <w:autoSpaceDN w:val="0"/>
        <w:adjustRightInd w:val="0"/>
        <w:rPr>
          <w:rFonts w:ascii="Calibri" w:eastAsia="Calibri" w:hAnsi="Calibri" w:cs="Calibri"/>
        </w:rPr>
      </w:pPr>
      <w:r>
        <w:rPr>
          <w:rFonts w:ascii="Calibri" w:eastAsia="Calibri" w:hAnsi="Calibri" w:cs="Calibri"/>
        </w:rPr>
        <w:t xml:space="preserve">DWR and local governments have been working in partnership to expand the number of nutrient reduction practices available for </w:t>
      </w:r>
      <w:r w:rsidR="001F0F16">
        <w:rPr>
          <w:rFonts w:ascii="Calibri" w:eastAsia="Calibri" w:hAnsi="Calibri" w:cs="Calibri"/>
        </w:rPr>
        <w:t xml:space="preserve">existing </w:t>
      </w:r>
      <w:r w:rsidR="001A45B6">
        <w:rPr>
          <w:rFonts w:ascii="Calibri" w:eastAsia="Calibri" w:hAnsi="Calibri" w:cs="Calibri"/>
        </w:rPr>
        <w:t xml:space="preserve">development </w:t>
      </w:r>
      <w:r>
        <w:rPr>
          <w:rFonts w:ascii="Calibri" w:eastAsia="Calibri" w:hAnsi="Calibri" w:cs="Calibri"/>
        </w:rPr>
        <w:t xml:space="preserve">rule compliance.  </w:t>
      </w:r>
      <w:r w:rsidR="001F0F16">
        <w:rPr>
          <w:rFonts w:ascii="Calibri" w:eastAsia="Calibri" w:hAnsi="Calibri" w:cs="Calibri"/>
        </w:rPr>
        <w:t>The generation of nutrient reduction credits</w:t>
      </w:r>
      <w:r w:rsidR="00AF012E">
        <w:rPr>
          <w:rFonts w:ascii="Calibri" w:eastAsia="Calibri" w:hAnsi="Calibri" w:cs="Calibri"/>
        </w:rPr>
        <w:t xml:space="preserve"> for compliance purposes </w:t>
      </w:r>
      <w:r w:rsidR="001F0F16">
        <w:rPr>
          <w:rFonts w:ascii="Calibri" w:eastAsia="Calibri" w:hAnsi="Calibri" w:cs="Calibri"/>
        </w:rPr>
        <w:t>will be governed by local governments’ existi</w:t>
      </w:r>
      <w:r w:rsidR="005B5887">
        <w:rPr>
          <w:rFonts w:ascii="Calibri" w:eastAsia="Calibri" w:hAnsi="Calibri" w:cs="Calibri"/>
        </w:rPr>
        <w:t>ng development local programs, and p</w:t>
      </w:r>
      <w:r w:rsidR="00AF012E">
        <w:rPr>
          <w:rFonts w:ascii="Calibri" w:eastAsia="Calibri" w:hAnsi="Calibri" w:cs="Calibri"/>
        </w:rPr>
        <w:t xml:space="preserve">rojects generating these compliance credits may be temporary or permanent.  </w:t>
      </w:r>
      <w:r w:rsidR="001F0F16">
        <w:rPr>
          <w:rFonts w:ascii="Calibri" w:eastAsia="Calibri" w:hAnsi="Calibri" w:cs="Calibri"/>
        </w:rPr>
        <w:t xml:space="preserve">Local governments will report to DWR </w:t>
      </w:r>
      <w:r w:rsidR="00AF012E">
        <w:rPr>
          <w:rFonts w:ascii="Calibri" w:eastAsia="Calibri" w:hAnsi="Calibri" w:cs="Calibri"/>
        </w:rPr>
        <w:t>regarding their progress, with these reports subject to state oversight and audit.</w:t>
      </w:r>
    </w:p>
    <w:p w14:paraId="0E52BA94" w14:textId="77777777" w:rsidR="00424A5F" w:rsidRPr="000742F4" w:rsidRDefault="00424A5F" w:rsidP="00CE0FE4">
      <w:pPr>
        <w:pStyle w:val="Heading3"/>
        <w:rPr>
          <w:rFonts w:eastAsia="Times New Roman"/>
          <w:color w:val="0B3C61" w:themeColor="accent1"/>
        </w:rPr>
      </w:pPr>
      <w:bookmarkStart w:id="40" w:name="_Toc491352619"/>
      <w:bookmarkStart w:id="41" w:name="_Toc491436818"/>
      <w:bookmarkStart w:id="42" w:name="_Toc492020023"/>
      <w:r w:rsidRPr="000742F4">
        <w:rPr>
          <w:rFonts w:eastAsia="Times New Roman"/>
          <w:color w:val="0B3C61" w:themeColor="accent1"/>
        </w:rPr>
        <w:t>Releasing Credit</w:t>
      </w:r>
      <w:bookmarkEnd w:id="40"/>
      <w:bookmarkEnd w:id="41"/>
      <w:bookmarkEnd w:id="42"/>
    </w:p>
    <w:p w14:paraId="16CC7D96" w14:textId="5F1DC2BF" w:rsidR="00424A5F" w:rsidRDefault="00424A5F" w:rsidP="00424A5F">
      <w:pPr>
        <w:rPr>
          <w:rFonts w:ascii="Calibri" w:eastAsia="Calibri" w:hAnsi="Calibri" w:cs="Times New Roman"/>
        </w:rPr>
      </w:pPr>
      <w:r w:rsidRPr="00424A5F">
        <w:rPr>
          <w:rFonts w:ascii="Calibri" w:eastAsia="Calibri" w:hAnsi="Calibri" w:cs="Times New Roman"/>
        </w:rPr>
        <w:t xml:space="preserve">A credit release is the process by which </w:t>
      </w:r>
      <w:r w:rsidR="001A45B6">
        <w:rPr>
          <w:rFonts w:ascii="Calibri" w:eastAsia="Calibri" w:hAnsi="Calibri" w:cs="Times New Roman"/>
        </w:rPr>
        <w:t>some entity</w:t>
      </w:r>
      <w:r w:rsidRPr="00424A5F">
        <w:rPr>
          <w:rFonts w:ascii="Calibri" w:eastAsia="Calibri" w:hAnsi="Calibri" w:cs="Times New Roman"/>
        </w:rPr>
        <w:t xml:space="preserve"> certifies that a nutrient reduction credit has been generated and is eligible to be traded.  DWR’s Nutrient Offset Program presently releases </w:t>
      </w:r>
      <w:r w:rsidR="00B946E9">
        <w:rPr>
          <w:rFonts w:ascii="Calibri" w:eastAsia="Calibri" w:hAnsi="Calibri" w:cs="Times New Roman"/>
        </w:rPr>
        <w:t xml:space="preserve">nutrient offset </w:t>
      </w:r>
      <w:r w:rsidRPr="00424A5F">
        <w:rPr>
          <w:rFonts w:ascii="Calibri" w:eastAsia="Calibri" w:hAnsi="Calibri" w:cs="Times New Roman"/>
        </w:rPr>
        <w:t xml:space="preserve">credits for </w:t>
      </w:r>
      <w:r w:rsidR="00B946E9">
        <w:rPr>
          <w:rFonts w:ascii="Calibri" w:eastAsia="Calibri" w:hAnsi="Calibri" w:cs="Times New Roman"/>
        </w:rPr>
        <w:t xml:space="preserve">all </w:t>
      </w:r>
      <w:r w:rsidRPr="00424A5F">
        <w:rPr>
          <w:rFonts w:ascii="Calibri" w:eastAsia="Calibri" w:hAnsi="Calibri" w:cs="Times New Roman"/>
        </w:rPr>
        <w:t xml:space="preserve">nutrient reduction projects according to </w:t>
      </w:r>
      <w:r w:rsidR="00123F2A">
        <w:rPr>
          <w:rFonts w:ascii="Calibri" w:eastAsia="Calibri" w:hAnsi="Calibri" w:cs="Times New Roman"/>
        </w:rPr>
        <w:t>the nutrient offset rule and the terms of a project’s banking instrument</w:t>
      </w:r>
      <w:r w:rsidRPr="00424A5F">
        <w:rPr>
          <w:rFonts w:ascii="Calibri" w:eastAsia="Calibri" w:hAnsi="Calibri" w:cs="Times New Roman"/>
        </w:rPr>
        <w:t xml:space="preserve">.  </w:t>
      </w:r>
      <w:r w:rsidR="00123F2A">
        <w:rPr>
          <w:rFonts w:ascii="Calibri" w:eastAsia="Calibri" w:hAnsi="Calibri" w:cs="Times New Roman"/>
        </w:rPr>
        <w:t>Usually</w:t>
      </w:r>
      <w:r w:rsidR="0030532F">
        <w:rPr>
          <w:rFonts w:ascii="Calibri" w:eastAsia="Calibri" w:hAnsi="Calibri" w:cs="Times New Roman"/>
        </w:rPr>
        <w:t>, credit is periodically released over time to reflect the achievement of milestones during the implementation of a nutrient reduction project.</w:t>
      </w:r>
    </w:p>
    <w:p w14:paraId="3FB93E48" w14:textId="64F3174C" w:rsidR="007E0095" w:rsidRDefault="00A9620B" w:rsidP="00424A5F">
      <w:pPr>
        <w:rPr>
          <w:rFonts w:ascii="Calibri" w:eastAsia="Calibri" w:hAnsi="Calibri" w:cs="Times New Roman"/>
        </w:rPr>
      </w:pPr>
      <w:r w:rsidRPr="00424A5F">
        <w:rPr>
          <w:rFonts w:ascii="Calibri" w:eastAsia="Calibri" w:hAnsi="Calibri" w:cs="Times New Roman"/>
        </w:rPr>
        <w:t xml:space="preserve">Nutrient </w:t>
      </w:r>
      <w:r w:rsidR="00AF012E">
        <w:rPr>
          <w:rFonts w:ascii="Calibri" w:eastAsia="Calibri" w:hAnsi="Calibri" w:cs="Times New Roman"/>
        </w:rPr>
        <w:t xml:space="preserve">credit </w:t>
      </w:r>
      <w:r w:rsidRPr="00424A5F">
        <w:rPr>
          <w:rFonts w:ascii="Calibri" w:eastAsia="Calibri" w:hAnsi="Calibri" w:cs="Times New Roman"/>
        </w:rPr>
        <w:t xml:space="preserve">trading in North Carolina is presently limited to a regulated and sophisticated market.  While DWR is not a party to every trade, DWR regulatory staff </w:t>
      </w:r>
      <w:r>
        <w:rPr>
          <w:rFonts w:ascii="Calibri" w:eastAsia="Calibri" w:hAnsi="Calibri" w:cs="Times New Roman"/>
        </w:rPr>
        <w:t xml:space="preserve">presently </w:t>
      </w:r>
      <w:r w:rsidRPr="00424A5F">
        <w:rPr>
          <w:rFonts w:ascii="Calibri" w:eastAsia="Calibri" w:hAnsi="Calibri" w:cs="Times New Roman"/>
        </w:rPr>
        <w:t>has a significant role in recording</w:t>
      </w:r>
      <w:r>
        <w:rPr>
          <w:rFonts w:ascii="Calibri" w:eastAsia="Calibri" w:hAnsi="Calibri" w:cs="Times New Roman"/>
        </w:rPr>
        <w:t>,</w:t>
      </w:r>
      <w:r w:rsidRPr="00424A5F">
        <w:rPr>
          <w:rFonts w:ascii="Calibri" w:eastAsia="Calibri" w:hAnsi="Calibri" w:cs="Times New Roman"/>
        </w:rPr>
        <w:t xml:space="preserve"> verifying</w:t>
      </w:r>
      <w:r>
        <w:rPr>
          <w:rFonts w:ascii="Calibri" w:eastAsia="Calibri" w:hAnsi="Calibri" w:cs="Times New Roman"/>
        </w:rPr>
        <w:t>, and/or auditing</w:t>
      </w:r>
      <w:r w:rsidRPr="00424A5F">
        <w:rPr>
          <w:rFonts w:ascii="Calibri" w:eastAsia="Calibri" w:hAnsi="Calibri" w:cs="Times New Roman"/>
        </w:rPr>
        <w:t xml:space="preserve"> </w:t>
      </w:r>
      <w:r>
        <w:rPr>
          <w:rFonts w:ascii="Calibri" w:eastAsia="Calibri" w:hAnsi="Calibri" w:cs="Times New Roman"/>
        </w:rPr>
        <w:t xml:space="preserve">all nutrient offset </w:t>
      </w:r>
      <w:r w:rsidRPr="00424A5F">
        <w:rPr>
          <w:rFonts w:ascii="Calibri" w:eastAsia="Calibri" w:hAnsi="Calibri" w:cs="Times New Roman"/>
        </w:rPr>
        <w:t xml:space="preserve">trades.  Trades from the nutrient offset program are documented by the </w:t>
      </w:r>
      <w:r w:rsidR="009316A0">
        <w:rPr>
          <w:rFonts w:ascii="Calibri" w:eastAsia="Calibri" w:hAnsi="Calibri" w:cs="Times New Roman"/>
        </w:rPr>
        <w:t xml:space="preserve">credit </w:t>
      </w:r>
      <w:r>
        <w:rPr>
          <w:rFonts w:ascii="Calibri" w:eastAsia="Calibri" w:hAnsi="Calibri" w:cs="Times New Roman"/>
        </w:rPr>
        <w:t>providers</w:t>
      </w:r>
      <w:r w:rsidRPr="00424A5F">
        <w:rPr>
          <w:rFonts w:ascii="Calibri" w:eastAsia="Calibri" w:hAnsi="Calibri" w:cs="Times New Roman"/>
        </w:rPr>
        <w:t xml:space="preserve">, who </w:t>
      </w:r>
      <w:r>
        <w:rPr>
          <w:rFonts w:ascii="Calibri" w:eastAsia="Calibri" w:hAnsi="Calibri" w:cs="Times New Roman"/>
        </w:rPr>
        <w:t>submit</w:t>
      </w:r>
      <w:r w:rsidRPr="00424A5F">
        <w:rPr>
          <w:rFonts w:ascii="Calibri" w:eastAsia="Calibri" w:hAnsi="Calibri" w:cs="Times New Roman"/>
        </w:rPr>
        <w:t xml:space="preserve"> updated ledgers </w:t>
      </w:r>
      <w:r>
        <w:rPr>
          <w:rFonts w:ascii="Calibri" w:eastAsia="Calibri" w:hAnsi="Calibri" w:cs="Times New Roman"/>
        </w:rPr>
        <w:t xml:space="preserve">to DWR </w:t>
      </w:r>
      <w:r w:rsidRPr="00424A5F">
        <w:rPr>
          <w:rFonts w:ascii="Calibri" w:eastAsia="Calibri" w:hAnsi="Calibri" w:cs="Times New Roman"/>
        </w:rPr>
        <w:t xml:space="preserve">on a recurring basis.  </w:t>
      </w:r>
      <w:r w:rsidR="007E0095">
        <w:rPr>
          <w:rFonts w:ascii="Calibri" w:eastAsia="Calibri" w:hAnsi="Calibri" w:cs="Times New Roman"/>
        </w:rPr>
        <w:t>Formal p</w:t>
      </w:r>
      <w:r w:rsidR="007E0095" w:rsidRPr="00424A5F">
        <w:rPr>
          <w:rFonts w:ascii="Calibri" w:eastAsia="Calibri" w:hAnsi="Calibri" w:cs="Times New Roman"/>
        </w:rPr>
        <w:t xml:space="preserve">oint source trades are presently documented via permit </w:t>
      </w:r>
      <w:r w:rsidR="007E0095">
        <w:rPr>
          <w:rFonts w:ascii="Calibri" w:eastAsia="Calibri" w:hAnsi="Calibri" w:cs="Times New Roman"/>
        </w:rPr>
        <w:t>adjustments</w:t>
      </w:r>
      <w:r w:rsidR="007E0095" w:rsidRPr="00424A5F">
        <w:rPr>
          <w:rFonts w:ascii="Calibri" w:eastAsia="Calibri" w:hAnsi="Calibri" w:cs="Times New Roman"/>
        </w:rPr>
        <w:t xml:space="preserve">, </w:t>
      </w:r>
      <w:r w:rsidR="007E0095">
        <w:rPr>
          <w:rFonts w:ascii="Calibri" w:eastAsia="Calibri" w:hAnsi="Calibri" w:cs="Times New Roman"/>
        </w:rPr>
        <w:t xml:space="preserve">supporting correspondence, </w:t>
      </w:r>
      <w:r w:rsidR="007E0095" w:rsidRPr="00424A5F">
        <w:rPr>
          <w:rFonts w:ascii="Calibri" w:eastAsia="Calibri" w:hAnsi="Calibri" w:cs="Times New Roman"/>
        </w:rPr>
        <w:t xml:space="preserve">and desktop spreadsheet software.  </w:t>
      </w:r>
    </w:p>
    <w:p w14:paraId="3DFA9159" w14:textId="0DF65F78" w:rsidR="00A9620B" w:rsidRDefault="00A9620B" w:rsidP="00424A5F">
      <w:pPr>
        <w:rPr>
          <w:rFonts w:ascii="Calibri" w:eastAsia="Calibri" w:hAnsi="Calibri" w:cs="Times New Roman"/>
        </w:rPr>
      </w:pPr>
      <w:r w:rsidRPr="00424A5F">
        <w:rPr>
          <w:rFonts w:ascii="Calibri" w:eastAsia="Calibri" w:hAnsi="Calibri" w:cs="Times New Roman"/>
        </w:rPr>
        <w:t xml:space="preserve">The DWR website acts as a central repository of these ledgers for all existing </w:t>
      </w:r>
      <w:r>
        <w:rPr>
          <w:rFonts w:ascii="Calibri" w:eastAsia="Calibri" w:hAnsi="Calibri" w:cs="Times New Roman"/>
        </w:rPr>
        <w:t>private banks</w:t>
      </w:r>
      <w:r w:rsidRPr="00424A5F">
        <w:rPr>
          <w:rFonts w:ascii="Calibri" w:eastAsia="Calibri" w:hAnsi="Calibri" w:cs="Times New Roman"/>
        </w:rPr>
        <w:t xml:space="preserve">.  If trading volume expands exponentially or even significantly, </w:t>
      </w:r>
      <w:r>
        <w:rPr>
          <w:rFonts w:ascii="Calibri" w:eastAsia="Calibri" w:hAnsi="Calibri" w:cs="Times New Roman"/>
        </w:rPr>
        <w:t xml:space="preserve">the </w:t>
      </w:r>
      <w:r w:rsidRPr="00424A5F">
        <w:rPr>
          <w:rFonts w:ascii="Calibri" w:eastAsia="Calibri" w:hAnsi="Calibri" w:cs="Times New Roman"/>
        </w:rPr>
        <w:t xml:space="preserve">existing </w:t>
      </w:r>
      <w:r>
        <w:rPr>
          <w:rFonts w:ascii="Calibri" w:eastAsia="Calibri" w:hAnsi="Calibri" w:cs="Times New Roman"/>
        </w:rPr>
        <w:t xml:space="preserve">centralized </w:t>
      </w:r>
      <w:r w:rsidRPr="00424A5F">
        <w:rPr>
          <w:rFonts w:ascii="Calibri" w:eastAsia="Calibri" w:hAnsi="Calibri" w:cs="Times New Roman"/>
        </w:rPr>
        <w:t>regula</w:t>
      </w:r>
      <w:r w:rsidR="00AF012E">
        <w:rPr>
          <w:rFonts w:ascii="Calibri" w:eastAsia="Calibri" w:hAnsi="Calibri" w:cs="Times New Roman"/>
        </w:rPr>
        <w:t>tory processes may be strained.</w:t>
      </w:r>
    </w:p>
    <w:p w14:paraId="50A6E377" w14:textId="77777777" w:rsidR="00CE0FE4" w:rsidRPr="00A9620B" w:rsidRDefault="00847C90" w:rsidP="00A9620B">
      <w:pPr>
        <w:pStyle w:val="Heading5"/>
        <w:rPr>
          <w:rFonts w:eastAsia="Calibri"/>
          <w:color w:val="789B4A" w:themeColor="accent2"/>
        </w:rPr>
      </w:pPr>
      <w:r>
        <w:rPr>
          <w:rFonts w:eastAsia="Calibri"/>
          <w:color w:val="789B4A" w:themeColor="accent2"/>
        </w:rPr>
        <w:t>Near</w:t>
      </w:r>
      <w:r w:rsidR="00CE0FE4" w:rsidRPr="00A9620B">
        <w:rPr>
          <w:rFonts w:eastAsia="Calibri"/>
          <w:color w:val="789B4A" w:themeColor="accent2"/>
        </w:rPr>
        <w:t xml:space="preserve"> term proposal: </w:t>
      </w:r>
      <w:r w:rsidR="00647BE9">
        <w:rPr>
          <w:rFonts w:eastAsia="Calibri"/>
          <w:color w:val="789B4A" w:themeColor="accent2"/>
        </w:rPr>
        <w:t>d</w:t>
      </w:r>
      <w:r w:rsidR="00CE0FE4" w:rsidRPr="00A9620B">
        <w:rPr>
          <w:rFonts w:eastAsia="Calibri"/>
          <w:color w:val="789B4A" w:themeColor="accent2"/>
        </w:rPr>
        <w:t>ecentraliz</w:t>
      </w:r>
      <w:r w:rsidR="00647BE9">
        <w:rPr>
          <w:rFonts w:eastAsia="Calibri"/>
          <w:color w:val="789B4A" w:themeColor="accent2"/>
        </w:rPr>
        <w:t>ing authority</w:t>
      </w:r>
      <w:r w:rsidR="00AF012E">
        <w:rPr>
          <w:rFonts w:eastAsia="Calibri"/>
          <w:color w:val="789B4A" w:themeColor="accent2"/>
        </w:rPr>
        <w:t xml:space="preserve"> for </w:t>
      </w:r>
      <w:r w:rsidR="00647BE9">
        <w:rPr>
          <w:rFonts w:eastAsia="Calibri"/>
          <w:color w:val="789B4A" w:themeColor="accent2"/>
        </w:rPr>
        <w:t>n</w:t>
      </w:r>
      <w:r w:rsidR="00AF012E">
        <w:rPr>
          <w:rFonts w:eastAsia="Calibri"/>
          <w:color w:val="789B4A" w:themeColor="accent2"/>
        </w:rPr>
        <w:t xml:space="preserve">utrient </w:t>
      </w:r>
      <w:r w:rsidR="00647BE9">
        <w:rPr>
          <w:rFonts w:eastAsia="Calibri"/>
          <w:color w:val="789B4A" w:themeColor="accent2"/>
        </w:rPr>
        <w:t>e</w:t>
      </w:r>
      <w:r w:rsidR="00AF012E">
        <w:rPr>
          <w:rFonts w:eastAsia="Calibri"/>
          <w:color w:val="789B4A" w:themeColor="accent2"/>
        </w:rPr>
        <w:t xml:space="preserve">xchange </w:t>
      </w:r>
      <w:r w:rsidR="00647BE9">
        <w:rPr>
          <w:rFonts w:eastAsia="Calibri"/>
          <w:color w:val="789B4A" w:themeColor="accent2"/>
        </w:rPr>
        <w:t>c</w:t>
      </w:r>
      <w:r w:rsidR="00AF012E">
        <w:rPr>
          <w:rFonts w:eastAsia="Calibri"/>
          <w:color w:val="789B4A" w:themeColor="accent2"/>
        </w:rPr>
        <w:t xml:space="preserve">redit </w:t>
      </w:r>
      <w:r w:rsidR="004D1EC6">
        <w:rPr>
          <w:rFonts w:eastAsia="Calibri"/>
          <w:color w:val="789B4A" w:themeColor="accent2"/>
        </w:rPr>
        <w:t>release</w:t>
      </w:r>
    </w:p>
    <w:p w14:paraId="2D7127CB" w14:textId="3B17C863" w:rsidR="00CE0FE4" w:rsidRPr="00424A5F" w:rsidRDefault="00A9620B" w:rsidP="00424A5F">
      <w:pPr>
        <w:rPr>
          <w:rFonts w:ascii="Calibri" w:eastAsia="Calibri" w:hAnsi="Calibri" w:cs="Times New Roman"/>
        </w:rPr>
      </w:pPr>
      <w:r>
        <w:rPr>
          <w:rFonts w:ascii="Calibri" w:eastAsia="Calibri" w:hAnsi="Calibri" w:cs="Times New Roman"/>
        </w:rPr>
        <w:t>A</w:t>
      </w:r>
      <w:r w:rsidRPr="00424A5F">
        <w:rPr>
          <w:rFonts w:ascii="Calibri" w:eastAsia="Calibri" w:hAnsi="Calibri" w:cs="Times New Roman"/>
        </w:rPr>
        <w:t>s the volume and type of nutrient reduction projects expand, DWR envisions delegating th</w:t>
      </w:r>
      <w:r w:rsidR="00AF012E">
        <w:rPr>
          <w:rFonts w:ascii="Calibri" w:eastAsia="Calibri" w:hAnsi="Calibri" w:cs="Times New Roman"/>
        </w:rPr>
        <w:t xml:space="preserve">e </w:t>
      </w:r>
      <w:r w:rsidRPr="00424A5F">
        <w:rPr>
          <w:rFonts w:ascii="Calibri" w:eastAsia="Calibri" w:hAnsi="Calibri" w:cs="Times New Roman"/>
        </w:rPr>
        <w:t xml:space="preserve">authority to </w:t>
      </w:r>
      <w:r w:rsidR="00AF012E">
        <w:rPr>
          <w:rFonts w:ascii="Calibri" w:eastAsia="Calibri" w:hAnsi="Calibri" w:cs="Times New Roman"/>
        </w:rPr>
        <w:t xml:space="preserve">release </w:t>
      </w:r>
      <w:r w:rsidR="009058D6">
        <w:rPr>
          <w:rFonts w:ascii="Calibri" w:eastAsia="Calibri" w:hAnsi="Calibri" w:cs="Times New Roman"/>
        </w:rPr>
        <w:t xml:space="preserve">temporary, </w:t>
      </w:r>
      <w:r w:rsidR="004D1EC6">
        <w:rPr>
          <w:rFonts w:ascii="Calibri" w:eastAsia="Calibri" w:hAnsi="Calibri" w:cs="Times New Roman"/>
        </w:rPr>
        <w:t xml:space="preserve">nutrient exchange </w:t>
      </w:r>
      <w:r w:rsidR="00AF012E">
        <w:rPr>
          <w:rFonts w:ascii="Calibri" w:eastAsia="Calibri" w:hAnsi="Calibri" w:cs="Times New Roman"/>
        </w:rPr>
        <w:t xml:space="preserve">credits to </w:t>
      </w:r>
      <w:r w:rsidR="002771D7">
        <w:rPr>
          <w:rFonts w:ascii="Calibri" w:eastAsia="Calibri" w:hAnsi="Calibri" w:cs="Times New Roman"/>
        </w:rPr>
        <w:t xml:space="preserve">one or more </w:t>
      </w:r>
      <w:r w:rsidR="009E5E42">
        <w:rPr>
          <w:rFonts w:ascii="Calibri" w:eastAsia="Calibri" w:hAnsi="Calibri" w:cs="Times New Roman"/>
        </w:rPr>
        <w:t>other parties</w:t>
      </w:r>
      <w:r w:rsidRPr="00424A5F">
        <w:rPr>
          <w:rFonts w:ascii="Calibri" w:eastAsia="Calibri" w:hAnsi="Calibri" w:cs="Times New Roman"/>
        </w:rPr>
        <w:t xml:space="preserve"> </w:t>
      </w:r>
      <w:r w:rsidR="009316A0">
        <w:rPr>
          <w:rFonts w:ascii="Calibri" w:eastAsia="Calibri" w:hAnsi="Calibri" w:cs="Times New Roman"/>
        </w:rPr>
        <w:t>in</w:t>
      </w:r>
      <w:r w:rsidR="002771D7" w:rsidRPr="00424A5F">
        <w:rPr>
          <w:rFonts w:ascii="Calibri" w:eastAsia="Calibri" w:hAnsi="Calibri" w:cs="Times New Roman"/>
        </w:rPr>
        <w:t xml:space="preserve"> </w:t>
      </w:r>
      <w:r w:rsidRPr="00424A5F">
        <w:rPr>
          <w:rFonts w:ascii="Calibri" w:eastAsia="Calibri" w:hAnsi="Calibri" w:cs="Times New Roman"/>
        </w:rPr>
        <w:t xml:space="preserve">specific situations.  </w:t>
      </w:r>
      <w:r w:rsidR="00C74AAF">
        <w:rPr>
          <w:rFonts w:ascii="Calibri" w:eastAsia="Calibri" w:hAnsi="Calibri" w:cs="Times New Roman"/>
        </w:rPr>
        <w:t>Delegation of approval authority to local governments over</w:t>
      </w:r>
      <w:r w:rsidR="00C74AAF" w:rsidRPr="00424A5F">
        <w:rPr>
          <w:rFonts w:ascii="Calibri" w:eastAsia="Calibri" w:hAnsi="Calibri" w:cs="Times New Roman"/>
        </w:rPr>
        <w:t xml:space="preserve"> </w:t>
      </w:r>
      <w:r w:rsidRPr="00424A5F">
        <w:rPr>
          <w:rFonts w:ascii="Calibri" w:eastAsia="Calibri" w:hAnsi="Calibri" w:cs="Times New Roman"/>
        </w:rPr>
        <w:t xml:space="preserve">nutrient exchange credits </w:t>
      </w:r>
      <w:r w:rsidR="00C74AAF">
        <w:rPr>
          <w:rFonts w:ascii="Calibri" w:eastAsia="Calibri" w:hAnsi="Calibri" w:cs="Times New Roman"/>
        </w:rPr>
        <w:t>for</w:t>
      </w:r>
      <w:r w:rsidR="009058D6">
        <w:rPr>
          <w:rFonts w:ascii="Calibri" w:eastAsia="Calibri" w:hAnsi="Calibri" w:cs="Times New Roman"/>
        </w:rPr>
        <w:t xml:space="preserve"> retrofitting of</w:t>
      </w:r>
      <w:r w:rsidR="009058D6" w:rsidRPr="00424A5F">
        <w:rPr>
          <w:rFonts w:ascii="Calibri" w:eastAsia="Calibri" w:hAnsi="Calibri" w:cs="Times New Roman"/>
        </w:rPr>
        <w:t xml:space="preserve"> </w:t>
      </w:r>
      <w:r w:rsidRPr="00424A5F">
        <w:rPr>
          <w:rFonts w:ascii="Calibri" w:eastAsia="Calibri" w:hAnsi="Calibri" w:cs="Times New Roman"/>
        </w:rPr>
        <w:t>stormwater practices</w:t>
      </w:r>
      <w:r w:rsidR="009058D6">
        <w:rPr>
          <w:rFonts w:ascii="Calibri" w:eastAsia="Calibri" w:hAnsi="Calibri" w:cs="Times New Roman"/>
        </w:rPr>
        <w:t xml:space="preserve"> int</w:t>
      </w:r>
      <w:r w:rsidR="009C51FE">
        <w:rPr>
          <w:rFonts w:ascii="Calibri" w:eastAsia="Calibri" w:hAnsi="Calibri" w:cs="Times New Roman"/>
        </w:rPr>
        <w:t>o existing developed landscapes</w:t>
      </w:r>
      <w:r w:rsidRPr="00424A5F">
        <w:rPr>
          <w:rFonts w:ascii="Calibri" w:eastAsia="Calibri" w:hAnsi="Calibri" w:cs="Times New Roman"/>
        </w:rPr>
        <w:t xml:space="preserve"> </w:t>
      </w:r>
      <w:r w:rsidR="00C74AAF">
        <w:rPr>
          <w:rFonts w:ascii="Calibri" w:eastAsia="Calibri" w:hAnsi="Calibri" w:cs="Times New Roman"/>
        </w:rPr>
        <w:t xml:space="preserve">may be most likely given that communities are already delegated authority to approve use of SCMs to comply with </w:t>
      </w:r>
      <w:r w:rsidRPr="00424A5F">
        <w:rPr>
          <w:rFonts w:ascii="Calibri" w:eastAsia="Calibri" w:hAnsi="Calibri" w:cs="Times New Roman"/>
        </w:rPr>
        <w:t xml:space="preserve">new development rules.  </w:t>
      </w:r>
      <w:r w:rsidR="003A3909">
        <w:rPr>
          <w:rFonts w:ascii="Calibri" w:eastAsia="Calibri" w:hAnsi="Calibri" w:cs="Times New Roman"/>
        </w:rPr>
        <w:t xml:space="preserve">For agricultural practices, </w:t>
      </w:r>
      <w:r w:rsidR="004D1EC6">
        <w:rPr>
          <w:rFonts w:ascii="Calibri" w:eastAsia="Calibri" w:hAnsi="Calibri" w:cs="Times New Roman"/>
        </w:rPr>
        <w:t xml:space="preserve">professionals representing the N.C. Division of Soil and Water Conservation or N.C. Cooperative Extension </w:t>
      </w:r>
      <w:r w:rsidR="009E5E42">
        <w:rPr>
          <w:rFonts w:ascii="Calibri" w:eastAsia="Calibri" w:hAnsi="Calibri" w:cs="Times New Roman"/>
        </w:rPr>
        <w:t>are</w:t>
      </w:r>
      <w:r w:rsidR="004D1EC6">
        <w:rPr>
          <w:rFonts w:ascii="Calibri" w:eastAsia="Calibri" w:hAnsi="Calibri" w:cs="Times New Roman"/>
        </w:rPr>
        <w:t xml:space="preserve"> well positioned to release </w:t>
      </w:r>
      <w:r w:rsidR="002771D7">
        <w:rPr>
          <w:rFonts w:ascii="Calibri" w:eastAsia="Calibri" w:hAnsi="Calibri" w:cs="Times New Roman"/>
        </w:rPr>
        <w:t xml:space="preserve">exchange </w:t>
      </w:r>
      <w:r w:rsidR="004D1EC6">
        <w:rPr>
          <w:rFonts w:ascii="Calibri" w:eastAsia="Calibri" w:hAnsi="Calibri" w:cs="Times New Roman"/>
        </w:rPr>
        <w:t xml:space="preserve">credits for agricultural nutrient reduction practices. </w:t>
      </w:r>
      <w:r w:rsidR="002771D7">
        <w:rPr>
          <w:rFonts w:ascii="Calibri" w:eastAsia="Calibri" w:hAnsi="Calibri" w:cs="Times New Roman"/>
        </w:rPr>
        <w:t>Nationally, other</w:t>
      </w:r>
      <w:r w:rsidR="002771D7" w:rsidRPr="00424A5F">
        <w:rPr>
          <w:rFonts w:ascii="Calibri" w:eastAsia="Calibri" w:hAnsi="Calibri" w:cs="Times New Roman"/>
        </w:rPr>
        <w:t xml:space="preserve"> </w:t>
      </w:r>
      <w:r w:rsidRPr="00424A5F">
        <w:rPr>
          <w:rFonts w:ascii="Calibri" w:eastAsia="Calibri" w:hAnsi="Calibri" w:cs="Times New Roman"/>
        </w:rPr>
        <w:t>jurisdictions utilize third-party contractors for credit releases and inspections, an option that may be developed further if demand requires. In all cases, DWR anticipates retaining audit authority for credit releases to ensure consistency and integrity in the credit release process.</w:t>
      </w:r>
      <w:r>
        <w:rPr>
          <w:rFonts w:ascii="Calibri" w:eastAsia="Calibri" w:hAnsi="Calibri" w:cs="Times New Roman"/>
        </w:rPr>
        <w:t xml:space="preserve">  DWR also envisions providing key forms and guidance for </w:t>
      </w:r>
      <w:r w:rsidR="009E5E42">
        <w:rPr>
          <w:rFonts w:ascii="Calibri" w:eastAsia="Calibri" w:hAnsi="Calibri" w:cs="Times New Roman"/>
        </w:rPr>
        <w:t>all parties</w:t>
      </w:r>
      <w:r>
        <w:rPr>
          <w:rFonts w:ascii="Calibri" w:eastAsia="Calibri" w:hAnsi="Calibri" w:cs="Times New Roman"/>
        </w:rPr>
        <w:t xml:space="preserve"> to help facilitate </w:t>
      </w:r>
      <w:r w:rsidR="002771D7">
        <w:rPr>
          <w:rFonts w:ascii="Calibri" w:eastAsia="Calibri" w:hAnsi="Calibri" w:cs="Times New Roman"/>
        </w:rPr>
        <w:t xml:space="preserve">and provide consistency in </w:t>
      </w:r>
      <w:r>
        <w:rPr>
          <w:rFonts w:ascii="Calibri" w:eastAsia="Calibri" w:hAnsi="Calibri" w:cs="Times New Roman"/>
        </w:rPr>
        <w:t>this process.</w:t>
      </w:r>
      <w:r w:rsidR="009E5E42">
        <w:rPr>
          <w:rFonts w:ascii="Calibri" w:eastAsia="Calibri" w:hAnsi="Calibri" w:cs="Times New Roman"/>
        </w:rPr>
        <w:t xml:space="preserve">  </w:t>
      </w:r>
      <w:r w:rsidR="001F3D71">
        <w:rPr>
          <w:rFonts w:ascii="Calibri" w:eastAsia="Calibri" w:hAnsi="Calibri" w:cs="Times New Roman"/>
        </w:rPr>
        <w:t xml:space="preserve">Importantly, to carry out this delegation of authority, a </w:t>
      </w:r>
      <w:r w:rsidR="009E5E42">
        <w:rPr>
          <w:rFonts w:ascii="Calibri" w:eastAsia="Calibri" w:hAnsi="Calibri" w:cs="Times New Roman"/>
        </w:rPr>
        <w:t xml:space="preserve">new rule governing temporary credit trading </w:t>
      </w:r>
      <w:r w:rsidR="001A45B6">
        <w:rPr>
          <w:rFonts w:ascii="Calibri" w:eastAsia="Calibri" w:hAnsi="Calibri" w:cs="Times New Roman"/>
        </w:rPr>
        <w:t>would be necessary</w:t>
      </w:r>
      <w:r w:rsidR="009E5E42">
        <w:rPr>
          <w:rFonts w:ascii="Calibri" w:eastAsia="Calibri" w:hAnsi="Calibri" w:cs="Times New Roman"/>
        </w:rPr>
        <w:t>.</w:t>
      </w:r>
    </w:p>
    <w:p w14:paraId="69106F3C" w14:textId="77777777" w:rsidR="00424A5F" w:rsidRPr="000742F4" w:rsidRDefault="00424A5F" w:rsidP="000742F4">
      <w:pPr>
        <w:pStyle w:val="Heading3"/>
        <w:rPr>
          <w:rFonts w:eastAsia="Times New Roman"/>
          <w:color w:val="0B3C61" w:themeColor="accent1"/>
        </w:rPr>
      </w:pPr>
      <w:bookmarkStart w:id="43" w:name="_Toc491352620"/>
      <w:bookmarkStart w:id="44" w:name="_Toc491436819"/>
      <w:bookmarkStart w:id="45" w:name="_Toc492020024"/>
      <w:r w:rsidRPr="000742F4">
        <w:rPr>
          <w:rFonts w:eastAsia="Times New Roman"/>
          <w:color w:val="0B3C61" w:themeColor="accent1"/>
        </w:rPr>
        <w:t xml:space="preserve">Trading </w:t>
      </w:r>
      <w:r w:rsidR="00715DCD">
        <w:rPr>
          <w:rFonts w:eastAsia="Times New Roman"/>
          <w:color w:val="0B3C61" w:themeColor="accent1"/>
        </w:rPr>
        <w:t xml:space="preserve">and Tracking </w:t>
      </w:r>
      <w:r w:rsidR="000742F4">
        <w:rPr>
          <w:rFonts w:eastAsia="Times New Roman"/>
          <w:color w:val="0B3C61" w:themeColor="accent1"/>
        </w:rPr>
        <w:t>Credit</w:t>
      </w:r>
      <w:bookmarkEnd w:id="43"/>
      <w:bookmarkEnd w:id="44"/>
      <w:bookmarkEnd w:id="45"/>
    </w:p>
    <w:p w14:paraId="36883E7E" w14:textId="0A8F40E6" w:rsidR="00647BE9" w:rsidRDefault="00BF69E9" w:rsidP="00BF69E9">
      <w:pPr>
        <w:rPr>
          <w:rFonts w:ascii="Calibri" w:eastAsia="Calibri" w:hAnsi="Calibri" w:cs="Times New Roman"/>
        </w:rPr>
      </w:pPr>
      <w:r w:rsidRPr="00BF69E9">
        <w:rPr>
          <w:rFonts w:ascii="Calibri" w:eastAsia="Calibri" w:hAnsi="Calibri" w:cs="Times New Roman"/>
        </w:rPr>
        <w:t xml:space="preserve">Existing nutrient </w:t>
      </w:r>
      <w:r w:rsidR="00847C90">
        <w:rPr>
          <w:rFonts w:ascii="Calibri" w:eastAsia="Calibri" w:hAnsi="Calibri" w:cs="Times New Roman"/>
        </w:rPr>
        <w:t xml:space="preserve">offset credit </w:t>
      </w:r>
      <w:r w:rsidRPr="00BF69E9">
        <w:rPr>
          <w:rFonts w:ascii="Calibri" w:eastAsia="Calibri" w:hAnsi="Calibri" w:cs="Times New Roman"/>
        </w:rPr>
        <w:t xml:space="preserve">trading mechanisms </w:t>
      </w:r>
      <w:r w:rsidR="00CA1757">
        <w:rPr>
          <w:rFonts w:ascii="Calibri" w:eastAsia="Calibri" w:hAnsi="Calibri" w:cs="Times New Roman"/>
        </w:rPr>
        <w:t>are</w:t>
      </w:r>
      <w:r w:rsidRPr="00BF69E9">
        <w:rPr>
          <w:rFonts w:ascii="Calibri" w:eastAsia="Calibri" w:hAnsi="Calibri" w:cs="Times New Roman"/>
        </w:rPr>
        <w:t xml:space="preserve"> described above</w:t>
      </w:r>
      <w:r w:rsidR="00847C90">
        <w:rPr>
          <w:rFonts w:ascii="Calibri" w:eastAsia="Calibri" w:hAnsi="Calibri" w:cs="Times New Roman"/>
        </w:rPr>
        <w:t>.  Existing processes that facilitate and record nutrient offset credit trades are not proposed for change.</w:t>
      </w:r>
      <w:r>
        <w:rPr>
          <w:rFonts w:ascii="Calibri" w:eastAsia="Calibri" w:hAnsi="Calibri" w:cs="Times New Roman"/>
        </w:rPr>
        <w:t xml:space="preserve">  </w:t>
      </w:r>
    </w:p>
    <w:p w14:paraId="23D23E9E" w14:textId="77777777" w:rsidR="00647BE9" w:rsidRDefault="00647BE9" w:rsidP="00BF69E9">
      <w:pPr>
        <w:rPr>
          <w:rFonts w:ascii="Calibri" w:eastAsia="Calibri" w:hAnsi="Calibri" w:cs="Times New Roman"/>
        </w:rPr>
      </w:pPr>
      <w:r w:rsidRPr="00847C90">
        <w:rPr>
          <w:rFonts w:ascii="Calibri" w:eastAsia="Calibri" w:hAnsi="Calibri" w:cs="Times New Roman"/>
        </w:rPr>
        <w:t xml:space="preserve">Nutrient offset credit providers </w:t>
      </w:r>
      <w:r>
        <w:rPr>
          <w:rFonts w:ascii="Calibri" w:eastAsia="Calibri" w:hAnsi="Calibri" w:cs="Times New Roman"/>
        </w:rPr>
        <w:t>record available credits and trades through a credit ledger, which is periodically submitted to DWR</w:t>
      </w:r>
      <w:r w:rsidRPr="00847C90">
        <w:rPr>
          <w:rFonts w:ascii="Calibri" w:eastAsia="Calibri" w:hAnsi="Calibri" w:cs="Times New Roman"/>
        </w:rPr>
        <w:t xml:space="preserve"> </w:t>
      </w:r>
      <w:r>
        <w:rPr>
          <w:rFonts w:ascii="Calibri" w:eastAsia="Calibri" w:hAnsi="Calibri" w:cs="Times New Roman"/>
        </w:rPr>
        <w:t>for review and audit.  Ledgers provide critical information regarding the creation of nutrient reduction credits by the provider and show when and to whom they have been sold.  These ledgers are also posted on DWR’s website, providing market transparency and advertising the existence of nutrient offset credits for purchase.</w:t>
      </w:r>
    </w:p>
    <w:p w14:paraId="53B8FAE1" w14:textId="77777777" w:rsidR="00BF69E9" w:rsidRPr="00BF69E9" w:rsidRDefault="00847C90" w:rsidP="00BF69E9">
      <w:pPr>
        <w:rPr>
          <w:rFonts w:ascii="Calibri" w:eastAsia="Calibri" w:hAnsi="Calibri" w:cs="Times New Roman"/>
        </w:rPr>
      </w:pPr>
      <w:r>
        <w:rPr>
          <w:rFonts w:ascii="Calibri" w:eastAsia="Calibri" w:hAnsi="Calibri" w:cs="Times New Roman"/>
        </w:rPr>
        <w:t>However, with a</w:t>
      </w:r>
      <w:r w:rsidR="00BF69E9">
        <w:rPr>
          <w:rFonts w:ascii="Calibri" w:eastAsia="Calibri" w:hAnsi="Calibri" w:cs="Times New Roman"/>
        </w:rPr>
        <w:t xml:space="preserve"> new </w:t>
      </w:r>
      <w:r>
        <w:rPr>
          <w:rFonts w:ascii="Calibri" w:eastAsia="Calibri" w:hAnsi="Calibri" w:cs="Times New Roman"/>
        </w:rPr>
        <w:t xml:space="preserve">proposed </w:t>
      </w:r>
      <w:r w:rsidR="00BF69E9">
        <w:rPr>
          <w:rFonts w:ascii="Calibri" w:eastAsia="Calibri" w:hAnsi="Calibri" w:cs="Times New Roman"/>
        </w:rPr>
        <w:t xml:space="preserve">credit type and more potential market participants, new mechanisms for facilitating and recording nutrient </w:t>
      </w:r>
      <w:r>
        <w:rPr>
          <w:rFonts w:ascii="Calibri" w:eastAsia="Calibri" w:hAnsi="Calibri" w:cs="Times New Roman"/>
        </w:rPr>
        <w:t xml:space="preserve">exchange </w:t>
      </w:r>
      <w:r w:rsidR="00BF69E9">
        <w:rPr>
          <w:rFonts w:ascii="Calibri" w:eastAsia="Calibri" w:hAnsi="Calibri" w:cs="Times New Roman"/>
        </w:rPr>
        <w:t>credit trades are desirable.</w:t>
      </w:r>
    </w:p>
    <w:p w14:paraId="7A7D6E83" w14:textId="77777777" w:rsidR="00847C90" w:rsidRDefault="00847C90" w:rsidP="007E76AC">
      <w:pPr>
        <w:pStyle w:val="Heading5"/>
        <w:rPr>
          <w:rFonts w:eastAsia="Calibri"/>
          <w:color w:val="789B4A" w:themeColor="accent2"/>
        </w:rPr>
      </w:pPr>
      <w:r>
        <w:rPr>
          <w:rFonts w:eastAsia="Calibri"/>
          <w:color w:val="789B4A" w:themeColor="accent2"/>
        </w:rPr>
        <w:t>Near</w:t>
      </w:r>
      <w:r w:rsidRPr="00A9620B">
        <w:rPr>
          <w:rFonts w:eastAsia="Calibri"/>
          <w:color w:val="789B4A" w:themeColor="accent2"/>
        </w:rPr>
        <w:t xml:space="preserve"> term proposal:</w:t>
      </w:r>
      <w:r>
        <w:rPr>
          <w:rFonts w:eastAsia="Calibri"/>
          <w:color w:val="789B4A" w:themeColor="accent2"/>
        </w:rPr>
        <w:t xml:space="preserve"> </w:t>
      </w:r>
      <w:r w:rsidR="00647BE9">
        <w:rPr>
          <w:rFonts w:eastAsia="Calibri"/>
          <w:color w:val="789B4A" w:themeColor="accent2"/>
        </w:rPr>
        <w:t>e</w:t>
      </w:r>
      <w:r>
        <w:rPr>
          <w:rFonts w:eastAsia="Calibri"/>
          <w:color w:val="789B4A" w:themeColor="accent2"/>
        </w:rPr>
        <w:t xml:space="preserve">xpanding ledger submission requirements to exchange credit </w:t>
      </w:r>
      <w:r w:rsidR="007E76AC">
        <w:rPr>
          <w:rFonts w:eastAsia="Calibri"/>
          <w:color w:val="789B4A" w:themeColor="accent2"/>
        </w:rPr>
        <w:t>sellers</w:t>
      </w:r>
    </w:p>
    <w:p w14:paraId="3905A38E" w14:textId="77777777" w:rsidR="00647BE9" w:rsidRDefault="00647BE9" w:rsidP="00647BE9">
      <w:pPr>
        <w:rPr>
          <w:rFonts w:ascii="Calibri" w:eastAsia="Calibri" w:hAnsi="Calibri" w:cs="Times New Roman"/>
        </w:rPr>
      </w:pPr>
      <w:r w:rsidRPr="00647BE9">
        <w:rPr>
          <w:rFonts w:ascii="Calibri" w:eastAsia="Calibri" w:hAnsi="Calibri" w:cs="Times New Roman"/>
        </w:rPr>
        <w:t xml:space="preserve">If a decentralized process </w:t>
      </w:r>
      <w:r>
        <w:rPr>
          <w:rFonts w:ascii="Calibri" w:eastAsia="Calibri" w:hAnsi="Calibri" w:cs="Times New Roman"/>
        </w:rPr>
        <w:t xml:space="preserve">is implemented </w:t>
      </w:r>
      <w:r w:rsidRPr="00647BE9">
        <w:rPr>
          <w:rFonts w:ascii="Calibri" w:eastAsia="Calibri" w:hAnsi="Calibri" w:cs="Times New Roman"/>
        </w:rPr>
        <w:t xml:space="preserve">for releasing </w:t>
      </w:r>
      <w:r>
        <w:rPr>
          <w:rFonts w:ascii="Calibri" w:eastAsia="Calibri" w:hAnsi="Calibri" w:cs="Times New Roman"/>
        </w:rPr>
        <w:t xml:space="preserve">exchange </w:t>
      </w:r>
      <w:r w:rsidRPr="00647BE9">
        <w:rPr>
          <w:rFonts w:ascii="Calibri" w:eastAsia="Calibri" w:hAnsi="Calibri" w:cs="Times New Roman"/>
        </w:rPr>
        <w:t>credits</w:t>
      </w:r>
      <w:r>
        <w:rPr>
          <w:rFonts w:ascii="Calibri" w:eastAsia="Calibri" w:hAnsi="Calibri" w:cs="Times New Roman"/>
        </w:rPr>
        <w:t>, further steps w</w:t>
      </w:r>
      <w:r w:rsidR="001A15AD">
        <w:rPr>
          <w:rFonts w:ascii="Calibri" w:eastAsia="Calibri" w:hAnsi="Calibri" w:cs="Times New Roman"/>
        </w:rPr>
        <w:t>ould</w:t>
      </w:r>
      <w:r>
        <w:rPr>
          <w:rFonts w:ascii="Calibri" w:eastAsia="Calibri" w:hAnsi="Calibri" w:cs="Times New Roman"/>
        </w:rPr>
        <w:t xml:space="preserve"> be necessary to connect new exchange credit owners with potential buyers and ensure state regulatory oversight is retained.  </w:t>
      </w:r>
      <w:r w:rsidR="004C54F2">
        <w:rPr>
          <w:rFonts w:ascii="Calibri" w:eastAsia="Calibri" w:hAnsi="Calibri" w:cs="Times New Roman"/>
        </w:rPr>
        <w:t xml:space="preserve">With some adjustments, the existing process for trading nutrient offset credits can be adapted to trading nutrient exchange credits.  </w:t>
      </w:r>
    </w:p>
    <w:p w14:paraId="0E48BF43" w14:textId="1EC49A28" w:rsidR="001F3D71" w:rsidRPr="001A15AD" w:rsidRDefault="001F3D71" w:rsidP="001F3D71">
      <w:pPr>
        <w:rPr>
          <w:rFonts w:ascii="Calibri" w:eastAsia="Calibri" w:hAnsi="Calibri" w:cs="Times New Roman"/>
        </w:rPr>
      </w:pPr>
      <w:r>
        <w:rPr>
          <w:rFonts w:ascii="Calibri" w:eastAsia="Calibri" w:hAnsi="Calibri" w:cs="Times New Roman"/>
        </w:rPr>
        <w:t xml:space="preserve">Similar to offset trading and tracking, the end result of this process would be a DWR-hosted website that is updated routinely, provides public information regarding all nutrient exchange credit transactions, and offers a resource to determine whether credits are available for sale.  This arrangement should suffice </w:t>
      </w:r>
      <w:r w:rsidR="003E4C98">
        <w:rPr>
          <w:rFonts w:ascii="Calibri" w:eastAsia="Calibri" w:hAnsi="Calibri" w:cs="Times New Roman"/>
        </w:rPr>
        <w:t>if</w:t>
      </w:r>
      <w:r>
        <w:rPr>
          <w:rFonts w:ascii="Calibri" w:eastAsia="Calibri" w:hAnsi="Calibri" w:cs="Times New Roman"/>
        </w:rPr>
        <w:t xml:space="preserve"> exchange credit trading volume remains light to moderate.</w:t>
      </w:r>
    </w:p>
    <w:p w14:paraId="2860641E" w14:textId="545CD750" w:rsidR="004C54F2" w:rsidRPr="00647BE9" w:rsidRDefault="001F3D71" w:rsidP="00647BE9">
      <w:pPr>
        <w:rPr>
          <w:rFonts w:ascii="Calibri" w:eastAsia="Times New Roman" w:hAnsi="Calibri" w:cs="Times New Roman"/>
          <w:iCs/>
          <w:color w:val="00838F"/>
          <w:sz w:val="22"/>
          <w:szCs w:val="22"/>
        </w:rPr>
      </w:pPr>
      <w:r>
        <w:rPr>
          <w:rFonts w:ascii="Calibri" w:eastAsia="Calibri" w:hAnsi="Calibri" w:cs="Times New Roman"/>
        </w:rPr>
        <w:t xml:space="preserve">Like offset trading and tracking, credit providers would produce exchange credit ledgers and </w:t>
      </w:r>
      <w:r w:rsidR="0030532F">
        <w:rPr>
          <w:rFonts w:ascii="Calibri" w:eastAsia="Calibri" w:hAnsi="Calibri" w:cs="Times New Roman"/>
        </w:rPr>
        <w:t xml:space="preserve">periodically </w:t>
      </w:r>
      <w:r>
        <w:rPr>
          <w:rFonts w:ascii="Calibri" w:eastAsia="Calibri" w:hAnsi="Calibri" w:cs="Times New Roman"/>
        </w:rPr>
        <w:t xml:space="preserve">provide them to DWR. </w:t>
      </w:r>
      <w:r w:rsidR="004C54F2">
        <w:rPr>
          <w:rFonts w:ascii="Calibri" w:eastAsia="Calibri" w:hAnsi="Calibri" w:cs="Times New Roman"/>
        </w:rPr>
        <w:t xml:space="preserve">Importantly, the required fields for a nutrient exchange credit ledger </w:t>
      </w:r>
      <w:r w:rsidR="001A15AD">
        <w:rPr>
          <w:rFonts w:ascii="Calibri" w:eastAsia="Calibri" w:hAnsi="Calibri" w:cs="Times New Roman"/>
        </w:rPr>
        <w:t>would</w:t>
      </w:r>
      <w:r w:rsidR="004C54F2">
        <w:rPr>
          <w:rFonts w:ascii="Calibri" w:eastAsia="Calibri" w:hAnsi="Calibri" w:cs="Times New Roman"/>
        </w:rPr>
        <w:t xml:space="preserve"> require adjustments.  Where nutrient offset credits are effectively retired immediately upon purchase by a developer, nutrient exchange credits will have a finite </w:t>
      </w:r>
      <w:r w:rsidR="00AB69AE">
        <w:rPr>
          <w:rFonts w:ascii="Calibri" w:eastAsia="Calibri" w:hAnsi="Calibri" w:cs="Times New Roman"/>
        </w:rPr>
        <w:t>lifespan</w:t>
      </w:r>
      <w:r w:rsidR="004C54F2">
        <w:rPr>
          <w:rFonts w:ascii="Calibri" w:eastAsia="Calibri" w:hAnsi="Calibri" w:cs="Times New Roman"/>
        </w:rPr>
        <w:t xml:space="preserve">.  Therefore, new fields regarding their date of creation and date of expiration would be required.  </w:t>
      </w:r>
      <w:r w:rsidR="001A15AD">
        <w:rPr>
          <w:rFonts w:ascii="Calibri" w:eastAsia="Calibri" w:hAnsi="Calibri" w:cs="Times New Roman"/>
        </w:rPr>
        <w:t>Credits with relatively long lives may be apportioned and sold for discrete time periods</w:t>
      </w:r>
      <w:r w:rsidR="00AB69AE">
        <w:rPr>
          <w:rFonts w:ascii="Calibri" w:eastAsia="Calibri" w:hAnsi="Calibri" w:cs="Times New Roman"/>
        </w:rPr>
        <w:t>, requiring additional tracking information</w:t>
      </w:r>
      <w:r w:rsidR="001A15AD">
        <w:rPr>
          <w:rFonts w:ascii="Calibri" w:eastAsia="Calibri" w:hAnsi="Calibri" w:cs="Times New Roman"/>
        </w:rPr>
        <w:t>.</w:t>
      </w:r>
      <w:r w:rsidR="00BC6E78">
        <w:rPr>
          <w:rFonts w:ascii="Calibri" w:eastAsia="Calibri" w:hAnsi="Calibri" w:cs="Times New Roman"/>
        </w:rPr>
        <w:t xml:space="preserve">  Other information that may be required includes: geographic service area, project origination information, credit amount, credit effective dates, buyer and seller identification, </w:t>
      </w:r>
      <w:r w:rsidR="00AB69AE">
        <w:rPr>
          <w:rFonts w:ascii="Calibri" w:eastAsia="Calibri" w:hAnsi="Calibri" w:cs="Times New Roman"/>
        </w:rPr>
        <w:t xml:space="preserve">and </w:t>
      </w:r>
      <w:r w:rsidR="00BC6E78">
        <w:rPr>
          <w:rFonts w:ascii="Calibri" w:eastAsia="Calibri" w:hAnsi="Calibri" w:cs="Times New Roman"/>
        </w:rPr>
        <w:t xml:space="preserve">trade verification.  </w:t>
      </w:r>
    </w:p>
    <w:p w14:paraId="14ED8B19" w14:textId="38AC74AF" w:rsidR="00647BE9" w:rsidRDefault="001A15AD" w:rsidP="001A15AD">
      <w:pPr>
        <w:rPr>
          <w:rFonts w:ascii="Calibri" w:eastAsia="Calibri" w:hAnsi="Calibri" w:cs="Times New Roman"/>
        </w:rPr>
      </w:pPr>
      <w:r w:rsidRPr="001A15AD">
        <w:rPr>
          <w:rFonts w:ascii="Calibri" w:eastAsia="Calibri" w:hAnsi="Calibri" w:cs="Times New Roman"/>
        </w:rPr>
        <w:t xml:space="preserve">In addition to the ledger, </w:t>
      </w:r>
      <w:r>
        <w:rPr>
          <w:rFonts w:ascii="Calibri" w:eastAsia="Calibri" w:hAnsi="Calibri" w:cs="Times New Roman"/>
        </w:rPr>
        <w:t xml:space="preserve">additional checks might be employed </w:t>
      </w:r>
      <w:r w:rsidR="001F3D71">
        <w:rPr>
          <w:rFonts w:ascii="Calibri" w:eastAsia="Calibri" w:hAnsi="Calibri" w:cs="Times New Roman"/>
        </w:rPr>
        <w:t xml:space="preserve">by DWR </w:t>
      </w:r>
      <w:r>
        <w:rPr>
          <w:rFonts w:ascii="Calibri" w:eastAsia="Calibri" w:hAnsi="Calibri" w:cs="Times New Roman"/>
        </w:rPr>
        <w:t>to ensure that exchange credit transactions are occurring with eligible buyers</w:t>
      </w:r>
      <w:r w:rsidR="00F37075">
        <w:rPr>
          <w:rFonts w:ascii="Calibri" w:eastAsia="Calibri" w:hAnsi="Calibri" w:cs="Times New Roman"/>
        </w:rPr>
        <w:t xml:space="preserve"> (geographically and by sector).  Consideration might also be given to the rate of periodic ledger submission by exchange credit generators and sellers, and to proportionate consequences if credit reporting requirements are not met.</w:t>
      </w:r>
    </w:p>
    <w:p w14:paraId="657BFD5C" w14:textId="77777777" w:rsidR="007E76AC" w:rsidRPr="00A9620B" w:rsidRDefault="007E76AC" w:rsidP="007E76AC">
      <w:pPr>
        <w:pStyle w:val="Heading5"/>
        <w:rPr>
          <w:rFonts w:eastAsia="Calibri"/>
          <w:color w:val="789B4A" w:themeColor="accent2"/>
        </w:rPr>
      </w:pPr>
      <w:r w:rsidRPr="00A9620B">
        <w:rPr>
          <w:rFonts w:eastAsia="Calibri"/>
          <w:color w:val="789B4A" w:themeColor="accent2"/>
        </w:rPr>
        <w:t>Long term proposal: Online trading registry</w:t>
      </w:r>
    </w:p>
    <w:p w14:paraId="60B3983F" w14:textId="3BCAF85D" w:rsidR="007E76AC" w:rsidRDefault="007E76AC" w:rsidP="007E76AC">
      <w:pPr>
        <w:rPr>
          <w:rFonts w:ascii="Calibri" w:eastAsia="Calibri" w:hAnsi="Calibri" w:cs="Times New Roman"/>
        </w:rPr>
      </w:pPr>
      <w:r>
        <w:rPr>
          <w:rFonts w:ascii="Calibri" w:eastAsia="Calibri" w:hAnsi="Calibri" w:cs="Times New Roman"/>
        </w:rPr>
        <w:t>A</w:t>
      </w:r>
      <w:r w:rsidRPr="00424A5F">
        <w:rPr>
          <w:rFonts w:ascii="Calibri" w:eastAsia="Calibri" w:hAnsi="Calibri" w:cs="Times New Roman"/>
        </w:rPr>
        <w:t xml:space="preserve">n online trading registry may </w:t>
      </w:r>
      <w:r>
        <w:rPr>
          <w:rFonts w:ascii="Calibri" w:eastAsia="Calibri" w:hAnsi="Calibri" w:cs="Times New Roman"/>
        </w:rPr>
        <w:t>eventually</w:t>
      </w:r>
      <w:r w:rsidRPr="00424A5F">
        <w:rPr>
          <w:rFonts w:ascii="Calibri" w:eastAsia="Calibri" w:hAnsi="Calibri" w:cs="Times New Roman"/>
        </w:rPr>
        <w:t xml:space="preserve"> engage new market participants</w:t>
      </w:r>
      <w:r>
        <w:rPr>
          <w:rFonts w:ascii="Calibri" w:eastAsia="Calibri" w:hAnsi="Calibri" w:cs="Times New Roman"/>
        </w:rPr>
        <w:t xml:space="preserve"> and significantly reduce transaction costs</w:t>
      </w:r>
      <w:r w:rsidRPr="00424A5F">
        <w:rPr>
          <w:rFonts w:ascii="Calibri" w:eastAsia="Calibri" w:hAnsi="Calibri" w:cs="Times New Roman"/>
        </w:rPr>
        <w:t xml:space="preserve">.  Eventually, online nutrient trading registries are likely to provide significant benefits including improved regulatory workflow, transparency, and market access.  </w:t>
      </w:r>
      <w:r w:rsidR="00A82B29">
        <w:rPr>
          <w:rFonts w:ascii="Calibri" w:eastAsia="Calibri" w:hAnsi="Calibri" w:cs="Times New Roman"/>
        </w:rPr>
        <w:t>However</w:t>
      </w:r>
      <w:r>
        <w:rPr>
          <w:rFonts w:ascii="Calibri" w:eastAsia="Calibri" w:hAnsi="Calibri" w:cs="Times New Roman"/>
        </w:rPr>
        <w:t xml:space="preserve">, </w:t>
      </w:r>
      <w:r w:rsidRPr="00424A5F">
        <w:rPr>
          <w:rFonts w:ascii="Calibri" w:eastAsia="Calibri" w:hAnsi="Calibri" w:cs="Times New Roman"/>
        </w:rPr>
        <w:t xml:space="preserve">adoption of an online nutrient trading registry would be a significant investment for North Carolina.  In addition to </w:t>
      </w:r>
      <w:r w:rsidR="00A82B29">
        <w:rPr>
          <w:rFonts w:ascii="Calibri" w:eastAsia="Calibri" w:hAnsi="Calibri" w:cs="Times New Roman"/>
        </w:rPr>
        <w:t>the need for</w:t>
      </w:r>
      <w:r w:rsidR="00A82B29" w:rsidRPr="00424A5F">
        <w:rPr>
          <w:rFonts w:ascii="Calibri" w:eastAsia="Calibri" w:hAnsi="Calibri" w:cs="Times New Roman"/>
        </w:rPr>
        <w:t xml:space="preserve"> </w:t>
      </w:r>
      <w:r w:rsidRPr="00424A5F">
        <w:rPr>
          <w:rFonts w:ascii="Calibri" w:eastAsia="Calibri" w:hAnsi="Calibri" w:cs="Times New Roman"/>
        </w:rPr>
        <w:t>significant vetting by DEQ staff</w:t>
      </w:r>
      <w:r>
        <w:rPr>
          <w:rFonts w:ascii="Calibri" w:eastAsia="Calibri" w:hAnsi="Calibri" w:cs="Times New Roman"/>
        </w:rPr>
        <w:t xml:space="preserve"> and potential market participants</w:t>
      </w:r>
      <w:r w:rsidRPr="00424A5F">
        <w:rPr>
          <w:rFonts w:ascii="Calibri" w:eastAsia="Calibri" w:hAnsi="Calibri" w:cs="Times New Roman"/>
        </w:rPr>
        <w:t xml:space="preserve">, a plan </w:t>
      </w:r>
      <w:r w:rsidR="00A82B29" w:rsidRPr="00424A5F">
        <w:rPr>
          <w:rFonts w:ascii="Calibri" w:eastAsia="Calibri" w:hAnsi="Calibri" w:cs="Times New Roman"/>
        </w:rPr>
        <w:t xml:space="preserve">should be in place </w:t>
      </w:r>
      <w:r w:rsidRPr="00424A5F">
        <w:rPr>
          <w:rFonts w:ascii="Calibri" w:eastAsia="Calibri" w:hAnsi="Calibri" w:cs="Times New Roman"/>
        </w:rPr>
        <w:t xml:space="preserve">to sustainably finance a registry before </w:t>
      </w:r>
      <w:r w:rsidR="00A82B29">
        <w:rPr>
          <w:rFonts w:ascii="Calibri" w:eastAsia="Calibri" w:hAnsi="Calibri" w:cs="Times New Roman"/>
        </w:rPr>
        <w:t>one</w:t>
      </w:r>
      <w:r w:rsidRPr="00424A5F">
        <w:rPr>
          <w:rFonts w:ascii="Calibri" w:eastAsia="Calibri" w:hAnsi="Calibri" w:cs="Times New Roman"/>
        </w:rPr>
        <w:t xml:space="preserve"> is adopted.  </w:t>
      </w:r>
      <w:r>
        <w:rPr>
          <w:rFonts w:ascii="Calibri" w:eastAsia="Calibri" w:hAnsi="Calibri" w:cs="Times New Roman"/>
        </w:rPr>
        <w:t>Mechanisms to fund such a registry could include direct state appropriations and/or user fees, each of which would require legislative support and approval.</w:t>
      </w:r>
    </w:p>
    <w:p w14:paraId="64E4A351" w14:textId="77777777" w:rsidR="007E76AC" w:rsidRPr="00424A5F" w:rsidRDefault="007E76AC" w:rsidP="007E76AC">
      <w:pPr>
        <w:rPr>
          <w:rFonts w:ascii="Calibri" w:eastAsia="Calibri" w:hAnsi="Calibri" w:cs="Times New Roman"/>
        </w:rPr>
      </w:pPr>
      <w:r>
        <w:rPr>
          <w:rFonts w:ascii="Calibri" w:eastAsia="Calibri" w:hAnsi="Calibri" w:cs="Times New Roman"/>
        </w:rPr>
        <w:t xml:space="preserve">Given these challenges, a turnkey solution for an online trading registry is unlikely to be </w:t>
      </w:r>
      <w:r w:rsidR="008F5EA7">
        <w:rPr>
          <w:rFonts w:ascii="Calibri" w:eastAsia="Calibri" w:hAnsi="Calibri" w:cs="Times New Roman"/>
        </w:rPr>
        <w:t>implemented soon</w:t>
      </w:r>
      <w:r>
        <w:rPr>
          <w:rFonts w:ascii="Calibri" w:eastAsia="Calibri" w:hAnsi="Calibri" w:cs="Times New Roman"/>
        </w:rPr>
        <w:t xml:space="preserve">.  However, some federal efforts are underway to provide this functionality, including potential updates to the Army Corps of Engineers’ </w:t>
      </w:r>
      <w:r w:rsidRPr="00582CBF">
        <w:rPr>
          <w:rFonts w:ascii="Calibri" w:eastAsia="Calibri" w:hAnsi="Calibri" w:cs="Times New Roman"/>
        </w:rPr>
        <w:t>Regional Internet Bank Information Tracking System</w:t>
      </w:r>
      <w:r>
        <w:rPr>
          <w:rFonts w:ascii="Calibri" w:eastAsia="Calibri" w:hAnsi="Calibri" w:cs="Times New Roman"/>
        </w:rPr>
        <w:t xml:space="preserve"> (RIBITS).  Private companies also offer custom and semi-custom registry options.</w:t>
      </w:r>
    </w:p>
    <w:p w14:paraId="325A52FD" w14:textId="77777777" w:rsidR="00AF012E" w:rsidRDefault="00715DCD" w:rsidP="00715DCD">
      <w:pPr>
        <w:pStyle w:val="Heading3"/>
        <w:rPr>
          <w:rFonts w:eastAsia="Times New Roman"/>
          <w:color w:val="0B3C61" w:themeColor="accent1"/>
        </w:rPr>
      </w:pPr>
      <w:bookmarkStart w:id="46" w:name="_Toc491352621"/>
      <w:bookmarkStart w:id="47" w:name="_Toc491436820"/>
      <w:bookmarkStart w:id="48" w:name="_Toc492020025"/>
      <w:r>
        <w:rPr>
          <w:rFonts w:eastAsia="Times New Roman"/>
          <w:color w:val="0B3C61" w:themeColor="accent1"/>
        </w:rPr>
        <w:t xml:space="preserve">Redeeming </w:t>
      </w:r>
      <w:r w:rsidR="000B1EF2">
        <w:rPr>
          <w:rFonts w:eastAsia="Times New Roman"/>
          <w:color w:val="0B3C61" w:themeColor="accent1"/>
        </w:rPr>
        <w:t>Credit</w:t>
      </w:r>
      <w:bookmarkEnd w:id="46"/>
      <w:bookmarkEnd w:id="47"/>
      <w:bookmarkEnd w:id="48"/>
    </w:p>
    <w:p w14:paraId="4E2E715A" w14:textId="20468C5A" w:rsidR="00BA3744" w:rsidRDefault="002769CA" w:rsidP="008F5EA7">
      <w:pPr>
        <w:rPr>
          <w:rFonts w:ascii="Calibri" w:eastAsia="Calibri" w:hAnsi="Calibri" w:cs="Times New Roman"/>
        </w:rPr>
      </w:pPr>
      <w:r>
        <w:rPr>
          <w:rFonts w:ascii="Calibri" w:eastAsia="Calibri" w:hAnsi="Calibri" w:cs="Times New Roman"/>
        </w:rPr>
        <w:t xml:space="preserve">Credit redemption refers to the process of utilizing an acquired credit to meet regulatory obligations. </w:t>
      </w:r>
      <w:r w:rsidR="008F5EA7" w:rsidRPr="000415F9">
        <w:rPr>
          <w:rFonts w:ascii="Calibri" w:eastAsia="Calibri" w:hAnsi="Calibri" w:cs="Times New Roman"/>
        </w:rPr>
        <w:t xml:space="preserve">Presently, nutrient offset credits are </w:t>
      </w:r>
      <w:r w:rsidR="008F5EA7">
        <w:rPr>
          <w:rFonts w:ascii="Calibri" w:eastAsia="Calibri" w:hAnsi="Calibri" w:cs="Times New Roman"/>
        </w:rPr>
        <w:t>traded</w:t>
      </w:r>
      <w:r w:rsidR="009C51FE">
        <w:rPr>
          <w:rFonts w:ascii="Calibri" w:eastAsia="Calibri" w:hAnsi="Calibri" w:cs="Times New Roman"/>
        </w:rPr>
        <w:t>, then</w:t>
      </w:r>
      <w:r w:rsidR="008F5EA7">
        <w:rPr>
          <w:rFonts w:ascii="Calibri" w:eastAsia="Calibri" w:hAnsi="Calibri" w:cs="Times New Roman"/>
        </w:rPr>
        <w:t xml:space="preserve"> immediately utilized and retired to offset new development projects. </w:t>
      </w:r>
      <w:r w:rsidR="00BA3744">
        <w:rPr>
          <w:rFonts w:ascii="Calibri" w:eastAsia="Calibri" w:hAnsi="Calibri" w:cs="Times New Roman"/>
        </w:rPr>
        <w:t>No changes are proposed regarding this process.</w:t>
      </w:r>
    </w:p>
    <w:p w14:paraId="66BF616F" w14:textId="1E846CCD" w:rsidR="008F5EA7" w:rsidRDefault="00BA3744" w:rsidP="008F5EA7">
      <w:pPr>
        <w:rPr>
          <w:rFonts w:ascii="Calibri" w:eastAsia="Calibri" w:hAnsi="Calibri" w:cs="Times New Roman"/>
        </w:rPr>
      </w:pPr>
      <w:r>
        <w:rPr>
          <w:rFonts w:ascii="Calibri" w:eastAsia="Calibri" w:hAnsi="Calibri" w:cs="Times New Roman"/>
        </w:rPr>
        <w:t>F</w:t>
      </w:r>
      <w:r w:rsidR="008F5EA7">
        <w:rPr>
          <w:rFonts w:ascii="Calibri" w:eastAsia="Calibri" w:hAnsi="Calibri" w:cs="Times New Roman"/>
        </w:rPr>
        <w:t xml:space="preserve">or existing development rules, it will likely become necessary </w:t>
      </w:r>
      <w:r w:rsidR="003A3909">
        <w:rPr>
          <w:rFonts w:ascii="Calibri" w:eastAsia="Calibri" w:hAnsi="Calibri" w:cs="Times New Roman"/>
        </w:rPr>
        <w:t xml:space="preserve">for local governments </w:t>
      </w:r>
      <w:r w:rsidR="008F5EA7">
        <w:rPr>
          <w:rFonts w:ascii="Calibri" w:eastAsia="Calibri" w:hAnsi="Calibri" w:cs="Times New Roman"/>
        </w:rPr>
        <w:t xml:space="preserve">to track offset credits indefinitely and </w:t>
      </w:r>
      <w:r>
        <w:rPr>
          <w:rFonts w:ascii="Calibri" w:eastAsia="Calibri" w:hAnsi="Calibri" w:cs="Times New Roman"/>
        </w:rPr>
        <w:t>exchange</w:t>
      </w:r>
      <w:r w:rsidR="008F5EA7">
        <w:rPr>
          <w:rFonts w:ascii="Calibri" w:eastAsia="Calibri" w:hAnsi="Calibri" w:cs="Times New Roman"/>
        </w:rPr>
        <w:t xml:space="preserve"> credits for a set period of time.</w:t>
      </w:r>
      <w:r>
        <w:rPr>
          <w:rFonts w:ascii="Calibri" w:eastAsia="Calibri" w:hAnsi="Calibri" w:cs="Times New Roman"/>
        </w:rPr>
        <w:t xml:space="preserve"> </w:t>
      </w:r>
      <w:r w:rsidR="006128C1">
        <w:rPr>
          <w:rFonts w:ascii="Calibri" w:eastAsia="Calibri" w:hAnsi="Calibri" w:cs="Times New Roman"/>
        </w:rPr>
        <w:t xml:space="preserve">If proposed changes to the nutrient offset rule are implemented, nutrient offset credits may be claimed indefinitely. Exchange credits, on the other hand, may be claimed under a future exchange credit trading rule for the period for which they have been credited. </w:t>
      </w:r>
      <w:r w:rsidR="008F5EA7">
        <w:rPr>
          <w:rFonts w:ascii="Calibri" w:eastAsia="Calibri" w:hAnsi="Calibri" w:cs="Times New Roman"/>
        </w:rPr>
        <w:t xml:space="preserve">Local government compliance with existing development rules will be guided </w:t>
      </w:r>
      <w:r w:rsidR="003A3909">
        <w:rPr>
          <w:rFonts w:ascii="Calibri" w:eastAsia="Calibri" w:hAnsi="Calibri" w:cs="Times New Roman"/>
        </w:rPr>
        <w:t xml:space="preserve">primarily </w:t>
      </w:r>
      <w:r w:rsidR="008F5EA7">
        <w:rPr>
          <w:rFonts w:ascii="Calibri" w:eastAsia="Calibri" w:hAnsi="Calibri" w:cs="Times New Roman"/>
        </w:rPr>
        <w:t xml:space="preserve">by DWR’s existing development model program and then </w:t>
      </w:r>
      <w:r w:rsidR="003A3909">
        <w:rPr>
          <w:rFonts w:ascii="Calibri" w:eastAsia="Calibri" w:hAnsi="Calibri" w:cs="Times New Roman"/>
        </w:rPr>
        <w:t xml:space="preserve">by </w:t>
      </w:r>
      <w:r w:rsidR="008F5EA7">
        <w:rPr>
          <w:rFonts w:ascii="Calibri" w:eastAsia="Calibri" w:hAnsi="Calibri" w:cs="Times New Roman"/>
        </w:rPr>
        <w:t xml:space="preserve">local programs upon adoption.  Reporting </w:t>
      </w:r>
      <w:r w:rsidR="003A3909">
        <w:rPr>
          <w:rFonts w:ascii="Calibri" w:eastAsia="Calibri" w:hAnsi="Calibri" w:cs="Times New Roman"/>
        </w:rPr>
        <w:t xml:space="preserve">commitments </w:t>
      </w:r>
      <w:r w:rsidR="008F5EA7">
        <w:rPr>
          <w:rFonts w:ascii="Calibri" w:eastAsia="Calibri" w:hAnsi="Calibri" w:cs="Times New Roman"/>
        </w:rPr>
        <w:t xml:space="preserve">in these programs </w:t>
      </w:r>
      <w:r w:rsidR="001961CE">
        <w:rPr>
          <w:rFonts w:ascii="Calibri" w:eastAsia="Calibri" w:hAnsi="Calibri" w:cs="Times New Roman"/>
        </w:rPr>
        <w:t xml:space="preserve">will </w:t>
      </w:r>
      <w:r w:rsidR="008F5EA7">
        <w:rPr>
          <w:rFonts w:ascii="Calibri" w:eastAsia="Calibri" w:hAnsi="Calibri" w:cs="Times New Roman"/>
        </w:rPr>
        <w:t xml:space="preserve">specify reporting requirements for self-generated nutrient reduction credits as well as any offset and exchange credits that satisfy their regulatory obligations.  </w:t>
      </w:r>
    </w:p>
    <w:p w14:paraId="5709D410" w14:textId="5BECF388" w:rsidR="00BA3744" w:rsidRDefault="002D2017" w:rsidP="008F5EA7">
      <w:pPr>
        <w:rPr>
          <w:rFonts w:ascii="Calibri" w:eastAsia="Calibri" w:hAnsi="Calibri" w:cs="Times New Roman"/>
        </w:rPr>
      </w:pPr>
      <w:r>
        <w:rPr>
          <w:rFonts w:ascii="Calibri" w:eastAsia="Calibri" w:hAnsi="Calibri" w:cs="Times New Roman"/>
        </w:rPr>
        <w:t>Upon completion of the wastewater overtreatment credit under development by DWR, w</w:t>
      </w:r>
      <w:r w:rsidR="00BA3744">
        <w:rPr>
          <w:rFonts w:ascii="Calibri" w:eastAsia="Calibri" w:hAnsi="Calibri" w:cs="Times New Roman"/>
        </w:rPr>
        <w:t xml:space="preserve">astewater treatment facilities </w:t>
      </w:r>
      <w:r>
        <w:rPr>
          <w:rFonts w:ascii="Calibri" w:eastAsia="Calibri" w:hAnsi="Calibri" w:cs="Times New Roman"/>
        </w:rPr>
        <w:t>will hav</w:t>
      </w:r>
      <w:r w:rsidR="00E17B87">
        <w:rPr>
          <w:rFonts w:ascii="Calibri" w:eastAsia="Calibri" w:hAnsi="Calibri" w:cs="Times New Roman"/>
        </w:rPr>
        <w:t>e</w:t>
      </w:r>
      <w:r w:rsidR="00BA3744">
        <w:rPr>
          <w:rFonts w:ascii="Calibri" w:eastAsia="Calibri" w:hAnsi="Calibri" w:cs="Times New Roman"/>
        </w:rPr>
        <w:t xml:space="preserve"> the option to convert offset credit into nutrient allocation.  They may also utilize exchange credits to temporarily supplement allocation, subject to any limitations</w:t>
      </w:r>
      <w:r w:rsidR="00E17B87">
        <w:rPr>
          <w:rFonts w:ascii="Calibri" w:eastAsia="Calibri" w:hAnsi="Calibri" w:cs="Times New Roman"/>
        </w:rPr>
        <w:t xml:space="preserve"> that may arise as rules and policies for temporary credit trading are developed.</w:t>
      </w:r>
    </w:p>
    <w:p w14:paraId="2F194381" w14:textId="77777777" w:rsidR="000B1EF2" w:rsidRPr="000B1EF2" w:rsidRDefault="000B1EF2" w:rsidP="000B1EF2">
      <w:pPr>
        <w:pStyle w:val="Heading3"/>
        <w:rPr>
          <w:rFonts w:eastAsia="Times New Roman"/>
          <w:color w:val="0B3C61" w:themeColor="accent1"/>
        </w:rPr>
      </w:pPr>
      <w:bookmarkStart w:id="49" w:name="_Toc491352622"/>
      <w:bookmarkStart w:id="50" w:name="_Toc491436821"/>
      <w:bookmarkStart w:id="51" w:name="_Toc492020026"/>
      <w:r>
        <w:rPr>
          <w:rFonts w:eastAsia="Times New Roman"/>
          <w:color w:val="0B3C61" w:themeColor="accent1"/>
        </w:rPr>
        <w:t>Retiring Credit</w:t>
      </w:r>
      <w:bookmarkEnd w:id="49"/>
      <w:bookmarkEnd w:id="50"/>
      <w:bookmarkEnd w:id="51"/>
      <w:r w:rsidRPr="000B1EF2">
        <w:rPr>
          <w:rFonts w:eastAsia="Times New Roman"/>
          <w:color w:val="0B3C61" w:themeColor="accent1"/>
        </w:rPr>
        <w:t xml:space="preserve"> </w:t>
      </w:r>
    </w:p>
    <w:p w14:paraId="1607BFD2" w14:textId="77777777" w:rsidR="00F41AF2" w:rsidRDefault="00F41AF2" w:rsidP="000B1EF2">
      <w:r>
        <w:t xml:space="preserve">In some circumstances, it will be appropriate to retire credit, effectively eliminating it from accounting ledgers.  This would be appropriate when a permanent offset credit is paired with a permanent nutrient reduction obligation.  It would also be appropriate when an exchange credit has expired.  </w:t>
      </w:r>
    </w:p>
    <w:p w14:paraId="773F6F98" w14:textId="2C477DD3" w:rsidR="000B1EF2" w:rsidRDefault="00F41AF2" w:rsidP="000B1EF2">
      <w:r>
        <w:t>When used for existing development purposes, n</w:t>
      </w:r>
      <w:r w:rsidR="000B1EF2">
        <w:t xml:space="preserve">utrient offset credits will not be retired.  Upon transfer, liability for these credits remains with the provider and/or long term steward. If audits determine that the nutrient reduction </w:t>
      </w:r>
      <w:r w:rsidR="001961CE">
        <w:t xml:space="preserve">project </w:t>
      </w:r>
      <w:r w:rsidR="000B1EF2">
        <w:t xml:space="preserve">supporting these credits </w:t>
      </w:r>
      <w:r w:rsidR="001961CE">
        <w:t xml:space="preserve">has </w:t>
      </w:r>
      <w:r w:rsidR="000B1EF2">
        <w:t>failed, DWR will work with the provider or long-term steward to replace the project.</w:t>
      </w:r>
    </w:p>
    <w:p w14:paraId="57A92236" w14:textId="668FFB6D" w:rsidR="000B1EF2" w:rsidRPr="008F5EA7" w:rsidRDefault="001961CE" w:rsidP="000B1EF2">
      <w:r>
        <w:t>For exchange credits,</w:t>
      </w:r>
      <w:r w:rsidR="000B1EF2">
        <w:t xml:space="preserve"> ledgers </w:t>
      </w:r>
      <w:r>
        <w:t xml:space="preserve">will be required to </w:t>
      </w:r>
      <w:r w:rsidR="000B1EF2">
        <w:t xml:space="preserve">clearly state the expiration date for the credit, which coincides with the term of the underlying nutrient reduction project.  For many </w:t>
      </w:r>
      <w:r w:rsidR="00255FE6">
        <w:t xml:space="preserve">temporary </w:t>
      </w:r>
      <w:r w:rsidR="000B1EF2">
        <w:t>nutrient reduction practices, provisions will be in place to periodically re-release and thus renew exchange credits if the underlying project retains its nutrient reducing functions.</w:t>
      </w:r>
    </w:p>
    <w:p w14:paraId="0E926589" w14:textId="77777777" w:rsidR="000B1EF2" w:rsidRDefault="000B1EF2" w:rsidP="00424A5F">
      <w:pPr>
        <w:keepNext/>
        <w:keepLines/>
        <w:spacing w:before="80" w:after="0" w:line="240" w:lineRule="auto"/>
        <w:outlineLvl w:val="1"/>
        <w:rPr>
          <w:rFonts w:ascii="Calibri" w:eastAsia="Times New Roman" w:hAnsi="Calibri" w:cs="Times New Roman"/>
          <w:color w:val="00616B"/>
          <w:sz w:val="28"/>
          <w:szCs w:val="28"/>
        </w:rPr>
      </w:pPr>
    </w:p>
    <w:p w14:paraId="214DEC2C" w14:textId="77777777" w:rsidR="000742F4" w:rsidRDefault="000742F4" w:rsidP="00424A5F">
      <w:pPr>
        <w:keepNext/>
        <w:keepLines/>
        <w:spacing w:before="80" w:after="0" w:line="240" w:lineRule="auto"/>
        <w:outlineLvl w:val="1"/>
        <w:rPr>
          <w:rFonts w:ascii="Calibri" w:eastAsia="Times New Roman" w:hAnsi="Calibri" w:cs="Times New Roman"/>
          <w:color w:val="00616B"/>
          <w:sz w:val="28"/>
          <w:szCs w:val="28"/>
        </w:rPr>
      </w:pPr>
    </w:p>
    <w:p w14:paraId="456A1EB0" w14:textId="77777777" w:rsidR="00255FE6" w:rsidRDefault="00255FE6">
      <w:pPr>
        <w:rPr>
          <w:rFonts w:ascii="Calibri" w:eastAsia="Times New Roman" w:hAnsi="Calibri" w:cs="Times New Roman"/>
          <w:color w:val="789B4A" w:themeColor="accent2"/>
          <w:sz w:val="28"/>
          <w:szCs w:val="28"/>
        </w:rPr>
      </w:pPr>
      <w:r>
        <w:rPr>
          <w:rFonts w:ascii="Calibri" w:eastAsia="Times New Roman" w:hAnsi="Calibri" w:cs="Times New Roman"/>
          <w:color w:val="789B4A" w:themeColor="accent2"/>
          <w:sz w:val="28"/>
          <w:szCs w:val="28"/>
        </w:rPr>
        <w:br w:type="page"/>
      </w:r>
    </w:p>
    <w:p w14:paraId="13282373" w14:textId="77777777" w:rsidR="00336FE9" w:rsidRPr="00255FE6" w:rsidRDefault="00255FE6" w:rsidP="00424A5F">
      <w:pPr>
        <w:keepNext/>
        <w:keepLines/>
        <w:spacing w:before="80" w:after="0" w:line="240" w:lineRule="auto"/>
        <w:outlineLvl w:val="1"/>
        <w:rPr>
          <w:rFonts w:ascii="Calibri" w:eastAsia="Times New Roman" w:hAnsi="Calibri" w:cs="Times New Roman"/>
          <w:color w:val="789B4A" w:themeColor="accent2"/>
          <w:sz w:val="28"/>
          <w:szCs w:val="28"/>
        </w:rPr>
      </w:pPr>
      <w:bookmarkStart w:id="52" w:name="_Toc491436822"/>
      <w:bookmarkStart w:id="53" w:name="_Toc492020027"/>
      <w:r w:rsidRPr="00255FE6">
        <w:rPr>
          <w:rFonts w:ascii="Calibri" w:eastAsia="Times New Roman" w:hAnsi="Calibri" w:cs="Times New Roman"/>
          <w:color w:val="789B4A" w:themeColor="accent2"/>
          <w:sz w:val="28"/>
          <w:szCs w:val="28"/>
        </w:rPr>
        <w:t>Financing Nutrient Reduction Credits</w:t>
      </w:r>
      <w:bookmarkEnd w:id="52"/>
      <w:bookmarkEnd w:id="53"/>
    </w:p>
    <w:p w14:paraId="05E4C0A2" w14:textId="77777777" w:rsidR="00336FE9" w:rsidRPr="00255FE6" w:rsidRDefault="00336FE9" w:rsidP="00336FE9">
      <w:pPr>
        <w:rPr>
          <w:rFonts w:ascii="Calibri" w:eastAsia="Calibri" w:hAnsi="Calibri" w:cs="Times New Roman"/>
        </w:rPr>
      </w:pPr>
      <w:r w:rsidRPr="00255FE6">
        <w:rPr>
          <w:rFonts w:ascii="Calibri" w:eastAsia="Calibri" w:hAnsi="Calibri" w:cs="Times New Roman"/>
        </w:rPr>
        <w:t xml:space="preserve">Many sources of governmental funding contribute to improved water quality and may support the generation of nutrient reduction credits.  </w:t>
      </w:r>
      <w:r w:rsidR="00255FE6">
        <w:rPr>
          <w:rFonts w:ascii="Calibri" w:eastAsia="Calibri" w:hAnsi="Calibri" w:cs="Times New Roman"/>
        </w:rPr>
        <w:t>P</w:t>
      </w:r>
      <w:r w:rsidRPr="00255FE6">
        <w:rPr>
          <w:rFonts w:ascii="Calibri" w:eastAsia="Calibri" w:hAnsi="Calibri" w:cs="Times New Roman"/>
        </w:rPr>
        <w:t>ayment stacking</w:t>
      </w:r>
      <w:r w:rsidR="00255FE6">
        <w:rPr>
          <w:rFonts w:ascii="Calibri" w:eastAsia="Calibri" w:hAnsi="Calibri" w:cs="Times New Roman"/>
        </w:rPr>
        <w:t xml:space="preserve"> describes the idea that</w:t>
      </w:r>
      <w:r w:rsidRPr="00255FE6">
        <w:rPr>
          <w:rFonts w:ascii="Calibri" w:eastAsia="Calibri" w:hAnsi="Calibri" w:cs="Times New Roman"/>
        </w:rPr>
        <w:t xml:space="preserve"> nutrient reduction </w:t>
      </w:r>
      <w:r w:rsidR="00255FE6">
        <w:rPr>
          <w:rFonts w:ascii="Calibri" w:eastAsia="Calibri" w:hAnsi="Calibri" w:cs="Times New Roman"/>
        </w:rPr>
        <w:t>projects, and ultimately credits,</w:t>
      </w:r>
      <w:r w:rsidRPr="00255FE6">
        <w:rPr>
          <w:rFonts w:ascii="Calibri" w:eastAsia="Calibri" w:hAnsi="Calibri" w:cs="Times New Roman"/>
        </w:rPr>
        <w:t xml:space="preserve"> may be </w:t>
      </w:r>
      <w:r w:rsidR="00255FE6">
        <w:rPr>
          <w:rFonts w:ascii="Calibri" w:eastAsia="Calibri" w:hAnsi="Calibri" w:cs="Times New Roman"/>
        </w:rPr>
        <w:t>financed by</w:t>
      </w:r>
      <w:r w:rsidR="004C0CDF">
        <w:rPr>
          <w:rFonts w:ascii="Calibri" w:eastAsia="Calibri" w:hAnsi="Calibri" w:cs="Times New Roman"/>
        </w:rPr>
        <w:t xml:space="preserve"> multiple sources of funding. Various </w:t>
      </w:r>
      <w:r w:rsidRPr="00255FE6">
        <w:rPr>
          <w:rFonts w:ascii="Calibri" w:eastAsia="Calibri" w:hAnsi="Calibri" w:cs="Times New Roman"/>
        </w:rPr>
        <w:t>source</w:t>
      </w:r>
      <w:r w:rsidR="00540BB9" w:rsidRPr="00255FE6">
        <w:rPr>
          <w:rFonts w:ascii="Calibri" w:eastAsia="Calibri" w:hAnsi="Calibri" w:cs="Times New Roman"/>
        </w:rPr>
        <w:t xml:space="preserve">s </w:t>
      </w:r>
      <w:r w:rsidRPr="00255FE6">
        <w:rPr>
          <w:rFonts w:ascii="Calibri" w:eastAsia="Calibri" w:hAnsi="Calibri" w:cs="Times New Roman"/>
        </w:rPr>
        <w:t xml:space="preserve">of </w:t>
      </w:r>
      <w:r w:rsidR="004C0CDF">
        <w:rPr>
          <w:rFonts w:ascii="Calibri" w:eastAsia="Calibri" w:hAnsi="Calibri" w:cs="Times New Roman"/>
        </w:rPr>
        <w:t xml:space="preserve">statutory and contractual </w:t>
      </w:r>
      <w:r w:rsidRPr="00255FE6">
        <w:rPr>
          <w:rFonts w:ascii="Calibri" w:eastAsia="Calibri" w:hAnsi="Calibri" w:cs="Times New Roman"/>
        </w:rPr>
        <w:t xml:space="preserve">authority are likely to govern whether payment stacking is allowable in given situations, but state statutes and regulations </w:t>
      </w:r>
      <w:r w:rsidR="00567684" w:rsidRPr="00255FE6">
        <w:rPr>
          <w:rFonts w:ascii="Calibri" w:eastAsia="Calibri" w:hAnsi="Calibri" w:cs="Times New Roman"/>
        </w:rPr>
        <w:t>are relatively</w:t>
      </w:r>
      <w:r w:rsidRPr="00255FE6">
        <w:rPr>
          <w:rFonts w:ascii="Calibri" w:eastAsia="Calibri" w:hAnsi="Calibri" w:cs="Times New Roman"/>
        </w:rPr>
        <w:t xml:space="preserve"> quiet on the subject.</w:t>
      </w:r>
    </w:p>
    <w:p w14:paraId="33BEAFC3" w14:textId="1994A74A" w:rsidR="00F14265" w:rsidRDefault="00062D8A" w:rsidP="00336FE9">
      <w:pPr>
        <w:rPr>
          <w:rFonts w:ascii="Calibri" w:eastAsia="Calibri" w:hAnsi="Calibri" w:cs="Times New Roman"/>
        </w:rPr>
      </w:pPr>
      <w:r>
        <w:rPr>
          <w:rFonts w:ascii="Calibri" w:eastAsia="Calibri" w:hAnsi="Calibri" w:cs="Times New Roman"/>
        </w:rPr>
        <w:t xml:space="preserve">Existing trading rules generally allow </w:t>
      </w:r>
      <w:r w:rsidR="00336FE9" w:rsidRPr="00255FE6">
        <w:rPr>
          <w:rFonts w:ascii="Calibri" w:eastAsia="Calibri" w:hAnsi="Calibri" w:cs="Times New Roman"/>
        </w:rPr>
        <w:t xml:space="preserve">a provider or other entity implementing a nutrient reduction project </w:t>
      </w:r>
      <w:r>
        <w:rPr>
          <w:rFonts w:ascii="Calibri" w:eastAsia="Calibri" w:hAnsi="Calibri" w:cs="Times New Roman"/>
        </w:rPr>
        <w:t>to claim</w:t>
      </w:r>
      <w:r w:rsidRPr="00255FE6">
        <w:rPr>
          <w:rFonts w:ascii="Calibri" w:eastAsia="Calibri" w:hAnsi="Calibri" w:cs="Times New Roman"/>
        </w:rPr>
        <w:t xml:space="preserve"> </w:t>
      </w:r>
      <w:r w:rsidR="00336FE9" w:rsidRPr="00255FE6">
        <w:rPr>
          <w:rFonts w:ascii="Calibri" w:eastAsia="Calibri" w:hAnsi="Calibri" w:cs="Times New Roman"/>
        </w:rPr>
        <w:t>nutrient reduction credit for that project, and any nutrient reduction credit generated beyond regulatory requir</w:t>
      </w:r>
      <w:r w:rsidR="00F14265">
        <w:rPr>
          <w:rFonts w:ascii="Calibri" w:eastAsia="Calibri" w:hAnsi="Calibri" w:cs="Times New Roman"/>
        </w:rPr>
        <w:t>ements may be traded.  However, exceptions are likely warranted in relation to some funding types.</w:t>
      </w:r>
    </w:p>
    <w:p w14:paraId="3569AC6C" w14:textId="2F175158" w:rsidR="00336FE9" w:rsidRPr="00255FE6" w:rsidRDefault="00B621C8" w:rsidP="00336FE9">
      <w:pPr>
        <w:rPr>
          <w:rFonts w:ascii="Calibri" w:eastAsia="Calibri" w:hAnsi="Calibri" w:cs="Times New Roman"/>
        </w:rPr>
      </w:pPr>
      <w:r>
        <w:rPr>
          <w:rFonts w:ascii="Calibri" w:eastAsia="Calibri" w:hAnsi="Calibri" w:cs="Times New Roman"/>
        </w:rPr>
        <w:t xml:space="preserve">In proposed revisions to the nutrient offset rule, </w:t>
      </w:r>
      <w:r w:rsidR="004C0CDF">
        <w:rPr>
          <w:rFonts w:ascii="Calibri" w:eastAsia="Calibri" w:hAnsi="Calibri" w:cs="Times New Roman"/>
        </w:rPr>
        <w:t>DWR has proposed barring state and federal grant sources from financing nutrient offset credits.  These</w:t>
      </w:r>
      <w:r w:rsidR="00F14265">
        <w:rPr>
          <w:rFonts w:ascii="Calibri" w:eastAsia="Calibri" w:hAnsi="Calibri" w:cs="Times New Roman"/>
        </w:rPr>
        <w:t xml:space="preserve"> grant </w:t>
      </w:r>
      <w:r w:rsidR="00336FE9" w:rsidRPr="00255FE6">
        <w:rPr>
          <w:rFonts w:ascii="Calibri" w:eastAsia="Calibri" w:hAnsi="Calibri" w:cs="Times New Roman"/>
        </w:rPr>
        <w:t xml:space="preserve">sources </w:t>
      </w:r>
      <w:r w:rsidR="004C0CDF">
        <w:rPr>
          <w:rFonts w:ascii="Calibri" w:eastAsia="Calibri" w:hAnsi="Calibri" w:cs="Times New Roman"/>
        </w:rPr>
        <w:t xml:space="preserve">usually </w:t>
      </w:r>
      <w:r w:rsidR="00F14265">
        <w:rPr>
          <w:rFonts w:ascii="Calibri" w:eastAsia="Calibri" w:hAnsi="Calibri" w:cs="Times New Roman"/>
        </w:rPr>
        <w:t>draw upon taxpayer funds</w:t>
      </w:r>
      <w:r w:rsidR="00336FE9" w:rsidRPr="00255FE6">
        <w:rPr>
          <w:rFonts w:ascii="Calibri" w:eastAsia="Calibri" w:hAnsi="Calibri" w:cs="Times New Roman"/>
        </w:rPr>
        <w:t xml:space="preserve"> to finance </w:t>
      </w:r>
      <w:r w:rsidR="00F14265">
        <w:rPr>
          <w:rFonts w:ascii="Calibri" w:eastAsia="Calibri" w:hAnsi="Calibri" w:cs="Times New Roman"/>
        </w:rPr>
        <w:t xml:space="preserve">net </w:t>
      </w:r>
      <w:r w:rsidR="00336FE9" w:rsidRPr="00255FE6">
        <w:rPr>
          <w:rFonts w:ascii="Calibri" w:eastAsia="Calibri" w:hAnsi="Calibri" w:cs="Times New Roman"/>
        </w:rPr>
        <w:t>environmental improvements</w:t>
      </w:r>
      <w:r>
        <w:rPr>
          <w:rFonts w:ascii="Calibri" w:eastAsia="Calibri" w:hAnsi="Calibri" w:cs="Times New Roman"/>
        </w:rPr>
        <w:t>.</w:t>
      </w:r>
      <w:r w:rsidR="00F14265">
        <w:rPr>
          <w:rFonts w:ascii="Calibri" w:eastAsia="Calibri" w:hAnsi="Calibri" w:cs="Times New Roman"/>
        </w:rPr>
        <w:t xml:space="preserve"> </w:t>
      </w:r>
      <w:r w:rsidR="004C0CDF">
        <w:rPr>
          <w:rFonts w:ascii="Calibri" w:eastAsia="Calibri" w:hAnsi="Calibri" w:cs="Times New Roman"/>
        </w:rPr>
        <w:t>Allowing these grant types to finance permanent, tradable</w:t>
      </w:r>
      <w:r w:rsidR="00567684" w:rsidRPr="00255FE6">
        <w:rPr>
          <w:rFonts w:ascii="Calibri" w:eastAsia="Calibri" w:hAnsi="Calibri" w:cs="Times New Roman"/>
        </w:rPr>
        <w:t xml:space="preserve"> credits </w:t>
      </w:r>
      <w:r w:rsidR="0085742D">
        <w:rPr>
          <w:rFonts w:ascii="Calibri" w:eastAsia="Calibri" w:hAnsi="Calibri" w:cs="Times New Roman"/>
        </w:rPr>
        <w:t>raises concerns</w:t>
      </w:r>
      <w:r w:rsidR="004C0CDF">
        <w:rPr>
          <w:rFonts w:ascii="Calibri" w:eastAsia="Calibri" w:hAnsi="Calibri" w:cs="Times New Roman"/>
        </w:rPr>
        <w:t xml:space="preserve"> that these public funds will </w:t>
      </w:r>
      <w:r w:rsidR="00567684" w:rsidRPr="00255FE6">
        <w:rPr>
          <w:rFonts w:ascii="Calibri" w:eastAsia="Calibri" w:hAnsi="Calibri" w:cs="Times New Roman"/>
        </w:rPr>
        <w:t>directly enrich the grant recipient</w:t>
      </w:r>
      <w:r w:rsidR="004C0CDF">
        <w:rPr>
          <w:rFonts w:ascii="Calibri" w:eastAsia="Calibri" w:hAnsi="Calibri" w:cs="Times New Roman"/>
        </w:rPr>
        <w:t>, be used to offset other nutrient increases, and distort pricing in the credit market</w:t>
      </w:r>
      <w:r w:rsidR="00567684" w:rsidRPr="00255FE6">
        <w:rPr>
          <w:rFonts w:ascii="Calibri" w:eastAsia="Calibri" w:hAnsi="Calibri" w:cs="Times New Roman"/>
        </w:rPr>
        <w:t>.</w:t>
      </w:r>
      <w:r w:rsidR="00062D8A">
        <w:rPr>
          <w:rFonts w:ascii="Calibri" w:eastAsia="Calibri" w:hAnsi="Calibri" w:cs="Times New Roman"/>
        </w:rPr>
        <w:t xml:space="preserve"> Where granting agencies bar the utilization of funds for regulatory compliance purposes</w:t>
      </w:r>
      <w:r w:rsidR="00AA6F55">
        <w:rPr>
          <w:rFonts w:ascii="Calibri" w:eastAsia="Calibri" w:hAnsi="Calibri" w:cs="Times New Roman"/>
        </w:rPr>
        <w:t xml:space="preserve"> or more narrowly for generating credits for transfer to other parties</w:t>
      </w:r>
      <w:r w:rsidR="00062D8A">
        <w:rPr>
          <w:rFonts w:ascii="Calibri" w:eastAsia="Calibri" w:hAnsi="Calibri" w:cs="Times New Roman"/>
        </w:rPr>
        <w:t>, this rule proposal would be redundant, but inclusion of this prohibition in the offset rule captures DWR’s concerns.</w:t>
      </w:r>
    </w:p>
    <w:p w14:paraId="32088A3F" w14:textId="6CF85284" w:rsidR="00B31F1F" w:rsidRDefault="00B31F1F" w:rsidP="00336FE9">
      <w:pPr>
        <w:rPr>
          <w:rFonts w:ascii="Calibri" w:eastAsia="Calibri" w:hAnsi="Calibri" w:cs="Times New Roman"/>
        </w:rPr>
      </w:pPr>
      <w:r>
        <w:rPr>
          <w:rFonts w:ascii="Calibri" w:eastAsia="Calibri" w:hAnsi="Calibri" w:cs="Times New Roman"/>
        </w:rPr>
        <w:t xml:space="preserve">This issue merits further consideration with regard to </w:t>
      </w:r>
      <w:r w:rsidR="0094623A">
        <w:rPr>
          <w:rFonts w:ascii="Calibri" w:eastAsia="Calibri" w:hAnsi="Calibri" w:cs="Times New Roman"/>
        </w:rPr>
        <w:t xml:space="preserve">the proposed category of </w:t>
      </w:r>
      <w:r>
        <w:rPr>
          <w:rFonts w:ascii="Calibri" w:eastAsia="Calibri" w:hAnsi="Calibri" w:cs="Times New Roman"/>
        </w:rPr>
        <w:t>temporary nutrient exchange credits. One important consideration is the existence of various cost-share programs</w:t>
      </w:r>
      <w:r w:rsidR="007D59B8">
        <w:rPr>
          <w:rFonts w:ascii="Calibri" w:eastAsia="Calibri" w:hAnsi="Calibri" w:cs="Times New Roman"/>
        </w:rPr>
        <w:t xml:space="preserve"> that </w:t>
      </w:r>
      <w:r>
        <w:rPr>
          <w:rFonts w:ascii="Calibri" w:eastAsia="Calibri" w:hAnsi="Calibri" w:cs="Times New Roman"/>
        </w:rPr>
        <w:t xml:space="preserve">are available to fund nutrient reduction projects on agricultural land.  In most cases, the granting agency (USDA) asserts no interest or limitation in generating nutrient credits.  While the considerations </w:t>
      </w:r>
      <w:r w:rsidR="00C836CF">
        <w:rPr>
          <w:rFonts w:ascii="Calibri" w:eastAsia="Calibri" w:hAnsi="Calibri" w:cs="Times New Roman"/>
        </w:rPr>
        <w:t>described</w:t>
      </w:r>
      <w:r>
        <w:rPr>
          <w:rFonts w:ascii="Calibri" w:eastAsia="Calibri" w:hAnsi="Calibri" w:cs="Times New Roman"/>
        </w:rPr>
        <w:t xml:space="preserve"> above </w:t>
      </w:r>
      <w:r w:rsidR="0028221D">
        <w:rPr>
          <w:rFonts w:ascii="Calibri" w:eastAsia="Calibri" w:hAnsi="Calibri" w:cs="Times New Roman"/>
        </w:rPr>
        <w:t>are</w:t>
      </w:r>
      <w:r>
        <w:rPr>
          <w:rFonts w:ascii="Calibri" w:eastAsia="Calibri" w:hAnsi="Calibri" w:cs="Times New Roman"/>
        </w:rPr>
        <w:t xml:space="preserve"> applicable</w:t>
      </w:r>
      <w:r w:rsidR="00C836CF">
        <w:rPr>
          <w:rFonts w:ascii="Calibri" w:eastAsia="Calibri" w:hAnsi="Calibri" w:cs="Times New Roman"/>
        </w:rPr>
        <w:t xml:space="preserve"> to agricultural producers</w:t>
      </w:r>
      <w:r>
        <w:rPr>
          <w:rFonts w:ascii="Calibri" w:eastAsia="Calibri" w:hAnsi="Calibri" w:cs="Times New Roman"/>
        </w:rPr>
        <w:t xml:space="preserve">, adopting this same policy </w:t>
      </w:r>
      <w:r w:rsidR="0085742D">
        <w:rPr>
          <w:rFonts w:ascii="Calibri" w:eastAsia="Calibri" w:hAnsi="Calibri" w:cs="Times New Roman"/>
        </w:rPr>
        <w:t xml:space="preserve">for temporary credits </w:t>
      </w:r>
      <w:r w:rsidR="00C836CF">
        <w:rPr>
          <w:rFonts w:ascii="Calibri" w:eastAsia="Calibri" w:hAnsi="Calibri" w:cs="Times New Roman"/>
        </w:rPr>
        <w:t xml:space="preserve">may </w:t>
      </w:r>
      <w:r w:rsidR="0028221D">
        <w:rPr>
          <w:rFonts w:ascii="Calibri" w:eastAsia="Calibri" w:hAnsi="Calibri" w:cs="Times New Roman"/>
        </w:rPr>
        <w:t xml:space="preserve">also </w:t>
      </w:r>
      <w:r w:rsidR="00C836CF">
        <w:rPr>
          <w:rFonts w:ascii="Calibri" w:eastAsia="Calibri" w:hAnsi="Calibri" w:cs="Times New Roman"/>
        </w:rPr>
        <w:t xml:space="preserve">reduce the agricultural sector’s ability or willingness to engage in the market.  </w:t>
      </w:r>
    </w:p>
    <w:p w14:paraId="6E3E41C2" w14:textId="59394F3C" w:rsidR="0028221D" w:rsidRDefault="0094623A" w:rsidP="00336FE9">
      <w:pPr>
        <w:rPr>
          <w:rFonts w:ascii="Calibri" w:eastAsia="Calibri" w:hAnsi="Calibri" w:cs="Times New Roman"/>
        </w:rPr>
      </w:pPr>
      <w:r>
        <w:rPr>
          <w:rFonts w:ascii="Calibri" w:eastAsia="Calibri" w:hAnsi="Calibri" w:cs="Times New Roman"/>
        </w:rPr>
        <w:t>DWR is generally reticent to evaluate potentially complex contractual arrangements between granting agencies and potential providers.  However, rules requiring disclosure or affirmations from potential providers may serve a role in addressing this issue.  Endorsement letters from granting agencies might also be a tool to clarify these arrangements.</w:t>
      </w:r>
    </w:p>
    <w:p w14:paraId="656D90A8" w14:textId="77777777" w:rsidR="0094623A" w:rsidRDefault="0094623A">
      <w:pPr>
        <w:rPr>
          <w:rFonts w:ascii="Calibri" w:eastAsia="Times New Roman" w:hAnsi="Calibri" w:cs="Times New Roman"/>
          <w:color w:val="789B4A" w:themeColor="accent2"/>
          <w:sz w:val="28"/>
          <w:szCs w:val="28"/>
        </w:rPr>
      </w:pPr>
      <w:bookmarkStart w:id="54" w:name="_Toc491352625"/>
      <w:r>
        <w:rPr>
          <w:rFonts w:ascii="Calibri" w:eastAsia="Times New Roman" w:hAnsi="Calibri" w:cs="Times New Roman"/>
          <w:color w:val="789B4A" w:themeColor="accent2"/>
          <w:sz w:val="28"/>
          <w:szCs w:val="28"/>
        </w:rPr>
        <w:br w:type="page"/>
      </w:r>
    </w:p>
    <w:p w14:paraId="37536D80" w14:textId="6BFA4213" w:rsidR="00424A5F" w:rsidRPr="0028221D" w:rsidRDefault="00424A5F" w:rsidP="00424A5F">
      <w:pPr>
        <w:keepNext/>
        <w:keepLines/>
        <w:spacing w:before="80" w:after="0" w:line="240" w:lineRule="auto"/>
        <w:outlineLvl w:val="1"/>
        <w:rPr>
          <w:rFonts w:ascii="Calibri" w:eastAsia="Times New Roman" w:hAnsi="Calibri" w:cs="Times New Roman"/>
          <w:color w:val="789B4A" w:themeColor="accent2"/>
          <w:sz w:val="28"/>
          <w:szCs w:val="28"/>
        </w:rPr>
      </w:pPr>
      <w:bookmarkStart w:id="55" w:name="_Toc491436823"/>
      <w:bookmarkStart w:id="56" w:name="_Toc492020028"/>
      <w:r w:rsidRPr="0028221D">
        <w:rPr>
          <w:rFonts w:ascii="Calibri" w:eastAsia="Times New Roman" w:hAnsi="Calibri" w:cs="Times New Roman"/>
          <w:color w:val="789B4A" w:themeColor="accent2"/>
          <w:sz w:val="28"/>
          <w:szCs w:val="28"/>
        </w:rPr>
        <w:t xml:space="preserve">Potential </w:t>
      </w:r>
      <w:r w:rsidR="00123F2A">
        <w:rPr>
          <w:rFonts w:ascii="Calibri" w:eastAsia="Times New Roman" w:hAnsi="Calibri" w:cs="Times New Roman"/>
          <w:color w:val="789B4A" w:themeColor="accent2"/>
          <w:sz w:val="28"/>
          <w:szCs w:val="28"/>
        </w:rPr>
        <w:t>B</w:t>
      </w:r>
      <w:r w:rsidR="00123F2A" w:rsidRPr="0028221D">
        <w:rPr>
          <w:rFonts w:ascii="Calibri" w:eastAsia="Times New Roman" w:hAnsi="Calibri" w:cs="Times New Roman"/>
          <w:color w:val="789B4A" w:themeColor="accent2"/>
          <w:sz w:val="28"/>
          <w:szCs w:val="28"/>
        </w:rPr>
        <w:t xml:space="preserve">arriers </w:t>
      </w:r>
      <w:r w:rsidRPr="0028221D">
        <w:rPr>
          <w:rFonts w:ascii="Calibri" w:eastAsia="Times New Roman" w:hAnsi="Calibri" w:cs="Times New Roman"/>
          <w:color w:val="789B4A" w:themeColor="accent2"/>
          <w:sz w:val="28"/>
          <w:szCs w:val="28"/>
        </w:rPr>
        <w:t xml:space="preserve">to </w:t>
      </w:r>
      <w:r w:rsidR="00123F2A">
        <w:rPr>
          <w:rFonts w:ascii="Calibri" w:eastAsia="Times New Roman" w:hAnsi="Calibri" w:cs="Times New Roman"/>
          <w:color w:val="789B4A" w:themeColor="accent2"/>
          <w:sz w:val="28"/>
          <w:szCs w:val="28"/>
        </w:rPr>
        <w:t>E</w:t>
      </w:r>
      <w:r w:rsidR="00123F2A" w:rsidRPr="0028221D">
        <w:rPr>
          <w:rFonts w:ascii="Calibri" w:eastAsia="Times New Roman" w:hAnsi="Calibri" w:cs="Times New Roman"/>
          <w:color w:val="789B4A" w:themeColor="accent2"/>
          <w:sz w:val="28"/>
          <w:szCs w:val="28"/>
        </w:rPr>
        <w:t xml:space="preserve">xpanding </w:t>
      </w:r>
      <w:r w:rsidR="00123F2A">
        <w:rPr>
          <w:rFonts w:ascii="Calibri" w:eastAsia="Times New Roman" w:hAnsi="Calibri" w:cs="Times New Roman"/>
          <w:color w:val="789B4A" w:themeColor="accent2"/>
          <w:sz w:val="28"/>
          <w:szCs w:val="28"/>
        </w:rPr>
        <w:t>T</w:t>
      </w:r>
      <w:r w:rsidR="00123F2A" w:rsidRPr="0028221D">
        <w:rPr>
          <w:rFonts w:ascii="Calibri" w:eastAsia="Times New Roman" w:hAnsi="Calibri" w:cs="Times New Roman"/>
          <w:color w:val="789B4A" w:themeColor="accent2"/>
          <w:sz w:val="28"/>
          <w:szCs w:val="28"/>
        </w:rPr>
        <w:t xml:space="preserve">rading </w:t>
      </w:r>
      <w:r w:rsidRPr="0028221D">
        <w:rPr>
          <w:rFonts w:ascii="Calibri" w:eastAsia="Times New Roman" w:hAnsi="Calibri" w:cs="Times New Roman"/>
          <w:color w:val="789B4A" w:themeColor="accent2"/>
          <w:sz w:val="28"/>
          <w:szCs w:val="28"/>
        </w:rPr>
        <w:t>in North Carolina</w:t>
      </w:r>
      <w:bookmarkEnd w:id="54"/>
      <w:bookmarkEnd w:id="55"/>
      <w:bookmarkEnd w:id="56"/>
    </w:p>
    <w:p w14:paraId="169C93A1" w14:textId="77777777" w:rsidR="00424A5F" w:rsidRPr="00424A5F" w:rsidRDefault="00424A5F" w:rsidP="00424A5F">
      <w:pPr>
        <w:autoSpaceDE w:val="0"/>
        <w:autoSpaceDN w:val="0"/>
        <w:adjustRightInd w:val="0"/>
        <w:rPr>
          <w:rFonts w:ascii="Calibri" w:eastAsia="Calibri" w:hAnsi="Calibri" w:cs="Calibri"/>
        </w:rPr>
      </w:pPr>
      <w:r w:rsidRPr="00424A5F">
        <w:rPr>
          <w:rFonts w:ascii="Calibri" w:eastAsia="Calibri" w:hAnsi="Calibri" w:cs="Calibri"/>
        </w:rPr>
        <w:t xml:space="preserve">While some forms of trading continue to occur in North Carolina, </w:t>
      </w:r>
      <w:r w:rsidR="0015242E">
        <w:rPr>
          <w:rFonts w:ascii="Calibri" w:eastAsia="Calibri" w:hAnsi="Calibri" w:cs="Calibri"/>
        </w:rPr>
        <w:t>others</w:t>
      </w:r>
      <w:r w:rsidRPr="00424A5F">
        <w:rPr>
          <w:rFonts w:ascii="Calibri" w:eastAsia="Calibri" w:hAnsi="Calibri" w:cs="Calibri"/>
        </w:rPr>
        <w:t xml:space="preserve"> may be hindered by several foreseeable barriers.  Significant policy adjustments may be necessary to fully realize the potential benefits of nutrient trading, but it should also be recognized that trading is a secondary means to a broader policy goal: the cost-effective reduction of nutrient</w:t>
      </w:r>
      <w:r w:rsidR="0094623A">
        <w:rPr>
          <w:rFonts w:ascii="Calibri" w:eastAsia="Calibri" w:hAnsi="Calibri" w:cs="Calibri"/>
        </w:rPr>
        <w:t xml:space="preserve"> loading</w:t>
      </w:r>
      <w:r w:rsidRPr="00424A5F">
        <w:rPr>
          <w:rFonts w:ascii="Calibri" w:eastAsia="Calibri" w:hAnsi="Calibri" w:cs="Calibri"/>
        </w:rPr>
        <w:t xml:space="preserve"> in North Carolina’s lakes and estuaries.  Identification of the issues below does not necessarily signal any shifting policy positions by DWR or DEQ, but is instead provided by staff with the intention to begin a dialogue among policymakers and the regulated community. </w:t>
      </w:r>
    </w:p>
    <w:p w14:paraId="0FD84FF2" w14:textId="55F0C577" w:rsidR="00424A5F" w:rsidRPr="0094623A" w:rsidRDefault="00424A5F" w:rsidP="0094623A">
      <w:pPr>
        <w:pStyle w:val="Heading3"/>
        <w:rPr>
          <w:rFonts w:eastAsia="Times New Roman"/>
          <w:color w:val="0B3C61" w:themeColor="accent1"/>
        </w:rPr>
      </w:pPr>
      <w:bookmarkStart w:id="57" w:name="_Toc491436824"/>
      <w:bookmarkStart w:id="58" w:name="_Toc492020029"/>
      <w:r w:rsidRPr="0094623A">
        <w:rPr>
          <w:rFonts w:eastAsia="Times New Roman"/>
          <w:color w:val="0B3C61" w:themeColor="accent1"/>
        </w:rPr>
        <w:t xml:space="preserve">Agricultural </w:t>
      </w:r>
      <w:bookmarkEnd w:id="57"/>
      <w:r w:rsidR="00123F2A">
        <w:rPr>
          <w:rFonts w:eastAsia="Times New Roman"/>
          <w:color w:val="0B3C61" w:themeColor="accent1"/>
        </w:rPr>
        <w:t>R</w:t>
      </w:r>
      <w:r w:rsidR="00123F2A" w:rsidRPr="0094623A">
        <w:rPr>
          <w:rFonts w:eastAsia="Times New Roman"/>
          <w:color w:val="0B3C61" w:themeColor="accent1"/>
        </w:rPr>
        <w:t>egulations</w:t>
      </w:r>
      <w:bookmarkEnd w:id="58"/>
      <w:r w:rsidR="00123F2A" w:rsidRPr="0094623A">
        <w:rPr>
          <w:rFonts w:eastAsia="Times New Roman"/>
          <w:color w:val="0B3C61" w:themeColor="accent1"/>
        </w:rPr>
        <w:t xml:space="preserve"> </w:t>
      </w:r>
    </w:p>
    <w:p w14:paraId="787FC330" w14:textId="77777777" w:rsidR="00424A5F" w:rsidRPr="00424A5F" w:rsidRDefault="00424A5F" w:rsidP="00424A5F">
      <w:pPr>
        <w:autoSpaceDE w:val="0"/>
        <w:autoSpaceDN w:val="0"/>
        <w:adjustRightInd w:val="0"/>
        <w:rPr>
          <w:rFonts w:ascii="Calibri" w:eastAsia="Calibri" w:hAnsi="Calibri" w:cs="Calibri"/>
        </w:rPr>
      </w:pPr>
      <w:r w:rsidRPr="00424A5F">
        <w:rPr>
          <w:rFonts w:ascii="Calibri" w:eastAsia="Calibri" w:hAnsi="Calibri" w:cs="Calibri"/>
        </w:rPr>
        <w:t>In most nonpoint source trading schemes, agricultural lands are</w:t>
      </w:r>
      <w:r w:rsidR="0094623A">
        <w:rPr>
          <w:rFonts w:ascii="Calibri" w:eastAsia="Calibri" w:hAnsi="Calibri" w:cs="Calibri"/>
        </w:rPr>
        <w:t xml:space="preserve"> conceptually the </w:t>
      </w:r>
      <w:r w:rsidRPr="00424A5F">
        <w:rPr>
          <w:rFonts w:ascii="Calibri" w:eastAsia="Calibri" w:hAnsi="Calibri" w:cs="Calibri"/>
        </w:rPr>
        <w:t xml:space="preserve">primary source of credit generation.  With new trading drivers on the horizon, particularly for existing development, the demand for credits generated is likely to increase in some areas.  </w:t>
      </w:r>
    </w:p>
    <w:p w14:paraId="58700531" w14:textId="3F02A8ED" w:rsidR="0034361B" w:rsidRDefault="00424A5F" w:rsidP="00424A5F">
      <w:pPr>
        <w:autoSpaceDE w:val="0"/>
        <w:autoSpaceDN w:val="0"/>
        <w:adjustRightInd w:val="0"/>
        <w:rPr>
          <w:rFonts w:ascii="Calibri" w:eastAsia="Calibri" w:hAnsi="Calibri" w:cs="Calibri"/>
        </w:rPr>
      </w:pPr>
      <w:r w:rsidRPr="00424A5F">
        <w:rPr>
          <w:rFonts w:ascii="Calibri" w:eastAsia="Calibri" w:hAnsi="Calibri" w:cs="Calibri"/>
        </w:rPr>
        <w:t xml:space="preserve">Compared to other states, North Carolina has adopted a novel approach to regulating </w:t>
      </w:r>
      <w:r w:rsidR="0034361B">
        <w:rPr>
          <w:rFonts w:ascii="Calibri" w:eastAsia="Calibri" w:hAnsi="Calibri" w:cs="Calibri"/>
        </w:rPr>
        <w:t xml:space="preserve">crop and pasture </w:t>
      </w:r>
      <w:r w:rsidRPr="00424A5F">
        <w:rPr>
          <w:rFonts w:ascii="Calibri" w:eastAsia="Calibri" w:hAnsi="Calibri" w:cs="Calibri"/>
        </w:rPr>
        <w:t xml:space="preserve">agriculture in nutrient strategy watersheds. </w:t>
      </w:r>
      <w:r w:rsidR="0034361B" w:rsidRPr="00424A5F">
        <w:rPr>
          <w:rFonts w:ascii="Calibri" w:eastAsia="Calibri" w:hAnsi="Calibri" w:cs="Calibri"/>
        </w:rPr>
        <w:t xml:space="preserve">Other states typically seek </w:t>
      </w:r>
      <w:r w:rsidR="00295B5E">
        <w:rPr>
          <w:rFonts w:ascii="Calibri" w:eastAsia="Calibri" w:hAnsi="Calibri" w:cs="Calibri"/>
        </w:rPr>
        <w:t xml:space="preserve">voluntary </w:t>
      </w:r>
      <w:r w:rsidR="0034361B" w:rsidRPr="00424A5F">
        <w:rPr>
          <w:rFonts w:ascii="Calibri" w:eastAsia="Calibri" w:hAnsi="Calibri" w:cs="Calibri"/>
        </w:rPr>
        <w:t>nutrient reductions from the agricultural sector through a multi-pronged approach including BMP funding, agricultural sector nutrient accounting, and sometimes m</w:t>
      </w:r>
      <w:r w:rsidR="0034361B">
        <w:rPr>
          <w:rFonts w:ascii="Calibri" w:eastAsia="Calibri" w:hAnsi="Calibri" w:cs="Calibri"/>
        </w:rPr>
        <w:t>inimum stewardship standards. While DWR has not conducted a comprehensive review, direct regulation of these sources by other states is rare if it occurs at all.</w:t>
      </w:r>
    </w:p>
    <w:p w14:paraId="5C841346" w14:textId="77777777" w:rsidR="00424A5F" w:rsidRPr="00424A5F" w:rsidRDefault="0034361B" w:rsidP="00424A5F">
      <w:pPr>
        <w:autoSpaceDE w:val="0"/>
        <w:autoSpaceDN w:val="0"/>
        <w:adjustRightInd w:val="0"/>
        <w:rPr>
          <w:rFonts w:ascii="Calibri" w:eastAsia="Calibri" w:hAnsi="Calibri" w:cs="Calibri"/>
        </w:rPr>
      </w:pPr>
      <w:r>
        <w:rPr>
          <w:rFonts w:ascii="Calibri" w:eastAsia="Calibri" w:hAnsi="Calibri" w:cs="Calibri"/>
        </w:rPr>
        <w:t>In North Carolina, c</w:t>
      </w:r>
      <w:r w:rsidR="00424A5F" w:rsidRPr="00424A5F">
        <w:rPr>
          <w:rFonts w:ascii="Calibri" w:eastAsia="Calibri" w:hAnsi="Calibri" w:cs="Calibri"/>
        </w:rPr>
        <w:t xml:space="preserve">rop and pasture operations within nutrient strategy watersheds are regulated </w:t>
      </w:r>
      <w:r>
        <w:rPr>
          <w:rFonts w:ascii="Calibri" w:eastAsia="Calibri" w:hAnsi="Calibri" w:cs="Calibri"/>
        </w:rPr>
        <w:t xml:space="preserve">but not </w:t>
      </w:r>
      <w:r w:rsidR="00424A5F" w:rsidRPr="00424A5F">
        <w:rPr>
          <w:rFonts w:ascii="Calibri" w:eastAsia="Calibri" w:hAnsi="Calibri" w:cs="Calibri"/>
        </w:rPr>
        <w:t>individually. Instead, they are collectively obligated to reduce nutrient loading from their fields by a certain percentage.  The agricultural sector has always demonstrated compliance or satisfactory progress toward compliance under the rules, and therefore the implied regulatory threat of farm-specific compliance has never materialized.</w:t>
      </w:r>
    </w:p>
    <w:p w14:paraId="51E4428A" w14:textId="77777777" w:rsidR="00424A5F" w:rsidRPr="00424A5F" w:rsidRDefault="00424A5F" w:rsidP="00424A5F">
      <w:pPr>
        <w:autoSpaceDE w:val="0"/>
        <w:autoSpaceDN w:val="0"/>
        <w:adjustRightInd w:val="0"/>
        <w:rPr>
          <w:rFonts w:ascii="Calibri" w:eastAsia="Calibri" w:hAnsi="Calibri" w:cs="Calibri"/>
        </w:rPr>
      </w:pPr>
      <w:r w:rsidRPr="00424A5F">
        <w:rPr>
          <w:rFonts w:ascii="Calibri" w:eastAsia="Calibri" w:hAnsi="Calibri" w:cs="Calibri"/>
        </w:rPr>
        <w:t xml:space="preserve">A perennial concern from the agricultural community is that some credits obtained by restoration on agricultural land are not credited to the agricultural community. This typically occurs when a mitigation banking company purchases the rights to restore buffers on agricultural land and the credits offset nutrient loading from new development.  While an individual farmer </w:t>
      </w:r>
      <w:r w:rsidR="0094623A">
        <w:rPr>
          <w:rFonts w:ascii="Calibri" w:eastAsia="Calibri" w:hAnsi="Calibri" w:cs="Calibri"/>
        </w:rPr>
        <w:t xml:space="preserve">is </w:t>
      </w:r>
      <w:r w:rsidRPr="00424A5F">
        <w:rPr>
          <w:rFonts w:ascii="Calibri" w:eastAsia="Calibri" w:hAnsi="Calibri" w:cs="Calibri"/>
        </w:rPr>
        <w:t xml:space="preserve">financially rewarded in such a transaction, the opportunity for collective agricultural sector improvement is lost.  </w:t>
      </w:r>
    </w:p>
    <w:p w14:paraId="3CD9875E" w14:textId="77777777" w:rsidR="00424A5F" w:rsidRPr="00424A5F" w:rsidRDefault="0034361B" w:rsidP="00424A5F">
      <w:pPr>
        <w:autoSpaceDE w:val="0"/>
        <w:autoSpaceDN w:val="0"/>
        <w:adjustRightInd w:val="0"/>
        <w:rPr>
          <w:rFonts w:ascii="Calibri" w:eastAsia="Calibri" w:hAnsi="Calibri" w:cs="Calibri"/>
        </w:rPr>
      </w:pPr>
      <w:r>
        <w:rPr>
          <w:rFonts w:ascii="Calibri" w:eastAsia="Calibri" w:hAnsi="Calibri" w:cs="Calibri"/>
        </w:rPr>
        <w:t>Agricultural professionals</w:t>
      </w:r>
      <w:r w:rsidR="00424A5F" w:rsidRPr="00424A5F">
        <w:rPr>
          <w:rFonts w:ascii="Calibri" w:eastAsia="Calibri" w:hAnsi="Calibri" w:cs="Calibri"/>
        </w:rPr>
        <w:t xml:space="preserve"> have consistently expressed concerns about the implications of increased trading as it relates to their ability to meet colle</w:t>
      </w:r>
      <w:r>
        <w:rPr>
          <w:rFonts w:ascii="Calibri" w:eastAsia="Calibri" w:hAnsi="Calibri" w:cs="Calibri"/>
        </w:rPr>
        <w:t>ctive compliance obligations</w:t>
      </w:r>
      <w:r w:rsidR="00424A5F" w:rsidRPr="00424A5F">
        <w:rPr>
          <w:rFonts w:ascii="Calibri" w:eastAsia="Calibri" w:hAnsi="Calibri" w:cs="Calibri"/>
        </w:rPr>
        <w:t xml:space="preserve">.  Yet to maximize agricultural sector participation in nutrient trading, these same professionals would be called upon to endorse such a framework, encourage farmers to enter the market, and educate them regarding the steps necessary to generate nutrient credits.  </w:t>
      </w:r>
    </w:p>
    <w:p w14:paraId="002AF5D2" w14:textId="54AC53B6" w:rsidR="00424A5F" w:rsidRPr="00424A5F" w:rsidRDefault="00424A5F" w:rsidP="00424A5F">
      <w:pPr>
        <w:autoSpaceDE w:val="0"/>
        <w:autoSpaceDN w:val="0"/>
        <w:adjustRightInd w:val="0"/>
        <w:rPr>
          <w:rFonts w:ascii="Calibri" w:eastAsia="Calibri" w:hAnsi="Calibri" w:cs="Calibri"/>
        </w:rPr>
      </w:pPr>
      <w:r w:rsidRPr="00424A5F">
        <w:rPr>
          <w:rFonts w:ascii="Calibri" w:eastAsia="Calibri" w:hAnsi="Calibri" w:cs="Calibri"/>
        </w:rPr>
        <w:t xml:space="preserve">While </w:t>
      </w:r>
      <w:r w:rsidR="0015242E">
        <w:rPr>
          <w:rFonts w:ascii="Calibri" w:eastAsia="Calibri" w:hAnsi="Calibri" w:cs="Calibri"/>
        </w:rPr>
        <w:t>nutrient strategy rules vary on this point</w:t>
      </w:r>
      <w:r w:rsidRPr="00424A5F">
        <w:rPr>
          <w:rFonts w:ascii="Calibri" w:eastAsia="Calibri" w:hAnsi="Calibri" w:cs="Calibri"/>
        </w:rPr>
        <w:t xml:space="preserve">, in some </w:t>
      </w:r>
      <w:r w:rsidR="00295B5E">
        <w:rPr>
          <w:rFonts w:ascii="Calibri" w:eastAsia="Calibri" w:hAnsi="Calibri" w:cs="Calibri"/>
        </w:rPr>
        <w:t>watersheds</w:t>
      </w:r>
      <w:r w:rsidR="00295B5E" w:rsidRPr="00424A5F">
        <w:rPr>
          <w:rFonts w:ascii="Calibri" w:eastAsia="Calibri" w:hAnsi="Calibri" w:cs="Calibri"/>
        </w:rPr>
        <w:t xml:space="preserve"> </w:t>
      </w:r>
      <w:r w:rsidRPr="00424A5F">
        <w:rPr>
          <w:rFonts w:ascii="Calibri" w:eastAsia="Calibri" w:hAnsi="Calibri" w:cs="Calibri"/>
        </w:rPr>
        <w:t xml:space="preserve">agricultural oversight committees have the authority to reject individual trades </w:t>
      </w:r>
      <w:r w:rsidR="00295B5E">
        <w:rPr>
          <w:rFonts w:ascii="Calibri" w:eastAsia="Calibri" w:hAnsi="Calibri" w:cs="Calibri"/>
        </w:rPr>
        <w:t xml:space="preserve">generated </w:t>
      </w:r>
      <w:r w:rsidRPr="00424A5F">
        <w:rPr>
          <w:rFonts w:ascii="Calibri" w:eastAsia="Calibri" w:hAnsi="Calibri" w:cs="Calibri"/>
        </w:rPr>
        <w:t>by farmers if collective compliance is at risk.  In addition to the considerations described above, this authority could significantly hinder trading activity.</w:t>
      </w:r>
    </w:p>
    <w:p w14:paraId="0B253682" w14:textId="77777777" w:rsidR="00424A5F" w:rsidRPr="00424A5F" w:rsidRDefault="00424A5F" w:rsidP="00424A5F">
      <w:pPr>
        <w:autoSpaceDE w:val="0"/>
        <w:autoSpaceDN w:val="0"/>
        <w:adjustRightInd w:val="0"/>
        <w:rPr>
          <w:rFonts w:ascii="Calibri" w:eastAsia="Calibri" w:hAnsi="Calibri" w:cs="Calibri"/>
        </w:rPr>
      </w:pPr>
      <w:r w:rsidRPr="00424A5F">
        <w:rPr>
          <w:rFonts w:ascii="Calibri" w:eastAsia="Calibri" w:hAnsi="Calibri" w:cs="Calibri"/>
        </w:rPr>
        <w:t xml:space="preserve">While the collective compliance approach to regulating agriculture has some attractive features, it has also been subject to critiques.  </w:t>
      </w:r>
      <w:r w:rsidR="0094623A">
        <w:rPr>
          <w:rFonts w:ascii="Calibri" w:eastAsia="Calibri" w:hAnsi="Calibri" w:cs="Calibri"/>
        </w:rPr>
        <w:t>Even without individual mandates, s</w:t>
      </w:r>
      <w:r w:rsidRPr="00424A5F">
        <w:rPr>
          <w:rFonts w:ascii="Calibri" w:eastAsia="Calibri" w:hAnsi="Calibri" w:cs="Calibri"/>
        </w:rPr>
        <w:t xml:space="preserve">ome farmers may resent the relatively heavy collective burden imposed on them as compared to other states.  The method by which agricultural reductions are quantified has </w:t>
      </w:r>
      <w:r w:rsidR="0094623A">
        <w:rPr>
          <w:rFonts w:ascii="Calibri" w:eastAsia="Calibri" w:hAnsi="Calibri" w:cs="Calibri"/>
        </w:rPr>
        <w:t xml:space="preserve">also </w:t>
      </w:r>
      <w:r w:rsidRPr="00424A5F">
        <w:rPr>
          <w:rFonts w:ascii="Calibri" w:eastAsia="Calibri" w:hAnsi="Calibri" w:cs="Calibri"/>
        </w:rPr>
        <w:t xml:space="preserve">been a source of </w:t>
      </w:r>
      <w:r w:rsidR="0094623A">
        <w:rPr>
          <w:rFonts w:ascii="Calibri" w:eastAsia="Calibri" w:hAnsi="Calibri" w:cs="Calibri"/>
        </w:rPr>
        <w:t>critique, primarily because reporting procedures es</w:t>
      </w:r>
      <w:r w:rsidR="0034361B">
        <w:rPr>
          <w:rFonts w:ascii="Calibri" w:eastAsia="Calibri" w:hAnsi="Calibri" w:cs="Calibri"/>
        </w:rPr>
        <w:t>timate edge-of-field and not in</w:t>
      </w:r>
      <w:r w:rsidR="0094623A">
        <w:rPr>
          <w:rFonts w:ascii="Calibri" w:eastAsia="Calibri" w:hAnsi="Calibri" w:cs="Calibri"/>
        </w:rPr>
        <w:t xml:space="preserve">stream </w:t>
      </w:r>
      <w:r w:rsidR="0034361B">
        <w:rPr>
          <w:rFonts w:ascii="Calibri" w:eastAsia="Calibri" w:hAnsi="Calibri" w:cs="Calibri"/>
        </w:rPr>
        <w:t xml:space="preserve">nutrient </w:t>
      </w:r>
      <w:r w:rsidR="0094623A">
        <w:rPr>
          <w:rFonts w:ascii="Calibri" w:eastAsia="Calibri" w:hAnsi="Calibri" w:cs="Calibri"/>
        </w:rPr>
        <w:t>reductions</w:t>
      </w:r>
      <w:r w:rsidRPr="00424A5F">
        <w:rPr>
          <w:rFonts w:ascii="Calibri" w:eastAsia="Calibri" w:hAnsi="Calibri" w:cs="Calibri"/>
        </w:rPr>
        <w:t xml:space="preserve">.  Finally, annual reports arguably </w:t>
      </w:r>
      <w:r w:rsidR="0094623A">
        <w:rPr>
          <w:rFonts w:ascii="Calibri" w:eastAsia="Calibri" w:hAnsi="Calibri" w:cs="Calibri"/>
        </w:rPr>
        <w:t>suggest</w:t>
      </w:r>
      <w:r w:rsidRPr="00424A5F">
        <w:rPr>
          <w:rFonts w:ascii="Calibri" w:eastAsia="Calibri" w:hAnsi="Calibri" w:cs="Calibri"/>
        </w:rPr>
        <w:t xml:space="preserve"> that most reductions would have occurred absent existing regulations due to broader economic trends like crop shifts and more expensive fertilizer.</w:t>
      </w:r>
    </w:p>
    <w:p w14:paraId="2DA8DC11" w14:textId="77777777" w:rsidR="0034361B" w:rsidRDefault="0034361B" w:rsidP="00424A5F">
      <w:pPr>
        <w:autoSpaceDE w:val="0"/>
        <w:autoSpaceDN w:val="0"/>
        <w:adjustRightInd w:val="0"/>
        <w:rPr>
          <w:rFonts w:ascii="Calibri" w:eastAsia="Calibri" w:hAnsi="Calibri" w:cs="Calibri"/>
        </w:rPr>
      </w:pPr>
      <w:r>
        <w:rPr>
          <w:rFonts w:ascii="Calibri" w:eastAsia="Calibri" w:hAnsi="Calibri" w:cs="Calibri"/>
        </w:rPr>
        <w:t xml:space="preserve">Again, this regulatory arrangement has positive aspects, and a full evaluation of North Carolina’s agricultural rules is beyond the scope of this document.  However, the current scheme is likely to significantly restrict agricultural participation in a nutrient credit market.  If the agricultural sector is envisioned to generate a high volume of tradable nutrient credits for purchase by other regulated sectors, a more thorough evaluation of the current regulatory approach to agriculture is warranted.  </w:t>
      </w:r>
    </w:p>
    <w:p w14:paraId="420F3AED" w14:textId="496F55F5" w:rsidR="00424A5F" w:rsidRPr="0094623A" w:rsidRDefault="00CD3B0F" w:rsidP="0094623A">
      <w:pPr>
        <w:pStyle w:val="Heading3"/>
        <w:rPr>
          <w:rFonts w:eastAsia="Times New Roman"/>
          <w:color w:val="0B3C61" w:themeColor="accent1"/>
        </w:rPr>
      </w:pPr>
      <w:bookmarkStart w:id="59" w:name="_Toc491436825"/>
      <w:bookmarkStart w:id="60" w:name="_Toc492020030"/>
      <w:r>
        <w:rPr>
          <w:rFonts w:eastAsia="Times New Roman"/>
          <w:color w:val="0B3C61" w:themeColor="accent1"/>
        </w:rPr>
        <w:t xml:space="preserve">Interpretation of the </w:t>
      </w:r>
      <w:r w:rsidR="00424A5F" w:rsidRPr="0094623A">
        <w:rPr>
          <w:rFonts w:eastAsia="Times New Roman"/>
          <w:color w:val="0B3C61" w:themeColor="accent1"/>
        </w:rPr>
        <w:t>“</w:t>
      </w:r>
      <w:r w:rsidR="00123F2A">
        <w:rPr>
          <w:rFonts w:eastAsia="Times New Roman"/>
          <w:color w:val="0B3C61" w:themeColor="accent1"/>
        </w:rPr>
        <w:t>F</w:t>
      </w:r>
      <w:r w:rsidR="00123F2A" w:rsidRPr="0094623A">
        <w:rPr>
          <w:rFonts w:eastAsia="Times New Roman"/>
          <w:color w:val="0B3C61" w:themeColor="accent1"/>
        </w:rPr>
        <w:t>air</w:t>
      </w:r>
      <w:r w:rsidR="00424A5F" w:rsidRPr="0094623A">
        <w:rPr>
          <w:rFonts w:eastAsia="Times New Roman"/>
          <w:color w:val="0B3C61" w:themeColor="accent1"/>
        </w:rPr>
        <w:t xml:space="preserve">, </w:t>
      </w:r>
      <w:r w:rsidR="00123F2A">
        <w:rPr>
          <w:rFonts w:eastAsia="Times New Roman"/>
          <w:color w:val="0B3C61" w:themeColor="accent1"/>
        </w:rPr>
        <w:t>R</w:t>
      </w:r>
      <w:r w:rsidR="00123F2A" w:rsidRPr="0094623A">
        <w:rPr>
          <w:rFonts w:eastAsia="Times New Roman"/>
          <w:color w:val="0B3C61" w:themeColor="accent1"/>
        </w:rPr>
        <w:t>easonable</w:t>
      </w:r>
      <w:r w:rsidR="00424A5F" w:rsidRPr="0094623A">
        <w:rPr>
          <w:rFonts w:eastAsia="Times New Roman"/>
          <w:color w:val="0B3C61" w:themeColor="accent1"/>
        </w:rPr>
        <w:t xml:space="preserve">, and </w:t>
      </w:r>
      <w:r w:rsidR="00123F2A">
        <w:rPr>
          <w:rFonts w:eastAsia="Times New Roman"/>
          <w:color w:val="0B3C61" w:themeColor="accent1"/>
        </w:rPr>
        <w:t>P</w:t>
      </w:r>
      <w:r w:rsidR="00123F2A" w:rsidRPr="0094623A">
        <w:rPr>
          <w:rFonts w:eastAsia="Times New Roman"/>
          <w:color w:val="0B3C61" w:themeColor="accent1"/>
        </w:rPr>
        <w:t>roportionate</w:t>
      </w:r>
      <w:r w:rsidR="00424A5F" w:rsidRPr="0094623A">
        <w:rPr>
          <w:rFonts w:eastAsia="Times New Roman"/>
          <w:color w:val="0B3C61" w:themeColor="accent1"/>
        </w:rPr>
        <w:t xml:space="preserve">” </w:t>
      </w:r>
      <w:bookmarkEnd w:id="59"/>
      <w:r w:rsidR="00123F2A">
        <w:rPr>
          <w:rFonts w:eastAsia="Times New Roman"/>
          <w:color w:val="0B3C61" w:themeColor="accent1"/>
        </w:rPr>
        <w:t>S</w:t>
      </w:r>
      <w:r w:rsidR="00123F2A" w:rsidRPr="0094623A">
        <w:rPr>
          <w:rFonts w:eastAsia="Times New Roman"/>
          <w:color w:val="0B3C61" w:themeColor="accent1"/>
        </w:rPr>
        <w:t>tandard</w:t>
      </w:r>
      <w:bookmarkEnd w:id="60"/>
    </w:p>
    <w:p w14:paraId="5D5480FB" w14:textId="73166544" w:rsidR="00424A5F" w:rsidRPr="00424A5F" w:rsidRDefault="00424A5F" w:rsidP="00424A5F">
      <w:pPr>
        <w:autoSpaceDE w:val="0"/>
        <w:autoSpaceDN w:val="0"/>
        <w:adjustRightInd w:val="0"/>
        <w:rPr>
          <w:rFonts w:ascii="Calibri" w:eastAsia="Calibri" w:hAnsi="Calibri" w:cs="Calibri"/>
        </w:rPr>
      </w:pPr>
      <w:r w:rsidRPr="00424A5F">
        <w:rPr>
          <w:rFonts w:ascii="Calibri" w:eastAsia="Calibri" w:hAnsi="Calibri" w:cs="Calibri"/>
        </w:rPr>
        <w:t xml:space="preserve">One of the key factors in designing a </w:t>
      </w:r>
      <w:r w:rsidR="00CD3B0F">
        <w:rPr>
          <w:rFonts w:ascii="Calibri" w:eastAsia="Calibri" w:hAnsi="Calibri" w:cs="Calibri"/>
        </w:rPr>
        <w:t xml:space="preserve">functional </w:t>
      </w:r>
      <w:r w:rsidRPr="00424A5F">
        <w:rPr>
          <w:rFonts w:ascii="Calibri" w:eastAsia="Calibri" w:hAnsi="Calibri" w:cs="Calibri"/>
        </w:rPr>
        <w:t xml:space="preserve">trading framework is the initial allocation of regulatory obligations among parties or sectors.  </w:t>
      </w:r>
      <w:r w:rsidR="00CD3B0F">
        <w:rPr>
          <w:rFonts w:ascii="Calibri" w:eastAsia="Calibri" w:hAnsi="Calibri" w:cs="Calibri"/>
        </w:rPr>
        <w:t>A</w:t>
      </w:r>
      <w:r w:rsidR="00CD3B0F" w:rsidRPr="00424A5F">
        <w:rPr>
          <w:rFonts w:ascii="Calibri" w:eastAsia="Calibri" w:hAnsi="Calibri" w:cs="Calibri"/>
        </w:rPr>
        <w:t xml:space="preserve"> </w:t>
      </w:r>
      <w:r w:rsidR="004E10B1">
        <w:rPr>
          <w:rFonts w:ascii="Calibri" w:eastAsia="Calibri" w:hAnsi="Calibri" w:cs="Calibri"/>
        </w:rPr>
        <w:t xml:space="preserve">high-volume </w:t>
      </w:r>
      <w:r w:rsidR="00CD3B0F" w:rsidRPr="00424A5F">
        <w:rPr>
          <w:rFonts w:ascii="Calibri" w:eastAsia="Calibri" w:hAnsi="Calibri" w:cs="Calibri"/>
        </w:rPr>
        <w:t xml:space="preserve">trading </w:t>
      </w:r>
      <w:r w:rsidR="004E10B1">
        <w:rPr>
          <w:rFonts w:ascii="Calibri" w:eastAsia="Calibri" w:hAnsi="Calibri" w:cs="Calibri"/>
        </w:rPr>
        <w:t>scheme theoretically</w:t>
      </w:r>
      <w:r w:rsidR="004E10B1" w:rsidRPr="00424A5F">
        <w:rPr>
          <w:rFonts w:ascii="Calibri" w:eastAsia="Calibri" w:hAnsi="Calibri" w:cs="Calibri"/>
        </w:rPr>
        <w:t xml:space="preserve"> </w:t>
      </w:r>
      <w:r w:rsidR="00CD3B0F" w:rsidRPr="00424A5F">
        <w:rPr>
          <w:rFonts w:ascii="Calibri" w:eastAsia="Calibri" w:hAnsi="Calibri" w:cs="Calibri"/>
        </w:rPr>
        <w:t xml:space="preserve">depends on </w:t>
      </w:r>
      <w:r w:rsidR="004E10B1">
        <w:rPr>
          <w:rFonts w:ascii="Calibri" w:eastAsia="Calibri" w:hAnsi="Calibri" w:cs="Calibri"/>
        </w:rPr>
        <w:t>some</w:t>
      </w:r>
      <w:r w:rsidR="004E10B1" w:rsidRPr="00424A5F">
        <w:rPr>
          <w:rFonts w:ascii="Calibri" w:eastAsia="Calibri" w:hAnsi="Calibri" w:cs="Calibri"/>
        </w:rPr>
        <w:t xml:space="preserve"> </w:t>
      </w:r>
      <w:r w:rsidR="00CD3B0F">
        <w:rPr>
          <w:rFonts w:ascii="Calibri" w:eastAsia="Calibri" w:hAnsi="Calibri" w:cs="Calibri"/>
        </w:rPr>
        <w:t xml:space="preserve">market </w:t>
      </w:r>
      <w:r w:rsidR="004E10B1" w:rsidRPr="00424A5F">
        <w:rPr>
          <w:rFonts w:ascii="Calibri" w:eastAsia="Calibri" w:hAnsi="Calibri" w:cs="Calibri"/>
        </w:rPr>
        <w:t>inequ</w:t>
      </w:r>
      <w:r w:rsidR="004E10B1">
        <w:rPr>
          <w:rFonts w:ascii="Calibri" w:eastAsia="Calibri" w:hAnsi="Calibri" w:cs="Calibri"/>
        </w:rPr>
        <w:t>ity</w:t>
      </w:r>
      <w:r w:rsidR="004E10B1" w:rsidRPr="00424A5F">
        <w:rPr>
          <w:rFonts w:ascii="Calibri" w:eastAsia="Calibri" w:hAnsi="Calibri" w:cs="Calibri"/>
        </w:rPr>
        <w:t xml:space="preserve"> </w:t>
      </w:r>
      <w:r w:rsidR="00CD3B0F" w:rsidRPr="00424A5F">
        <w:rPr>
          <w:rFonts w:ascii="Calibri" w:eastAsia="Calibri" w:hAnsi="Calibri" w:cs="Calibri"/>
        </w:rPr>
        <w:t xml:space="preserve">between a buyer and a seller’s costs to generate required nutrient credits.   Otherwise, no nutrient trading would occur because all parties would be able to generate credits at equal cost. </w:t>
      </w:r>
      <w:r w:rsidR="00CD3B0F">
        <w:rPr>
          <w:rFonts w:ascii="Calibri" w:eastAsia="Calibri" w:hAnsi="Calibri" w:cs="Calibri"/>
        </w:rPr>
        <w:t>No matter the initial allocation, an efficient</w:t>
      </w:r>
      <w:r w:rsidR="00CD3B0F" w:rsidRPr="00424A5F">
        <w:rPr>
          <w:rFonts w:ascii="Calibri" w:eastAsia="Calibri" w:hAnsi="Calibri" w:cs="Calibri"/>
        </w:rPr>
        <w:t xml:space="preserve"> nutrient trading market </w:t>
      </w:r>
      <w:r w:rsidR="00CD3B0F">
        <w:rPr>
          <w:rFonts w:ascii="Calibri" w:eastAsia="Calibri" w:hAnsi="Calibri" w:cs="Calibri"/>
        </w:rPr>
        <w:t>should eventually</w:t>
      </w:r>
      <w:r w:rsidR="00CD3B0F" w:rsidRPr="00424A5F">
        <w:rPr>
          <w:rFonts w:ascii="Calibri" w:eastAsia="Calibri" w:hAnsi="Calibri" w:cs="Calibri"/>
        </w:rPr>
        <w:t xml:space="preserve"> allow participants to negotiate economically efficient outcomes.  </w:t>
      </w:r>
    </w:p>
    <w:p w14:paraId="0DE50E7B" w14:textId="77777777" w:rsidR="00424A5F" w:rsidRPr="00424A5F" w:rsidRDefault="00424A5F" w:rsidP="00424A5F">
      <w:pPr>
        <w:autoSpaceDE w:val="0"/>
        <w:autoSpaceDN w:val="0"/>
        <w:adjustRightInd w:val="0"/>
        <w:rPr>
          <w:rFonts w:ascii="Calibri" w:eastAsia="Calibri" w:hAnsi="Calibri" w:cs="Calibri"/>
        </w:rPr>
      </w:pPr>
      <w:r w:rsidRPr="00424A5F">
        <w:rPr>
          <w:rFonts w:ascii="Calibri" w:eastAsia="Calibri" w:hAnsi="Calibri" w:cs="Calibri"/>
        </w:rPr>
        <w:t xml:space="preserve">The Clean Water Responsibility and Environmentally Sound Policy Act, passed in 1997, requires that “all point sources and nonpoint sources of pollutants jointly share the responsibility of reducing the pollutants in the State's waters in a fair, reasonable, and proportionate manner...”  Through each of North Carolina’s nutrient management strategies, that “fair, reasonable, and proportionate” mandate has been operationalized by seeking identical percentage nutrient reductions from all regulated sectors.  </w:t>
      </w:r>
    </w:p>
    <w:p w14:paraId="27692A60" w14:textId="77777777" w:rsidR="00424A5F" w:rsidRPr="00424A5F" w:rsidRDefault="00424A5F" w:rsidP="00424A5F">
      <w:pPr>
        <w:autoSpaceDE w:val="0"/>
        <w:autoSpaceDN w:val="0"/>
        <w:adjustRightInd w:val="0"/>
        <w:rPr>
          <w:rFonts w:ascii="Calibri" w:eastAsia="Calibri" w:hAnsi="Calibri" w:cs="Calibri"/>
        </w:rPr>
      </w:pPr>
      <w:r w:rsidRPr="00424A5F">
        <w:rPr>
          <w:rFonts w:ascii="Calibri" w:eastAsia="Calibri" w:hAnsi="Calibri" w:cs="Calibri"/>
        </w:rPr>
        <w:t xml:space="preserve">North Carolina’s </w:t>
      </w:r>
      <w:r w:rsidR="00CD3B0F">
        <w:rPr>
          <w:rFonts w:ascii="Calibri" w:eastAsia="Calibri" w:hAnsi="Calibri" w:cs="Calibri"/>
        </w:rPr>
        <w:t>historical approach</w:t>
      </w:r>
      <w:r w:rsidRPr="00424A5F">
        <w:rPr>
          <w:rFonts w:ascii="Calibri" w:eastAsia="Calibri" w:hAnsi="Calibri" w:cs="Calibri"/>
        </w:rPr>
        <w:t xml:space="preserve"> clearly meets the standard articulated above, but the standard also arguably provides significant flexibility in the assignment of nutrient load reductions.  Alternate approaches may also meet this standard while accounting for other considerations like population, projected compliance costs and access to financial capital, just to name a few.</w:t>
      </w:r>
    </w:p>
    <w:p w14:paraId="088B665E" w14:textId="21642FBE" w:rsidR="00424A5F" w:rsidRPr="00424A5F" w:rsidRDefault="00CD3B0F" w:rsidP="00424A5F">
      <w:pPr>
        <w:autoSpaceDE w:val="0"/>
        <w:autoSpaceDN w:val="0"/>
        <w:adjustRightInd w:val="0"/>
        <w:rPr>
          <w:rFonts w:ascii="Calibri" w:eastAsia="Calibri" w:hAnsi="Calibri" w:cs="Calibri"/>
        </w:rPr>
      </w:pPr>
      <w:r>
        <w:rPr>
          <w:rFonts w:ascii="Calibri" w:eastAsia="Calibri" w:hAnsi="Calibri" w:cs="Calibri"/>
        </w:rPr>
        <w:t>T</w:t>
      </w:r>
      <w:r w:rsidR="00424A5F" w:rsidRPr="00424A5F">
        <w:rPr>
          <w:rFonts w:ascii="Calibri" w:eastAsia="Calibri" w:hAnsi="Calibri" w:cs="Calibri"/>
        </w:rPr>
        <w:t xml:space="preserve">oo much </w:t>
      </w:r>
      <w:r w:rsidR="004E10B1" w:rsidRPr="00424A5F">
        <w:rPr>
          <w:rFonts w:ascii="Calibri" w:eastAsia="Calibri" w:hAnsi="Calibri" w:cs="Calibri"/>
        </w:rPr>
        <w:t xml:space="preserve">inequity </w:t>
      </w:r>
      <w:r>
        <w:rPr>
          <w:rFonts w:ascii="Calibri" w:eastAsia="Calibri" w:hAnsi="Calibri" w:cs="Calibri"/>
        </w:rPr>
        <w:t>in the initial allocation process would</w:t>
      </w:r>
      <w:r w:rsidR="00424A5F" w:rsidRPr="00424A5F">
        <w:rPr>
          <w:rFonts w:ascii="Calibri" w:eastAsia="Calibri" w:hAnsi="Calibri" w:cs="Calibri"/>
        </w:rPr>
        <w:t xml:space="preserve"> </w:t>
      </w:r>
      <w:r w:rsidRPr="00424A5F">
        <w:rPr>
          <w:rFonts w:ascii="Calibri" w:eastAsia="Calibri" w:hAnsi="Calibri" w:cs="Calibri"/>
        </w:rPr>
        <w:t xml:space="preserve">create political concerns </w:t>
      </w:r>
      <w:r>
        <w:rPr>
          <w:rFonts w:ascii="Calibri" w:eastAsia="Calibri" w:hAnsi="Calibri" w:cs="Calibri"/>
        </w:rPr>
        <w:t xml:space="preserve">and could </w:t>
      </w:r>
      <w:r w:rsidR="00424A5F" w:rsidRPr="00424A5F">
        <w:rPr>
          <w:rFonts w:ascii="Calibri" w:eastAsia="Calibri" w:hAnsi="Calibri" w:cs="Calibri"/>
        </w:rPr>
        <w:t>violate the “fair, reasonable, and proportionate” standard</w:t>
      </w:r>
      <w:r>
        <w:rPr>
          <w:rFonts w:ascii="Calibri" w:eastAsia="Calibri" w:hAnsi="Calibri" w:cs="Calibri"/>
        </w:rPr>
        <w:t xml:space="preserve">.  But a reasonable amount of market </w:t>
      </w:r>
      <w:r w:rsidR="004E10B1">
        <w:rPr>
          <w:rFonts w:ascii="Calibri" w:eastAsia="Calibri" w:hAnsi="Calibri" w:cs="Calibri"/>
        </w:rPr>
        <w:t xml:space="preserve">inequity </w:t>
      </w:r>
      <w:r>
        <w:rPr>
          <w:rFonts w:ascii="Calibri" w:eastAsia="Calibri" w:hAnsi="Calibri" w:cs="Calibri"/>
        </w:rPr>
        <w:t>might drive supply and demand for a functional, high-volume trading market that improves access to lower cost nutrient reduction practices and helps minimize per-unit transaction costs</w:t>
      </w:r>
      <w:r w:rsidR="00424A5F" w:rsidRPr="00424A5F">
        <w:rPr>
          <w:rFonts w:ascii="Calibri" w:eastAsia="Calibri" w:hAnsi="Calibri" w:cs="Calibri"/>
        </w:rPr>
        <w:t>.</w:t>
      </w:r>
    </w:p>
    <w:p w14:paraId="66E2CE2E" w14:textId="1A60CF40" w:rsidR="00424A5F" w:rsidRDefault="00CD3B0F" w:rsidP="00424A5F">
      <w:pPr>
        <w:autoSpaceDE w:val="0"/>
        <w:autoSpaceDN w:val="0"/>
        <w:adjustRightInd w:val="0"/>
        <w:rPr>
          <w:rFonts w:ascii="Calibri" w:eastAsia="Calibri" w:hAnsi="Calibri" w:cs="Calibri"/>
        </w:rPr>
      </w:pPr>
      <w:r>
        <w:rPr>
          <w:rFonts w:ascii="Calibri" w:eastAsia="Calibri" w:hAnsi="Calibri" w:cs="Calibri"/>
        </w:rPr>
        <w:t>When new</w:t>
      </w:r>
      <w:r w:rsidR="00424A5F" w:rsidRPr="00424A5F">
        <w:rPr>
          <w:rFonts w:ascii="Calibri" w:eastAsia="Calibri" w:hAnsi="Calibri" w:cs="Calibri"/>
        </w:rPr>
        <w:t xml:space="preserve"> nutrient management strategies are </w:t>
      </w:r>
      <w:r>
        <w:rPr>
          <w:rFonts w:ascii="Calibri" w:eastAsia="Calibri" w:hAnsi="Calibri" w:cs="Calibri"/>
        </w:rPr>
        <w:t xml:space="preserve">proposed </w:t>
      </w:r>
      <w:r w:rsidR="00424A5F" w:rsidRPr="00424A5F">
        <w:rPr>
          <w:rFonts w:ascii="Calibri" w:eastAsia="Calibri" w:hAnsi="Calibri" w:cs="Calibri"/>
        </w:rPr>
        <w:t xml:space="preserve">and existing strategies are </w:t>
      </w:r>
      <w:r>
        <w:rPr>
          <w:rFonts w:ascii="Calibri" w:eastAsia="Calibri" w:hAnsi="Calibri" w:cs="Calibri"/>
        </w:rPr>
        <w:t>studied in preparation for amendment and readoption, the relationship between the initial assignment of regulatory obligations and their influence on a trading market merit</w:t>
      </w:r>
      <w:r w:rsidR="009C51FE">
        <w:rPr>
          <w:rFonts w:ascii="Calibri" w:eastAsia="Calibri" w:hAnsi="Calibri" w:cs="Calibri"/>
        </w:rPr>
        <w:t>s</w:t>
      </w:r>
      <w:r>
        <w:rPr>
          <w:rFonts w:ascii="Calibri" w:eastAsia="Calibri" w:hAnsi="Calibri" w:cs="Calibri"/>
        </w:rPr>
        <w:t xml:space="preserve"> a closer look. </w:t>
      </w:r>
    </w:p>
    <w:p w14:paraId="260CB718" w14:textId="1B88402D" w:rsidR="00424A5F" w:rsidRPr="0094623A" w:rsidRDefault="00424A5F" w:rsidP="0094623A">
      <w:pPr>
        <w:pStyle w:val="Heading3"/>
        <w:rPr>
          <w:rFonts w:eastAsia="Times New Roman"/>
          <w:color w:val="0B3C61" w:themeColor="accent1"/>
        </w:rPr>
      </w:pPr>
      <w:bookmarkStart w:id="61" w:name="_Toc491436826"/>
      <w:bookmarkStart w:id="62" w:name="_Toc492020031"/>
      <w:r w:rsidRPr="0094623A">
        <w:rPr>
          <w:rFonts w:eastAsia="Times New Roman"/>
          <w:color w:val="0B3C61" w:themeColor="accent1"/>
        </w:rPr>
        <w:t xml:space="preserve">Transaction </w:t>
      </w:r>
      <w:bookmarkEnd w:id="61"/>
      <w:r w:rsidR="00123F2A">
        <w:rPr>
          <w:rFonts w:eastAsia="Times New Roman"/>
          <w:color w:val="0B3C61" w:themeColor="accent1"/>
        </w:rPr>
        <w:t>C</w:t>
      </w:r>
      <w:r w:rsidR="00123F2A" w:rsidRPr="0094623A">
        <w:rPr>
          <w:rFonts w:eastAsia="Times New Roman"/>
          <w:color w:val="0B3C61" w:themeColor="accent1"/>
        </w:rPr>
        <w:t>osts</w:t>
      </w:r>
      <w:bookmarkEnd w:id="62"/>
    </w:p>
    <w:p w14:paraId="50D8DB46" w14:textId="07E691BD" w:rsidR="00424A5F" w:rsidRPr="00424A5F" w:rsidRDefault="006245A4" w:rsidP="00424A5F">
      <w:pPr>
        <w:rPr>
          <w:rFonts w:ascii="Calibri" w:eastAsia="Calibri" w:hAnsi="Calibri" w:cs="Times New Roman"/>
        </w:rPr>
      </w:pPr>
      <w:r>
        <w:rPr>
          <w:rFonts w:ascii="Calibri" w:eastAsia="Calibri" w:hAnsi="Calibri" w:cs="Times New Roman"/>
        </w:rPr>
        <w:t>If nutrient credit trading volumes increase significantly,</w:t>
      </w:r>
      <w:r w:rsidRPr="00424A5F">
        <w:rPr>
          <w:rFonts w:ascii="Calibri" w:eastAsia="Calibri" w:hAnsi="Calibri" w:cs="Times New Roman"/>
        </w:rPr>
        <w:t xml:space="preserve"> </w:t>
      </w:r>
      <w:r>
        <w:rPr>
          <w:rFonts w:ascii="Calibri" w:eastAsia="Calibri" w:hAnsi="Calibri" w:cs="Times New Roman"/>
        </w:rPr>
        <w:t>m</w:t>
      </w:r>
      <w:r w:rsidR="00424A5F" w:rsidRPr="00424A5F">
        <w:rPr>
          <w:rFonts w:ascii="Calibri" w:eastAsia="Calibri" w:hAnsi="Calibri" w:cs="Times New Roman"/>
        </w:rPr>
        <w:t>inimiz</w:t>
      </w:r>
      <w:r>
        <w:rPr>
          <w:rFonts w:ascii="Calibri" w:eastAsia="Calibri" w:hAnsi="Calibri" w:cs="Times New Roman"/>
        </w:rPr>
        <w:t>ing</w:t>
      </w:r>
      <w:r w:rsidR="00424A5F" w:rsidRPr="00424A5F">
        <w:rPr>
          <w:rFonts w:ascii="Calibri" w:eastAsia="Calibri" w:hAnsi="Calibri" w:cs="Times New Roman"/>
        </w:rPr>
        <w:t xml:space="preserve"> transaction costs</w:t>
      </w:r>
      <w:r>
        <w:rPr>
          <w:rFonts w:ascii="Calibri" w:eastAsia="Calibri" w:hAnsi="Calibri" w:cs="Times New Roman"/>
        </w:rPr>
        <w:t xml:space="preserve"> and</w:t>
      </w:r>
      <w:r w:rsidR="00424A5F" w:rsidRPr="00424A5F">
        <w:rPr>
          <w:rFonts w:ascii="Calibri" w:eastAsia="Calibri" w:hAnsi="Calibri" w:cs="Times New Roman"/>
        </w:rPr>
        <w:t xml:space="preserve"> maximiz</w:t>
      </w:r>
      <w:r>
        <w:rPr>
          <w:rFonts w:ascii="Calibri" w:eastAsia="Calibri" w:hAnsi="Calibri" w:cs="Times New Roman"/>
        </w:rPr>
        <w:t>ing the</w:t>
      </w:r>
      <w:r w:rsidR="00424A5F" w:rsidRPr="00424A5F">
        <w:rPr>
          <w:rFonts w:ascii="Calibri" w:eastAsia="Calibri" w:hAnsi="Calibri" w:cs="Times New Roman"/>
        </w:rPr>
        <w:t xml:space="preserve"> efficiency</w:t>
      </w:r>
      <w:r>
        <w:rPr>
          <w:rFonts w:ascii="Calibri" w:eastAsia="Calibri" w:hAnsi="Calibri" w:cs="Times New Roman"/>
        </w:rPr>
        <w:t xml:space="preserve"> of the nutrient credit trading market will be a significant challenge</w:t>
      </w:r>
      <w:r w:rsidR="00424A5F" w:rsidRPr="00424A5F">
        <w:rPr>
          <w:rFonts w:ascii="Calibri" w:eastAsia="Calibri" w:hAnsi="Calibri" w:cs="Times New Roman"/>
        </w:rPr>
        <w:t xml:space="preserve">.  </w:t>
      </w:r>
      <w:r>
        <w:rPr>
          <w:rFonts w:ascii="Calibri" w:eastAsia="Calibri" w:hAnsi="Calibri" w:cs="Times New Roman"/>
        </w:rPr>
        <w:t xml:space="preserve">Various transaction costs will be borne by regulatory agencies as well as entities engaging in trade. If transaction costs are too high, they </w:t>
      </w:r>
      <w:r w:rsidR="009C51FE">
        <w:rPr>
          <w:rFonts w:ascii="Calibri" w:eastAsia="Calibri" w:hAnsi="Calibri" w:cs="Times New Roman"/>
        </w:rPr>
        <w:t>can</w:t>
      </w:r>
      <w:r>
        <w:rPr>
          <w:rFonts w:ascii="Calibri" w:eastAsia="Calibri" w:hAnsi="Calibri" w:cs="Times New Roman"/>
        </w:rPr>
        <w:t xml:space="preserve"> drive a wedge in the market, reducing its overall efficiency and potential trading volume.  As mentioned above, l</w:t>
      </w:r>
      <w:r w:rsidR="00424A5F" w:rsidRPr="00424A5F">
        <w:rPr>
          <w:rFonts w:ascii="Calibri" w:eastAsia="Calibri" w:hAnsi="Calibri" w:cs="Times New Roman"/>
        </w:rPr>
        <w:t>egislati</w:t>
      </w:r>
      <w:r>
        <w:rPr>
          <w:rFonts w:ascii="Calibri" w:eastAsia="Calibri" w:hAnsi="Calibri" w:cs="Times New Roman"/>
        </w:rPr>
        <w:t>ve authorization would be required for the state to increase</w:t>
      </w:r>
      <w:r w:rsidR="00424A5F" w:rsidRPr="00424A5F">
        <w:rPr>
          <w:rFonts w:ascii="Calibri" w:eastAsia="Calibri" w:hAnsi="Calibri" w:cs="Times New Roman"/>
        </w:rPr>
        <w:t xml:space="preserve"> </w:t>
      </w:r>
      <w:r>
        <w:rPr>
          <w:rFonts w:ascii="Calibri" w:eastAsia="Calibri" w:hAnsi="Calibri" w:cs="Times New Roman"/>
        </w:rPr>
        <w:t>staff, directly invest in an online trading registry, or</w:t>
      </w:r>
      <w:r w:rsidR="00424A5F" w:rsidRPr="00424A5F">
        <w:rPr>
          <w:rFonts w:ascii="Calibri" w:eastAsia="Calibri" w:hAnsi="Calibri" w:cs="Times New Roman"/>
        </w:rPr>
        <w:t xml:space="preserve"> authorize </w:t>
      </w:r>
      <w:r>
        <w:rPr>
          <w:rFonts w:ascii="Calibri" w:eastAsia="Calibri" w:hAnsi="Calibri" w:cs="Times New Roman"/>
        </w:rPr>
        <w:t xml:space="preserve">user or transaction </w:t>
      </w:r>
      <w:r w:rsidR="00424A5F" w:rsidRPr="00424A5F">
        <w:rPr>
          <w:rFonts w:ascii="Calibri" w:eastAsia="Calibri" w:hAnsi="Calibri" w:cs="Times New Roman"/>
        </w:rPr>
        <w:t xml:space="preserve">fees.  </w:t>
      </w:r>
      <w:r>
        <w:rPr>
          <w:rFonts w:ascii="Calibri" w:eastAsia="Calibri" w:hAnsi="Calibri" w:cs="Times New Roman"/>
        </w:rPr>
        <w:t>Some or all of these approaches to supporting nutrient trading infrastructure may be necessary in the future.</w:t>
      </w:r>
    </w:p>
    <w:p w14:paraId="2A60F82E" w14:textId="77777777" w:rsidR="00424A5F" w:rsidRPr="0094623A" w:rsidRDefault="00424A5F" w:rsidP="0094623A">
      <w:pPr>
        <w:pStyle w:val="Heading3"/>
        <w:rPr>
          <w:rFonts w:eastAsia="Times New Roman"/>
          <w:color w:val="0B3C61" w:themeColor="accent1"/>
        </w:rPr>
      </w:pPr>
      <w:bookmarkStart w:id="63" w:name="_Toc491436827"/>
      <w:bookmarkStart w:id="64" w:name="_Toc492020032"/>
      <w:r w:rsidRPr="0094623A">
        <w:rPr>
          <w:rFonts w:eastAsia="Times New Roman"/>
          <w:color w:val="0B3C61" w:themeColor="accent1"/>
        </w:rPr>
        <w:t>Hotspots</w:t>
      </w:r>
      <w:bookmarkEnd w:id="63"/>
      <w:bookmarkEnd w:id="64"/>
    </w:p>
    <w:p w14:paraId="55535FB7" w14:textId="79799971" w:rsidR="00E90900" w:rsidRDefault="006245A4" w:rsidP="00B624F4">
      <w:pPr>
        <w:rPr>
          <w:u w:val="single"/>
        </w:rPr>
      </w:pPr>
      <w:r>
        <w:rPr>
          <w:rFonts w:ascii="Calibri" w:eastAsia="Calibri" w:hAnsi="Calibri" w:cs="Times New Roman"/>
        </w:rPr>
        <w:t xml:space="preserve">A concern about nutrient trading is that is has the potential to allow concentrated nutrient pollution in smaller areas, potentially resulting in new </w:t>
      </w:r>
      <w:r w:rsidR="00992E17">
        <w:rPr>
          <w:rFonts w:ascii="Calibri" w:eastAsia="Calibri" w:hAnsi="Calibri" w:cs="Times New Roman"/>
        </w:rPr>
        <w:t xml:space="preserve">localized </w:t>
      </w:r>
      <w:r>
        <w:rPr>
          <w:rFonts w:ascii="Calibri" w:eastAsia="Calibri" w:hAnsi="Calibri" w:cs="Times New Roman"/>
        </w:rPr>
        <w:t>impairments.  Nutrient wastewater rules allow for permit modifications if discharges are creating localized water quality issues.  However, th</w:t>
      </w:r>
      <w:r w:rsidR="00992E17">
        <w:rPr>
          <w:rFonts w:ascii="Calibri" w:eastAsia="Calibri" w:hAnsi="Calibri" w:cs="Times New Roman"/>
        </w:rPr>
        <w:t>is</w:t>
      </w:r>
      <w:r>
        <w:rPr>
          <w:rFonts w:ascii="Calibri" w:eastAsia="Calibri" w:hAnsi="Calibri" w:cs="Times New Roman"/>
        </w:rPr>
        <w:t xml:space="preserve"> issue is not fully addressed in relation to nonpoint sources or trading</w:t>
      </w:r>
      <w:r w:rsidR="00992E17">
        <w:rPr>
          <w:rFonts w:ascii="Calibri" w:eastAsia="Calibri" w:hAnsi="Calibri" w:cs="Times New Roman"/>
        </w:rPr>
        <w:t>, and</w:t>
      </w:r>
      <w:r>
        <w:rPr>
          <w:rFonts w:ascii="Calibri" w:eastAsia="Calibri" w:hAnsi="Calibri" w:cs="Times New Roman"/>
        </w:rPr>
        <w:t xml:space="preserve"> </w:t>
      </w:r>
      <w:r w:rsidR="00992E17">
        <w:rPr>
          <w:rFonts w:ascii="Calibri" w:eastAsia="Calibri" w:hAnsi="Calibri" w:cs="Times New Roman"/>
        </w:rPr>
        <w:t>it</w:t>
      </w:r>
      <w:r>
        <w:rPr>
          <w:rFonts w:ascii="Calibri" w:eastAsia="Calibri" w:hAnsi="Calibri" w:cs="Times New Roman"/>
        </w:rPr>
        <w:t xml:space="preserve"> </w:t>
      </w:r>
      <w:r w:rsidR="00992E17">
        <w:rPr>
          <w:rFonts w:ascii="Calibri" w:eastAsia="Calibri" w:hAnsi="Calibri" w:cs="Times New Roman"/>
        </w:rPr>
        <w:t>is</w:t>
      </w:r>
      <w:r>
        <w:rPr>
          <w:rFonts w:ascii="Calibri" w:eastAsia="Calibri" w:hAnsi="Calibri" w:cs="Times New Roman"/>
        </w:rPr>
        <w:t xml:space="preserve"> likely to become exacerbated</w:t>
      </w:r>
      <w:r w:rsidR="00992E17">
        <w:rPr>
          <w:rFonts w:ascii="Calibri" w:eastAsia="Calibri" w:hAnsi="Calibri" w:cs="Times New Roman"/>
        </w:rPr>
        <w:t xml:space="preserve"> if credit trading volume increases significantly</w:t>
      </w:r>
      <w:r>
        <w:rPr>
          <w:rFonts w:ascii="Calibri" w:eastAsia="Calibri" w:hAnsi="Calibri" w:cs="Times New Roman"/>
        </w:rPr>
        <w:t>.  Amendments to rules and/or policies related to credit generation and trading might help allevi</w:t>
      </w:r>
      <w:r w:rsidR="00992E17">
        <w:rPr>
          <w:rFonts w:ascii="Calibri" w:eastAsia="Calibri" w:hAnsi="Calibri" w:cs="Times New Roman"/>
        </w:rPr>
        <w:t xml:space="preserve">ate these concerns and provide </w:t>
      </w:r>
      <w:r>
        <w:rPr>
          <w:rFonts w:ascii="Calibri" w:eastAsia="Calibri" w:hAnsi="Calibri" w:cs="Times New Roman"/>
        </w:rPr>
        <w:t xml:space="preserve">regulatory certainty for credit market participants.  One potential approach might include limits on </w:t>
      </w:r>
      <w:r w:rsidR="00992E17">
        <w:rPr>
          <w:rFonts w:ascii="Calibri" w:eastAsia="Calibri" w:hAnsi="Calibri" w:cs="Times New Roman"/>
        </w:rPr>
        <w:t xml:space="preserve">buying or </w:t>
      </w:r>
      <w:r>
        <w:rPr>
          <w:rFonts w:ascii="Calibri" w:eastAsia="Calibri" w:hAnsi="Calibri" w:cs="Times New Roman"/>
        </w:rPr>
        <w:t xml:space="preserve">selling nutrient credits if </w:t>
      </w:r>
      <w:r w:rsidR="00992E17">
        <w:rPr>
          <w:rFonts w:ascii="Calibri" w:eastAsia="Calibri" w:hAnsi="Calibri" w:cs="Times New Roman"/>
        </w:rPr>
        <w:t>a localized impairment develops</w:t>
      </w:r>
      <w:r>
        <w:rPr>
          <w:rFonts w:ascii="Calibri" w:eastAsia="Calibri" w:hAnsi="Calibri" w:cs="Times New Roman"/>
        </w:rPr>
        <w:t>.  Regulatory incentives might also be considered for providers that agree to monitor downstream reaches within their project’s vicinity, providing DWR with additional information regarding nutrient strategy performance.</w:t>
      </w:r>
    </w:p>
    <w:p w14:paraId="7A8BE0B2" w14:textId="77777777" w:rsidR="00901056" w:rsidRDefault="00901056" w:rsidP="00FA25CF"/>
    <w:sectPr w:rsidR="00901056" w:rsidSect="00B624F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1EB5B" w14:textId="77777777" w:rsidR="00770FC4" w:rsidRDefault="00770FC4" w:rsidP="00424A5F">
      <w:pPr>
        <w:spacing w:after="0" w:line="240" w:lineRule="auto"/>
      </w:pPr>
      <w:r>
        <w:separator/>
      </w:r>
    </w:p>
  </w:endnote>
  <w:endnote w:type="continuationSeparator" w:id="0">
    <w:p w14:paraId="23D1D0EE" w14:textId="77777777" w:rsidR="00770FC4" w:rsidRDefault="00770FC4" w:rsidP="00424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04367" w14:textId="77777777" w:rsidR="00062D82" w:rsidRDefault="00062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323268"/>
      <w:docPartObj>
        <w:docPartGallery w:val="Page Numbers (Bottom of Page)"/>
        <w:docPartUnique/>
      </w:docPartObj>
    </w:sdtPr>
    <w:sdtEndPr>
      <w:rPr>
        <w:noProof/>
      </w:rPr>
    </w:sdtEndPr>
    <w:sdtContent>
      <w:p w14:paraId="51540434" w14:textId="69DAC372" w:rsidR="00770FC4" w:rsidRDefault="00770FC4">
        <w:pPr>
          <w:pStyle w:val="Footer"/>
          <w:jc w:val="center"/>
        </w:pPr>
        <w:r>
          <w:fldChar w:fldCharType="begin"/>
        </w:r>
        <w:r>
          <w:instrText xml:space="preserve"> PAGE   \* MERGEFORMAT </w:instrText>
        </w:r>
        <w:r>
          <w:fldChar w:fldCharType="separate"/>
        </w:r>
        <w:r w:rsidR="003F2C18">
          <w:rPr>
            <w:noProof/>
          </w:rPr>
          <w:t>1</w:t>
        </w:r>
        <w:r>
          <w:rPr>
            <w:noProof/>
          </w:rPr>
          <w:fldChar w:fldCharType="end"/>
        </w:r>
      </w:p>
    </w:sdtContent>
  </w:sdt>
  <w:p w14:paraId="1F322CF6" w14:textId="77777777" w:rsidR="00770FC4" w:rsidRDefault="00770F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C1724" w14:textId="77777777" w:rsidR="00062D82" w:rsidRDefault="00062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72944" w14:textId="77777777" w:rsidR="00770FC4" w:rsidRDefault="00770FC4" w:rsidP="00424A5F">
      <w:pPr>
        <w:spacing w:after="0" w:line="240" w:lineRule="auto"/>
      </w:pPr>
      <w:r>
        <w:separator/>
      </w:r>
    </w:p>
  </w:footnote>
  <w:footnote w:type="continuationSeparator" w:id="0">
    <w:p w14:paraId="50C92782" w14:textId="77777777" w:rsidR="00770FC4" w:rsidRDefault="00770FC4" w:rsidP="00424A5F">
      <w:pPr>
        <w:spacing w:after="0" w:line="240" w:lineRule="auto"/>
      </w:pPr>
      <w:r>
        <w:continuationSeparator/>
      </w:r>
    </w:p>
  </w:footnote>
  <w:footnote w:id="1">
    <w:p w14:paraId="12CEB4C2" w14:textId="55A3D763" w:rsidR="00770FC4" w:rsidRDefault="00770FC4">
      <w:pPr>
        <w:pStyle w:val="FootnoteText"/>
      </w:pPr>
      <w:r>
        <w:rPr>
          <w:rStyle w:val="FootnoteReference"/>
        </w:rPr>
        <w:footnoteRef/>
      </w:r>
      <w:r>
        <w:t xml:space="preserve"> See </w:t>
      </w:r>
      <w:hyperlink r:id="rId1" w:history="1">
        <w:r w:rsidRPr="00872F72">
          <w:rPr>
            <w:rStyle w:val="Hyperlink"/>
          </w:rPr>
          <w:t>https://www.epa.gov/npdes/water-quality-trading</w:t>
        </w:r>
      </w:hyperlink>
      <w:r>
        <w:t xml:space="preserve"> for more information regarding EPA trading policy and guidance.</w:t>
      </w:r>
    </w:p>
  </w:footnote>
  <w:footnote w:id="2">
    <w:p w14:paraId="485185B7" w14:textId="418E1F01" w:rsidR="00770FC4" w:rsidRDefault="00770FC4">
      <w:pPr>
        <w:pStyle w:val="FootnoteText"/>
      </w:pPr>
      <w:r>
        <w:rPr>
          <w:rStyle w:val="FootnoteReference"/>
        </w:rPr>
        <w:footnoteRef/>
      </w:r>
      <w:r>
        <w:t xml:space="preserve"> See S.L. 1997-458.</w:t>
      </w:r>
    </w:p>
  </w:footnote>
  <w:footnote w:id="3">
    <w:p w14:paraId="44E007B0" w14:textId="44F9A103" w:rsidR="00770FC4" w:rsidRDefault="00770FC4">
      <w:pPr>
        <w:pStyle w:val="FootnoteText"/>
      </w:pPr>
      <w:r>
        <w:rPr>
          <w:rStyle w:val="FootnoteReference"/>
        </w:rPr>
        <w:footnoteRef/>
      </w:r>
      <w:r>
        <w:t xml:space="preserve"> Nutrient-related wastewater regulations include 15A NCAC 02B .0229 (Tar), .0234 (Neuse), .0270 (Jordan), and .0279 (Falls).</w:t>
      </w:r>
    </w:p>
  </w:footnote>
  <w:footnote w:id="4">
    <w:p w14:paraId="6056E628" w14:textId="4951EB6D" w:rsidR="00770FC4" w:rsidRDefault="00770FC4">
      <w:pPr>
        <w:pStyle w:val="FootnoteText"/>
      </w:pPr>
      <w:r>
        <w:rPr>
          <w:rStyle w:val="FootnoteReference"/>
        </w:rPr>
        <w:footnoteRef/>
      </w:r>
      <w:r>
        <w:t xml:space="preserve"> Nutrient-related new development regulations include 15A NCAC 02B .0235 (Neuse), .0258 (Tar), .0265 (Jordan), and .0277 (Falls).</w:t>
      </w:r>
    </w:p>
  </w:footnote>
  <w:footnote w:id="5">
    <w:p w14:paraId="421A48A2" w14:textId="12001B78" w:rsidR="00770FC4" w:rsidRDefault="00770FC4">
      <w:pPr>
        <w:pStyle w:val="FootnoteText"/>
      </w:pPr>
      <w:r>
        <w:rPr>
          <w:rStyle w:val="FootnoteReference"/>
        </w:rPr>
        <w:footnoteRef/>
      </w:r>
      <w:r>
        <w:t xml:space="preserve"> Nutrient-related agriculture regulations include 15A NCAC 02B .0238 (Neuse), .0255, .0256 (Tar), .0264 (Jordan), and .0280 (Falls).</w:t>
      </w:r>
    </w:p>
    <w:p w14:paraId="292A95AC" w14:textId="26BDBC29" w:rsidR="00770FC4" w:rsidRDefault="00770FC4">
      <w:pPr>
        <w:pStyle w:val="FootnoteText"/>
      </w:pPr>
      <w:r>
        <w:t>Nutrient-related existing development regulations include 15A NCAC 02B .0266 (Jordan) and .0278 (Falls).</w:t>
      </w:r>
    </w:p>
  </w:footnote>
  <w:footnote w:id="6">
    <w:p w14:paraId="32729699" w14:textId="46AC8163" w:rsidR="00770FC4" w:rsidRDefault="00770FC4">
      <w:pPr>
        <w:pStyle w:val="FootnoteText"/>
      </w:pPr>
      <w:r>
        <w:rPr>
          <w:rStyle w:val="FootnoteReference"/>
        </w:rPr>
        <w:footnoteRef/>
      </w:r>
      <w:r>
        <w:t xml:space="preserve"> See 15A NCAC .02B .0273 and .0282.</w:t>
      </w:r>
    </w:p>
  </w:footnote>
  <w:footnote w:id="7">
    <w:p w14:paraId="469E57CD" w14:textId="47737281" w:rsidR="00770FC4" w:rsidRDefault="00770FC4">
      <w:pPr>
        <w:pStyle w:val="FootnoteText"/>
      </w:pPr>
      <w:r>
        <w:rPr>
          <w:rStyle w:val="FootnoteReference"/>
        </w:rPr>
        <w:footnoteRef/>
      </w:r>
      <w:r>
        <w:t xml:space="preserve"> 15A NCAC .02B .0240</w:t>
      </w:r>
    </w:p>
  </w:footnote>
  <w:footnote w:id="8">
    <w:p w14:paraId="36176600" w14:textId="7BEF4313" w:rsidR="00770FC4" w:rsidRDefault="00770FC4" w:rsidP="00424A5F">
      <w:pPr>
        <w:pStyle w:val="FootnoteText1"/>
      </w:pPr>
      <w:r>
        <w:rPr>
          <w:rStyle w:val="FootnoteReference"/>
        </w:rPr>
        <w:footnoteRef/>
      </w:r>
      <w:r>
        <w:t xml:space="preserve"> For Falls Lake example, see 15A NCAC .0280(2) (“This Rule requires accounting for agricultural land management practices at the county level in the Falls watershed, and implementation of practices by farmers to collectively achieve the nutrient reduction objectives on a watershed basis.”)</w:t>
      </w:r>
    </w:p>
  </w:footnote>
  <w:footnote w:id="9">
    <w:p w14:paraId="3AB0E1FF" w14:textId="24ED314E" w:rsidR="00770FC4" w:rsidRDefault="00770FC4" w:rsidP="00424A5F">
      <w:pPr>
        <w:pStyle w:val="FootnoteText1"/>
      </w:pPr>
      <w:r>
        <w:rPr>
          <w:rStyle w:val="FootnoteReference"/>
        </w:rPr>
        <w:footnoteRef/>
      </w:r>
      <w:r>
        <w:t xml:space="preserve"> For a Falls Lake example, see 15A NCAC .0279(11).</w:t>
      </w:r>
    </w:p>
  </w:footnote>
  <w:footnote w:id="10">
    <w:p w14:paraId="2EDABEDE" w14:textId="69B0B143" w:rsidR="00770FC4" w:rsidRDefault="00770FC4" w:rsidP="00424A5F">
      <w:pPr>
        <w:pStyle w:val="FootnoteText1"/>
      </w:pPr>
      <w:r>
        <w:rPr>
          <w:rStyle w:val="FootnoteReference"/>
        </w:rPr>
        <w:footnoteRef/>
      </w:r>
      <w:r>
        <w:t xml:space="preserve"> For a Falls Lake example, see 15A NCAC .0278(6) (“A municipality shall have the option of working with the county or counties in which it falls, or with another municipality or municipalities within the same subwatershed, to jointly meet the loading targets from all lands within their combined jurisdictions within a subwatershed.”)</w:t>
      </w:r>
    </w:p>
  </w:footnote>
  <w:footnote w:id="11">
    <w:p w14:paraId="18D90C37" w14:textId="0CFCE367" w:rsidR="00770FC4" w:rsidRDefault="00770FC4" w:rsidP="00424A5F">
      <w:pPr>
        <w:pStyle w:val="FootnoteText1"/>
      </w:pPr>
      <w:r>
        <w:rPr>
          <w:rStyle w:val="FootnoteReference"/>
        </w:rPr>
        <w:footnoteRef/>
      </w:r>
      <w:r>
        <w:t xml:space="preserve"> For a Falls Lake example, see 15A NCAC .0282(</w:t>
      </w:r>
      <w:r w:rsidR="005E47FB">
        <w:t>4) (</w:t>
      </w:r>
      <w:r>
        <w:t>“Local governments have the option of combining their reduction needs from NPDES dischargers assigned allocations in 15A NCAC 02B .0279 and existing development as described in 15A NCAC 02B .0278, including loads from properly functioning and malfunctioning septic systems and discharging sand filters, into one reduction and allocation requirement and meet them jointly.”)</w:t>
      </w:r>
    </w:p>
  </w:footnote>
  <w:footnote w:id="12">
    <w:p w14:paraId="59B64AFB" w14:textId="77777777" w:rsidR="00770FC4" w:rsidRDefault="00770FC4">
      <w:pPr>
        <w:pStyle w:val="FootnoteText"/>
      </w:pPr>
      <w:r>
        <w:rPr>
          <w:rStyle w:val="FootnoteReference"/>
        </w:rPr>
        <w:footnoteRef/>
      </w:r>
      <w:r>
        <w:t xml:space="preserve"> </w:t>
      </w:r>
      <w:r>
        <w:rPr>
          <w:rFonts w:ascii="Calibri" w:eastAsia="Calibri" w:hAnsi="Calibri" w:cs="Times New Roman"/>
        </w:rPr>
        <w:t xml:space="preserve">Association of Clean Water Administrators and the Willamette Partnership.  Water Quality Trading Toolkit Version 1.0.  August, 2016.  </w:t>
      </w:r>
      <w:hyperlink r:id="rId2" w:history="1">
        <w:r w:rsidRPr="0010039D">
          <w:rPr>
            <w:rStyle w:val="Hyperlink"/>
          </w:rPr>
          <w:t>https://www.acwa-us.org/wp-content/uploads/2017/04/Water-Quality-Trading-Toolkit-Version-1.0-1.pdf</w:t>
        </w:r>
      </w:hyperlink>
    </w:p>
    <w:p w14:paraId="41677772" w14:textId="77777777" w:rsidR="00770FC4" w:rsidRDefault="00770FC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C60F3" w14:textId="77777777" w:rsidR="00062D82" w:rsidRDefault="00062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5605D" w14:textId="77777777" w:rsidR="00770FC4" w:rsidRDefault="00770FC4" w:rsidP="00EC27A9">
    <w:pPr>
      <w:pStyle w:val="Header"/>
      <w:jc w:val="right"/>
    </w:pPr>
    <w:r>
      <w:t>Nutrient Trading Framework: Discussion Draft</w:t>
    </w:r>
  </w:p>
  <w:p w14:paraId="490EAFFE" w14:textId="77777777" w:rsidR="00770FC4" w:rsidRDefault="00770FC4" w:rsidP="00EC27A9">
    <w:pPr>
      <w:pStyle w:val="Header"/>
      <w:jc w:val="right"/>
    </w:pPr>
    <w:r>
      <w:t>Sept. 1, 2017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111E2" w14:textId="77777777" w:rsidR="00062D82" w:rsidRDefault="00062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6529"/>
    <w:multiLevelType w:val="hybridMultilevel"/>
    <w:tmpl w:val="36246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9C21FD"/>
    <w:multiLevelType w:val="hybridMultilevel"/>
    <w:tmpl w:val="464EA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CA4759"/>
    <w:multiLevelType w:val="hybridMultilevel"/>
    <w:tmpl w:val="DA28D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6B2AA8"/>
    <w:multiLevelType w:val="hybridMultilevel"/>
    <w:tmpl w:val="D688D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A633C4"/>
    <w:multiLevelType w:val="hybridMultilevel"/>
    <w:tmpl w:val="579EA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745A6"/>
    <w:multiLevelType w:val="hybridMultilevel"/>
    <w:tmpl w:val="78B41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4C64F7"/>
    <w:multiLevelType w:val="hybridMultilevel"/>
    <w:tmpl w:val="61AA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E71202"/>
    <w:multiLevelType w:val="hybridMultilevel"/>
    <w:tmpl w:val="1C426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F03F74"/>
    <w:multiLevelType w:val="hybridMultilevel"/>
    <w:tmpl w:val="0B505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572FF5"/>
    <w:multiLevelType w:val="hybridMultilevel"/>
    <w:tmpl w:val="EC10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9"/>
  </w:num>
  <w:num w:numId="5">
    <w:abstractNumId w:val="3"/>
  </w:num>
  <w:num w:numId="6">
    <w:abstractNumId w:val="1"/>
  </w:num>
  <w:num w:numId="7">
    <w:abstractNumId w:val="8"/>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A5F"/>
    <w:rsid w:val="0001343A"/>
    <w:rsid w:val="00017451"/>
    <w:rsid w:val="0002185D"/>
    <w:rsid w:val="000415F9"/>
    <w:rsid w:val="00047C47"/>
    <w:rsid w:val="00062D82"/>
    <w:rsid w:val="00062D8A"/>
    <w:rsid w:val="000742F4"/>
    <w:rsid w:val="00091FD5"/>
    <w:rsid w:val="000A0BDE"/>
    <w:rsid w:val="000A4D07"/>
    <w:rsid w:val="000B1EF2"/>
    <w:rsid w:val="000C0F6B"/>
    <w:rsid w:val="000F45D7"/>
    <w:rsid w:val="00123F2A"/>
    <w:rsid w:val="001264ED"/>
    <w:rsid w:val="0015242E"/>
    <w:rsid w:val="00195E3F"/>
    <w:rsid w:val="001961CE"/>
    <w:rsid w:val="001A15AD"/>
    <w:rsid w:val="001A45B6"/>
    <w:rsid w:val="001E40F9"/>
    <w:rsid w:val="001F0953"/>
    <w:rsid w:val="001F0F16"/>
    <w:rsid w:val="001F3D71"/>
    <w:rsid w:val="00210BDE"/>
    <w:rsid w:val="00217C51"/>
    <w:rsid w:val="002323CD"/>
    <w:rsid w:val="00237D60"/>
    <w:rsid w:val="00247137"/>
    <w:rsid w:val="00253D6B"/>
    <w:rsid w:val="00255FE6"/>
    <w:rsid w:val="00257760"/>
    <w:rsid w:val="00257AE7"/>
    <w:rsid w:val="002632B8"/>
    <w:rsid w:val="002672D0"/>
    <w:rsid w:val="002769CA"/>
    <w:rsid w:val="002771D7"/>
    <w:rsid w:val="0028221D"/>
    <w:rsid w:val="00295B5E"/>
    <w:rsid w:val="002C4562"/>
    <w:rsid w:val="002D2017"/>
    <w:rsid w:val="002D2B49"/>
    <w:rsid w:val="002D3395"/>
    <w:rsid w:val="002E64D7"/>
    <w:rsid w:val="0030532F"/>
    <w:rsid w:val="00305A86"/>
    <w:rsid w:val="0032199B"/>
    <w:rsid w:val="00336FE9"/>
    <w:rsid w:val="0034361B"/>
    <w:rsid w:val="00357E5F"/>
    <w:rsid w:val="00371232"/>
    <w:rsid w:val="00395D54"/>
    <w:rsid w:val="003A3909"/>
    <w:rsid w:val="003D3F7A"/>
    <w:rsid w:val="003E4C98"/>
    <w:rsid w:val="003F2C18"/>
    <w:rsid w:val="00424A5F"/>
    <w:rsid w:val="0046311C"/>
    <w:rsid w:val="00483CAF"/>
    <w:rsid w:val="004C0CDF"/>
    <w:rsid w:val="004C14F9"/>
    <w:rsid w:val="004C54F2"/>
    <w:rsid w:val="004D1EC6"/>
    <w:rsid w:val="004E10B1"/>
    <w:rsid w:val="004E5363"/>
    <w:rsid w:val="00516F39"/>
    <w:rsid w:val="0053397B"/>
    <w:rsid w:val="00540BB9"/>
    <w:rsid w:val="00542C1D"/>
    <w:rsid w:val="00551CD6"/>
    <w:rsid w:val="005533B0"/>
    <w:rsid w:val="00567684"/>
    <w:rsid w:val="00582CBF"/>
    <w:rsid w:val="005959E4"/>
    <w:rsid w:val="00595EE2"/>
    <w:rsid w:val="005A3B0A"/>
    <w:rsid w:val="005B5887"/>
    <w:rsid w:val="005B6895"/>
    <w:rsid w:val="005C02B6"/>
    <w:rsid w:val="005C19DC"/>
    <w:rsid w:val="005C79F5"/>
    <w:rsid w:val="005D26F6"/>
    <w:rsid w:val="005E47FB"/>
    <w:rsid w:val="0060430A"/>
    <w:rsid w:val="006128C1"/>
    <w:rsid w:val="006245A4"/>
    <w:rsid w:val="00647BE9"/>
    <w:rsid w:val="00652DC3"/>
    <w:rsid w:val="006838EF"/>
    <w:rsid w:val="006F7854"/>
    <w:rsid w:val="00715DCD"/>
    <w:rsid w:val="0072597E"/>
    <w:rsid w:val="00745EDA"/>
    <w:rsid w:val="00751EF6"/>
    <w:rsid w:val="007566EF"/>
    <w:rsid w:val="00770FC4"/>
    <w:rsid w:val="0077488A"/>
    <w:rsid w:val="007D59B8"/>
    <w:rsid w:val="007E0095"/>
    <w:rsid w:val="007E5F17"/>
    <w:rsid w:val="007E76AC"/>
    <w:rsid w:val="007F2C9B"/>
    <w:rsid w:val="007F6B21"/>
    <w:rsid w:val="00801D3B"/>
    <w:rsid w:val="00804108"/>
    <w:rsid w:val="00832A90"/>
    <w:rsid w:val="00847C90"/>
    <w:rsid w:val="00853469"/>
    <w:rsid w:val="00853C40"/>
    <w:rsid w:val="0085742D"/>
    <w:rsid w:val="00861496"/>
    <w:rsid w:val="00863B05"/>
    <w:rsid w:val="008E00A8"/>
    <w:rsid w:val="008F5EA7"/>
    <w:rsid w:val="00901056"/>
    <w:rsid w:val="009058D6"/>
    <w:rsid w:val="0091508E"/>
    <w:rsid w:val="009316A0"/>
    <w:rsid w:val="0094623A"/>
    <w:rsid w:val="00992E17"/>
    <w:rsid w:val="00996781"/>
    <w:rsid w:val="00996C36"/>
    <w:rsid w:val="009A283D"/>
    <w:rsid w:val="009C51FE"/>
    <w:rsid w:val="009E4EE0"/>
    <w:rsid w:val="009E5E42"/>
    <w:rsid w:val="00A45634"/>
    <w:rsid w:val="00A53BEB"/>
    <w:rsid w:val="00A80605"/>
    <w:rsid w:val="00A823EE"/>
    <w:rsid w:val="00A82B29"/>
    <w:rsid w:val="00A8451E"/>
    <w:rsid w:val="00A9620B"/>
    <w:rsid w:val="00AA22AA"/>
    <w:rsid w:val="00AA6F55"/>
    <w:rsid w:val="00AB3540"/>
    <w:rsid w:val="00AB69AE"/>
    <w:rsid w:val="00AE7F69"/>
    <w:rsid w:val="00AF012E"/>
    <w:rsid w:val="00B31F1F"/>
    <w:rsid w:val="00B40F44"/>
    <w:rsid w:val="00B4309F"/>
    <w:rsid w:val="00B45A37"/>
    <w:rsid w:val="00B5025D"/>
    <w:rsid w:val="00B621C8"/>
    <w:rsid w:val="00B624F4"/>
    <w:rsid w:val="00B94000"/>
    <w:rsid w:val="00B946E9"/>
    <w:rsid w:val="00BA085A"/>
    <w:rsid w:val="00BA3744"/>
    <w:rsid w:val="00BA5933"/>
    <w:rsid w:val="00BC6E78"/>
    <w:rsid w:val="00BE358A"/>
    <w:rsid w:val="00BF0BC2"/>
    <w:rsid w:val="00BF2FEC"/>
    <w:rsid w:val="00BF69E9"/>
    <w:rsid w:val="00C07AAB"/>
    <w:rsid w:val="00C25370"/>
    <w:rsid w:val="00C53BD9"/>
    <w:rsid w:val="00C612B4"/>
    <w:rsid w:val="00C73B20"/>
    <w:rsid w:val="00C74AAF"/>
    <w:rsid w:val="00C836CF"/>
    <w:rsid w:val="00C97B56"/>
    <w:rsid w:val="00CA1757"/>
    <w:rsid w:val="00CA30C6"/>
    <w:rsid w:val="00CA394C"/>
    <w:rsid w:val="00CD3B0F"/>
    <w:rsid w:val="00CD6EFB"/>
    <w:rsid w:val="00CE0FE4"/>
    <w:rsid w:val="00CE78BD"/>
    <w:rsid w:val="00D36E19"/>
    <w:rsid w:val="00D45F81"/>
    <w:rsid w:val="00D61DDF"/>
    <w:rsid w:val="00D64B2B"/>
    <w:rsid w:val="00D775E6"/>
    <w:rsid w:val="00D91CC4"/>
    <w:rsid w:val="00DA671F"/>
    <w:rsid w:val="00DD6FE6"/>
    <w:rsid w:val="00DE5CFC"/>
    <w:rsid w:val="00E17B87"/>
    <w:rsid w:val="00E47007"/>
    <w:rsid w:val="00E55FA2"/>
    <w:rsid w:val="00E73304"/>
    <w:rsid w:val="00E74137"/>
    <w:rsid w:val="00E90900"/>
    <w:rsid w:val="00EA48E4"/>
    <w:rsid w:val="00EA65A6"/>
    <w:rsid w:val="00EA6CE8"/>
    <w:rsid w:val="00EC27A9"/>
    <w:rsid w:val="00EE7C7B"/>
    <w:rsid w:val="00F14265"/>
    <w:rsid w:val="00F37075"/>
    <w:rsid w:val="00F41AF2"/>
    <w:rsid w:val="00F47E7B"/>
    <w:rsid w:val="00F7656A"/>
    <w:rsid w:val="00FA1403"/>
    <w:rsid w:val="00FA25CF"/>
    <w:rsid w:val="00FE4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BF93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US" w:eastAsia="en-US" w:bidi="ar-SA"/>
      </w:rPr>
    </w:rPrDefault>
    <w:pPrDefault>
      <w:pPr>
        <w:spacing w:after="12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B6895"/>
  </w:style>
  <w:style w:type="paragraph" w:styleId="Heading1">
    <w:name w:val="heading 1"/>
    <w:basedOn w:val="Normal"/>
    <w:next w:val="Normal"/>
    <w:link w:val="Heading1Char"/>
    <w:uiPriority w:val="9"/>
    <w:qFormat/>
    <w:rsid w:val="005B6895"/>
    <w:pPr>
      <w:keepNext/>
      <w:keepLines/>
      <w:spacing w:before="360" w:after="40" w:line="240" w:lineRule="auto"/>
      <w:outlineLvl w:val="0"/>
    </w:pPr>
    <w:rPr>
      <w:rFonts w:asciiTheme="majorHAnsi" w:eastAsiaTheme="majorEastAsia" w:hAnsiTheme="majorHAnsi" w:cstheme="majorBidi"/>
      <w:color w:val="00616B" w:themeColor="accent6" w:themeShade="BF"/>
      <w:sz w:val="40"/>
      <w:szCs w:val="40"/>
    </w:rPr>
  </w:style>
  <w:style w:type="paragraph" w:styleId="Heading2">
    <w:name w:val="heading 2"/>
    <w:basedOn w:val="Normal"/>
    <w:next w:val="Normal"/>
    <w:link w:val="Heading2Char"/>
    <w:uiPriority w:val="9"/>
    <w:unhideWhenUsed/>
    <w:qFormat/>
    <w:rsid w:val="005B6895"/>
    <w:pPr>
      <w:keepNext/>
      <w:keepLines/>
      <w:spacing w:before="80" w:after="0" w:line="240" w:lineRule="auto"/>
      <w:outlineLvl w:val="1"/>
    </w:pPr>
    <w:rPr>
      <w:rFonts w:asciiTheme="majorHAnsi" w:eastAsiaTheme="majorEastAsia" w:hAnsiTheme="majorHAnsi" w:cstheme="majorBidi"/>
      <w:color w:val="00616B" w:themeColor="accent6" w:themeShade="BF"/>
      <w:sz w:val="28"/>
      <w:szCs w:val="28"/>
    </w:rPr>
  </w:style>
  <w:style w:type="paragraph" w:styleId="Heading3">
    <w:name w:val="heading 3"/>
    <w:basedOn w:val="Normal"/>
    <w:next w:val="Normal"/>
    <w:link w:val="Heading3Char"/>
    <w:uiPriority w:val="9"/>
    <w:unhideWhenUsed/>
    <w:qFormat/>
    <w:rsid w:val="005B6895"/>
    <w:pPr>
      <w:keepNext/>
      <w:keepLines/>
      <w:spacing w:before="80" w:after="0" w:line="240" w:lineRule="auto"/>
      <w:outlineLvl w:val="2"/>
    </w:pPr>
    <w:rPr>
      <w:rFonts w:asciiTheme="majorHAnsi" w:eastAsiaTheme="majorEastAsia" w:hAnsiTheme="majorHAnsi" w:cstheme="majorBidi"/>
      <w:color w:val="00616B" w:themeColor="accent6" w:themeShade="BF"/>
      <w:sz w:val="24"/>
      <w:szCs w:val="24"/>
    </w:rPr>
  </w:style>
  <w:style w:type="paragraph" w:styleId="Heading4">
    <w:name w:val="heading 4"/>
    <w:basedOn w:val="Normal"/>
    <w:next w:val="Normal"/>
    <w:link w:val="Heading4Char"/>
    <w:uiPriority w:val="9"/>
    <w:unhideWhenUsed/>
    <w:qFormat/>
    <w:rsid w:val="005B6895"/>
    <w:pPr>
      <w:keepNext/>
      <w:keepLines/>
      <w:spacing w:before="80" w:after="0"/>
      <w:outlineLvl w:val="3"/>
    </w:pPr>
    <w:rPr>
      <w:rFonts w:asciiTheme="majorHAnsi" w:eastAsiaTheme="majorEastAsia" w:hAnsiTheme="majorHAnsi" w:cstheme="majorBidi"/>
      <w:color w:val="00838F" w:themeColor="accent6"/>
      <w:sz w:val="22"/>
      <w:szCs w:val="22"/>
    </w:rPr>
  </w:style>
  <w:style w:type="paragraph" w:styleId="Heading5">
    <w:name w:val="heading 5"/>
    <w:basedOn w:val="Normal"/>
    <w:next w:val="Normal"/>
    <w:link w:val="Heading5Char"/>
    <w:uiPriority w:val="9"/>
    <w:unhideWhenUsed/>
    <w:qFormat/>
    <w:rsid w:val="005B6895"/>
    <w:pPr>
      <w:keepNext/>
      <w:keepLines/>
      <w:spacing w:before="40" w:after="0"/>
      <w:outlineLvl w:val="4"/>
    </w:pPr>
    <w:rPr>
      <w:rFonts w:asciiTheme="majorHAnsi" w:eastAsiaTheme="majorEastAsia" w:hAnsiTheme="majorHAnsi" w:cstheme="majorBidi"/>
      <w:i/>
      <w:iCs/>
      <w:color w:val="00838F" w:themeColor="accent6"/>
      <w:sz w:val="22"/>
      <w:szCs w:val="22"/>
    </w:rPr>
  </w:style>
  <w:style w:type="paragraph" w:styleId="Heading6">
    <w:name w:val="heading 6"/>
    <w:basedOn w:val="Normal"/>
    <w:next w:val="Normal"/>
    <w:link w:val="Heading6Char"/>
    <w:uiPriority w:val="9"/>
    <w:semiHidden/>
    <w:unhideWhenUsed/>
    <w:qFormat/>
    <w:rsid w:val="005B6895"/>
    <w:pPr>
      <w:keepNext/>
      <w:keepLines/>
      <w:spacing w:before="40" w:after="0"/>
      <w:outlineLvl w:val="5"/>
    </w:pPr>
    <w:rPr>
      <w:rFonts w:asciiTheme="majorHAnsi" w:eastAsiaTheme="majorEastAsia" w:hAnsiTheme="majorHAnsi" w:cstheme="majorBidi"/>
      <w:color w:val="00838F" w:themeColor="accent6"/>
    </w:rPr>
  </w:style>
  <w:style w:type="paragraph" w:styleId="Heading7">
    <w:name w:val="heading 7"/>
    <w:basedOn w:val="Normal"/>
    <w:next w:val="Normal"/>
    <w:link w:val="Heading7Char"/>
    <w:uiPriority w:val="9"/>
    <w:semiHidden/>
    <w:unhideWhenUsed/>
    <w:qFormat/>
    <w:rsid w:val="005B6895"/>
    <w:pPr>
      <w:keepNext/>
      <w:keepLines/>
      <w:spacing w:before="40" w:after="0"/>
      <w:outlineLvl w:val="6"/>
    </w:pPr>
    <w:rPr>
      <w:rFonts w:asciiTheme="majorHAnsi" w:eastAsiaTheme="majorEastAsia" w:hAnsiTheme="majorHAnsi" w:cstheme="majorBidi"/>
      <w:b/>
      <w:bCs/>
      <w:color w:val="00838F" w:themeColor="accent6"/>
    </w:rPr>
  </w:style>
  <w:style w:type="paragraph" w:styleId="Heading8">
    <w:name w:val="heading 8"/>
    <w:basedOn w:val="Normal"/>
    <w:next w:val="Normal"/>
    <w:link w:val="Heading8Char"/>
    <w:uiPriority w:val="9"/>
    <w:semiHidden/>
    <w:unhideWhenUsed/>
    <w:qFormat/>
    <w:rsid w:val="005B6895"/>
    <w:pPr>
      <w:keepNext/>
      <w:keepLines/>
      <w:spacing w:before="40" w:after="0"/>
      <w:outlineLvl w:val="7"/>
    </w:pPr>
    <w:rPr>
      <w:rFonts w:asciiTheme="majorHAnsi" w:eastAsiaTheme="majorEastAsia" w:hAnsiTheme="majorHAnsi" w:cstheme="majorBidi"/>
      <w:b/>
      <w:bCs/>
      <w:i/>
      <w:iCs/>
      <w:color w:val="00838F" w:themeColor="accent6"/>
      <w:sz w:val="20"/>
      <w:szCs w:val="20"/>
    </w:rPr>
  </w:style>
  <w:style w:type="paragraph" w:styleId="Heading9">
    <w:name w:val="heading 9"/>
    <w:basedOn w:val="Normal"/>
    <w:next w:val="Normal"/>
    <w:link w:val="Heading9Char"/>
    <w:uiPriority w:val="9"/>
    <w:semiHidden/>
    <w:unhideWhenUsed/>
    <w:qFormat/>
    <w:rsid w:val="005B6895"/>
    <w:pPr>
      <w:keepNext/>
      <w:keepLines/>
      <w:spacing w:before="40" w:after="0"/>
      <w:outlineLvl w:val="8"/>
    </w:pPr>
    <w:rPr>
      <w:rFonts w:asciiTheme="majorHAnsi" w:eastAsiaTheme="majorEastAsia" w:hAnsiTheme="majorHAnsi" w:cstheme="majorBidi"/>
      <w:i/>
      <w:iCs/>
      <w:color w:val="00838F"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895"/>
    <w:rPr>
      <w:rFonts w:asciiTheme="majorHAnsi" w:eastAsiaTheme="majorEastAsia" w:hAnsiTheme="majorHAnsi" w:cstheme="majorBidi"/>
      <w:color w:val="00616B" w:themeColor="accent6" w:themeShade="BF"/>
      <w:sz w:val="40"/>
      <w:szCs w:val="40"/>
    </w:rPr>
  </w:style>
  <w:style w:type="character" w:customStyle="1" w:styleId="Heading2Char">
    <w:name w:val="Heading 2 Char"/>
    <w:basedOn w:val="DefaultParagraphFont"/>
    <w:link w:val="Heading2"/>
    <w:uiPriority w:val="9"/>
    <w:rsid w:val="005B6895"/>
    <w:rPr>
      <w:rFonts w:asciiTheme="majorHAnsi" w:eastAsiaTheme="majorEastAsia" w:hAnsiTheme="majorHAnsi" w:cstheme="majorBidi"/>
      <w:color w:val="00616B" w:themeColor="accent6" w:themeShade="BF"/>
      <w:sz w:val="28"/>
      <w:szCs w:val="28"/>
    </w:rPr>
  </w:style>
  <w:style w:type="character" w:customStyle="1" w:styleId="Heading3Char">
    <w:name w:val="Heading 3 Char"/>
    <w:basedOn w:val="DefaultParagraphFont"/>
    <w:link w:val="Heading3"/>
    <w:uiPriority w:val="9"/>
    <w:rsid w:val="005B6895"/>
    <w:rPr>
      <w:rFonts w:asciiTheme="majorHAnsi" w:eastAsiaTheme="majorEastAsia" w:hAnsiTheme="majorHAnsi" w:cstheme="majorBidi"/>
      <w:color w:val="00616B" w:themeColor="accent6" w:themeShade="BF"/>
      <w:sz w:val="24"/>
      <w:szCs w:val="24"/>
    </w:rPr>
  </w:style>
  <w:style w:type="character" w:customStyle="1" w:styleId="Heading4Char">
    <w:name w:val="Heading 4 Char"/>
    <w:basedOn w:val="DefaultParagraphFont"/>
    <w:link w:val="Heading4"/>
    <w:uiPriority w:val="9"/>
    <w:rsid w:val="005B6895"/>
    <w:rPr>
      <w:rFonts w:asciiTheme="majorHAnsi" w:eastAsiaTheme="majorEastAsia" w:hAnsiTheme="majorHAnsi" w:cstheme="majorBidi"/>
      <w:color w:val="00838F" w:themeColor="accent6"/>
      <w:sz w:val="22"/>
      <w:szCs w:val="22"/>
    </w:rPr>
  </w:style>
  <w:style w:type="character" w:customStyle="1" w:styleId="Heading5Char">
    <w:name w:val="Heading 5 Char"/>
    <w:basedOn w:val="DefaultParagraphFont"/>
    <w:link w:val="Heading5"/>
    <w:uiPriority w:val="9"/>
    <w:rsid w:val="005B6895"/>
    <w:rPr>
      <w:rFonts w:asciiTheme="majorHAnsi" w:eastAsiaTheme="majorEastAsia" w:hAnsiTheme="majorHAnsi" w:cstheme="majorBidi"/>
      <w:i/>
      <w:iCs/>
      <w:color w:val="00838F" w:themeColor="accent6"/>
      <w:sz w:val="22"/>
      <w:szCs w:val="22"/>
    </w:rPr>
  </w:style>
  <w:style w:type="character" w:customStyle="1" w:styleId="Heading6Char">
    <w:name w:val="Heading 6 Char"/>
    <w:basedOn w:val="DefaultParagraphFont"/>
    <w:link w:val="Heading6"/>
    <w:uiPriority w:val="9"/>
    <w:semiHidden/>
    <w:rsid w:val="005B6895"/>
    <w:rPr>
      <w:rFonts w:asciiTheme="majorHAnsi" w:eastAsiaTheme="majorEastAsia" w:hAnsiTheme="majorHAnsi" w:cstheme="majorBidi"/>
      <w:color w:val="00838F" w:themeColor="accent6"/>
    </w:rPr>
  </w:style>
  <w:style w:type="character" w:customStyle="1" w:styleId="Heading7Char">
    <w:name w:val="Heading 7 Char"/>
    <w:basedOn w:val="DefaultParagraphFont"/>
    <w:link w:val="Heading7"/>
    <w:uiPriority w:val="9"/>
    <w:semiHidden/>
    <w:rsid w:val="005B6895"/>
    <w:rPr>
      <w:rFonts w:asciiTheme="majorHAnsi" w:eastAsiaTheme="majorEastAsia" w:hAnsiTheme="majorHAnsi" w:cstheme="majorBidi"/>
      <w:b/>
      <w:bCs/>
      <w:color w:val="00838F" w:themeColor="accent6"/>
    </w:rPr>
  </w:style>
  <w:style w:type="character" w:customStyle="1" w:styleId="Heading8Char">
    <w:name w:val="Heading 8 Char"/>
    <w:basedOn w:val="DefaultParagraphFont"/>
    <w:link w:val="Heading8"/>
    <w:uiPriority w:val="9"/>
    <w:semiHidden/>
    <w:rsid w:val="005B6895"/>
    <w:rPr>
      <w:rFonts w:asciiTheme="majorHAnsi" w:eastAsiaTheme="majorEastAsia" w:hAnsiTheme="majorHAnsi" w:cstheme="majorBidi"/>
      <w:b/>
      <w:bCs/>
      <w:i/>
      <w:iCs/>
      <w:color w:val="00838F" w:themeColor="accent6"/>
      <w:sz w:val="20"/>
      <w:szCs w:val="20"/>
    </w:rPr>
  </w:style>
  <w:style w:type="character" w:customStyle="1" w:styleId="Heading9Char">
    <w:name w:val="Heading 9 Char"/>
    <w:basedOn w:val="DefaultParagraphFont"/>
    <w:link w:val="Heading9"/>
    <w:uiPriority w:val="9"/>
    <w:semiHidden/>
    <w:rsid w:val="005B6895"/>
    <w:rPr>
      <w:rFonts w:asciiTheme="majorHAnsi" w:eastAsiaTheme="majorEastAsia" w:hAnsiTheme="majorHAnsi" w:cstheme="majorBidi"/>
      <w:i/>
      <w:iCs/>
      <w:color w:val="00838F" w:themeColor="accent6"/>
      <w:sz w:val="20"/>
      <w:szCs w:val="20"/>
    </w:rPr>
  </w:style>
  <w:style w:type="paragraph" w:styleId="Caption">
    <w:name w:val="caption"/>
    <w:basedOn w:val="Normal"/>
    <w:next w:val="Normal"/>
    <w:uiPriority w:val="35"/>
    <w:semiHidden/>
    <w:unhideWhenUsed/>
    <w:qFormat/>
    <w:rsid w:val="005B6895"/>
    <w:pPr>
      <w:spacing w:line="240" w:lineRule="auto"/>
    </w:pPr>
    <w:rPr>
      <w:b/>
      <w:bCs/>
      <w:smallCaps/>
      <w:color w:val="595959" w:themeColor="text1" w:themeTint="A6"/>
    </w:rPr>
  </w:style>
  <w:style w:type="paragraph" w:styleId="Title">
    <w:name w:val="Title"/>
    <w:basedOn w:val="Normal"/>
    <w:next w:val="Normal"/>
    <w:link w:val="TitleChar"/>
    <w:uiPriority w:val="10"/>
    <w:qFormat/>
    <w:rsid w:val="005B6895"/>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5B6895"/>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5B6895"/>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5B6895"/>
    <w:rPr>
      <w:rFonts w:asciiTheme="majorHAnsi" w:eastAsiaTheme="majorEastAsia" w:hAnsiTheme="majorHAnsi" w:cstheme="majorBidi"/>
      <w:sz w:val="30"/>
      <w:szCs w:val="30"/>
    </w:rPr>
  </w:style>
  <w:style w:type="character" w:styleId="Strong">
    <w:name w:val="Strong"/>
    <w:basedOn w:val="DefaultParagraphFont"/>
    <w:uiPriority w:val="22"/>
    <w:qFormat/>
    <w:rsid w:val="005B6895"/>
    <w:rPr>
      <w:b/>
      <w:bCs/>
    </w:rPr>
  </w:style>
  <w:style w:type="character" w:styleId="Emphasis">
    <w:name w:val="Emphasis"/>
    <w:basedOn w:val="DefaultParagraphFont"/>
    <w:uiPriority w:val="20"/>
    <w:qFormat/>
    <w:rsid w:val="005B6895"/>
    <w:rPr>
      <w:i/>
      <w:iCs/>
      <w:color w:val="00838F" w:themeColor="accent6"/>
    </w:rPr>
  </w:style>
  <w:style w:type="paragraph" w:styleId="NoSpacing">
    <w:name w:val="No Spacing"/>
    <w:uiPriority w:val="1"/>
    <w:qFormat/>
    <w:rsid w:val="005B6895"/>
    <w:pPr>
      <w:spacing w:after="0" w:line="240" w:lineRule="auto"/>
    </w:pPr>
  </w:style>
  <w:style w:type="paragraph" w:styleId="Quote">
    <w:name w:val="Quote"/>
    <w:basedOn w:val="Normal"/>
    <w:next w:val="Normal"/>
    <w:link w:val="QuoteChar"/>
    <w:uiPriority w:val="29"/>
    <w:qFormat/>
    <w:rsid w:val="005B6895"/>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5B6895"/>
    <w:rPr>
      <w:i/>
      <w:iCs/>
      <w:color w:val="262626" w:themeColor="text1" w:themeTint="D9"/>
    </w:rPr>
  </w:style>
  <w:style w:type="paragraph" w:styleId="IntenseQuote">
    <w:name w:val="Intense Quote"/>
    <w:basedOn w:val="Normal"/>
    <w:next w:val="Normal"/>
    <w:link w:val="IntenseQuoteChar"/>
    <w:uiPriority w:val="30"/>
    <w:qFormat/>
    <w:rsid w:val="005B6895"/>
    <w:pPr>
      <w:spacing w:before="160" w:after="160" w:line="264" w:lineRule="auto"/>
      <w:ind w:left="720" w:right="720"/>
      <w:jc w:val="center"/>
    </w:pPr>
    <w:rPr>
      <w:rFonts w:asciiTheme="majorHAnsi" w:eastAsiaTheme="majorEastAsia" w:hAnsiTheme="majorHAnsi" w:cstheme="majorBidi"/>
      <w:i/>
      <w:iCs/>
      <w:color w:val="00838F" w:themeColor="accent6"/>
      <w:sz w:val="32"/>
      <w:szCs w:val="32"/>
    </w:rPr>
  </w:style>
  <w:style w:type="character" w:customStyle="1" w:styleId="IntenseQuoteChar">
    <w:name w:val="Intense Quote Char"/>
    <w:basedOn w:val="DefaultParagraphFont"/>
    <w:link w:val="IntenseQuote"/>
    <w:uiPriority w:val="30"/>
    <w:rsid w:val="005B6895"/>
    <w:rPr>
      <w:rFonts w:asciiTheme="majorHAnsi" w:eastAsiaTheme="majorEastAsia" w:hAnsiTheme="majorHAnsi" w:cstheme="majorBidi"/>
      <w:i/>
      <w:iCs/>
      <w:color w:val="00838F" w:themeColor="accent6"/>
      <w:sz w:val="32"/>
      <w:szCs w:val="32"/>
    </w:rPr>
  </w:style>
  <w:style w:type="character" w:styleId="SubtleEmphasis">
    <w:name w:val="Subtle Emphasis"/>
    <w:basedOn w:val="DefaultParagraphFont"/>
    <w:uiPriority w:val="19"/>
    <w:qFormat/>
    <w:rsid w:val="005B6895"/>
    <w:rPr>
      <w:i/>
      <w:iCs/>
    </w:rPr>
  </w:style>
  <w:style w:type="character" w:styleId="IntenseEmphasis">
    <w:name w:val="Intense Emphasis"/>
    <w:basedOn w:val="DefaultParagraphFont"/>
    <w:uiPriority w:val="21"/>
    <w:qFormat/>
    <w:rsid w:val="005B6895"/>
    <w:rPr>
      <w:b/>
      <w:bCs/>
      <w:i/>
      <w:iCs/>
    </w:rPr>
  </w:style>
  <w:style w:type="character" w:styleId="SubtleReference">
    <w:name w:val="Subtle Reference"/>
    <w:basedOn w:val="DefaultParagraphFont"/>
    <w:uiPriority w:val="31"/>
    <w:qFormat/>
    <w:rsid w:val="005B6895"/>
    <w:rPr>
      <w:smallCaps/>
      <w:color w:val="595959" w:themeColor="text1" w:themeTint="A6"/>
    </w:rPr>
  </w:style>
  <w:style w:type="character" w:styleId="IntenseReference">
    <w:name w:val="Intense Reference"/>
    <w:basedOn w:val="DefaultParagraphFont"/>
    <w:uiPriority w:val="32"/>
    <w:qFormat/>
    <w:rsid w:val="005B6895"/>
    <w:rPr>
      <w:b/>
      <w:bCs/>
      <w:smallCaps/>
      <w:color w:val="00838F" w:themeColor="accent6"/>
    </w:rPr>
  </w:style>
  <w:style w:type="character" w:styleId="BookTitle">
    <w:name w:val="Book Title"/>
    <w:basedOn w:val="DefaultParagraphFont"/>
    <w:uiPriority w:val="33"/>
    <w:qFormat/>
    <w:rsid w:val="005B6895"/>
    <w:rPr>
      <w:b/>
      <w:bCs/>
      <w:caps w:val="0"/>
      <w:smallCaps/>
      <w:spacing w:val="7"/>
      <w:sz w:val="21"/>
      <w:szCs w:val="21"/>
    </w:rPr>
  </w:style>
  <w:style w:type="paragraph" w:styleId="TOCHeading">
    <w:name w:val="TOC Heading"/>
    <w:basedOn w:val="Heading1"/>
    <w:next w:val="Normal"/>
    <w:uiPriority w:val="39"/>
    <w:unhideWhenUsed/>
    <w:qFormat/>
    <w:rsid w:val="005B6895"/>
    <w:pPr>
      <w:outlineLvl w:val="9"/>
    </w:pPr>
  </w:style>
  <w:style w:type="table" w:styleId="TableGrid">
    <w:name w:val="Table Grid"/>
    <w:basedOn w:val="TableNormal"/>
    <w:uiPriority w:val="39"/>
    <w:rsid w:val="00424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424A5F"/>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424A5F"/>
    <w:rPr>
      <w:sz w:val="20"/>
      <w:szCs w:val="20"/>
    </w:rPr>
  </w:style>
  <w:style w:type="character" w:styleId="FootnoteReference">
    <w:name w:val="footnote reference"/>
    <w:basedOn w:val="DefaultParagraphFont"/>
    <w:uiPriority w:val="99"/>
    <w:semiHidden/>
    <w:unhideWhenUsed/>
    <w:rsid w:val="00424A5F"/>
    <w:rPr>
      <w:vertAlign w:val="superscript"/>
    </w:rPr>
  </w:style>
  <w:style w:type="paragraph" w:styleId="FootnoteText">
    <w:name w:val="footnote text"/>
    <w:basedOn w:val="Normal"/>
    <w:link w:val="FootnoteTextChar1"/>
    <w:uiPriority w:val="99"/>
    <w:semiHidden/>
    <w:unhideWhenUsed/>
    <w:rsid w:val="00424A5F"/>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424A5F"/>
    <w:rPr>
      <w:sz w:val="20"/>
      <w:szCs w:val="20"/>
    </w:rPr>
  </w:style>
  <w:style w:type="paragraph" w:styleId="ListParagraph">
    <w:name w:val="List Paragraph"/>
    <w:basedOn w:val="Normal"/>
    <w:uiPriority w:val="34"/>
    <w:qFormat/>
    <w:rsid w:val="00567684"/>
    <w:pPr>
      <w:ind w:left="720"/>
      <w:contextualSpacing/>
    </w:pPr>
  </w:style>
  <w:style w:type="character" w:styleId="Hyperlink">
    <w:name w:val="Hyperlink"/>
    <w:basedOn w:val="DefaultParagraphFont"/>
    <w:uiPriority w:val="99"/>
    <w:unhideWhenUsed/>
    <w:rsid w:val="00CE78BD"/>
    <w:rPr>
      <w:color w:val="288DC2" w:themeColor="hyperlink"/>
      <w:u w:val="single"/>
    </w:rPr>
  </w:style>
  <w:style w:type="paragraph" w:styleId="CommentText">
    <w:name w:val="annotation text"/>
    <w:basedOn w:val="Normal"/>
    <w:link w:val="CommentTextChar"/>
    <w:semiHidden/>
    <w:unhideWhenUsed/>
    <w:rsid w:val="000F45D7"/>
    <w:pPr>
      <w:spacing w:after="0" w:line="240" w:lineRule="auto"/>
    </w:pPr>
    <w:rPr>
      <w:rFonts w:ascii="Times New Roman" w:eastAsia="Times New Roman" w:hAnsi="Times New Roman" w:cs="Times New Roman"/>
      <w:kern w:val="2"/>
      <w:sz w:val="20"/>
      <w:szCs w:val="20"/>
    </w:rPr>
  </w:style>
  <w:style w:type="character" w:customStyle="1" w:styleId="CommentTextChar">
    <w:name w:val="Comment Text Char"/>
    <w:basedOn w:val="DefaultParagraphFont"/>
    <w:link w:val="CommentText"/>
    <w:semiHidden/>
    <w:rsid w:val="000F45D7"/>
    <w:rPr>
      <w:rFonts w:ascii="Times New Roman" w:eastAsia="Times New Roman" w:hAnsi="Times New Roman" w:cs="Times New Roman"/>
      <w:kern w:val="2"/>
      <w:sz w:val="20"/>
      <w:szCs w:val="20"/>
    </w:rPr>
  </w:style>
  <w:style w:type="paragraph" w:customStyle="1" w:styleId="Base">
    <w:name w:val="Base"/>
    <w:qFormat/>
    <w:rsid w:val="000F45D7"/>
    <w:pPr>
      <w:spacing w:after="0" w:line="360" w:lineRule="auto"/>
      <w:jc w:val="both"/>
    </w:pPr>
    <w:rPr>
      <w:rFonts w:ascii="Times New Roman" w:eastAsia="Times New Roman" w:hAnsi="Times New Roman" w:cs="Times New Roman"/>
      <w:sz w:val="20"/>
      <w:szCs w:val="20"/>
    </w:rPr>
  </w:style>
  <w:style w:type="paragraph" w:customStyle="1" w:styleId="HistoryAfter">
    <w:name w:val="HistoryAfter"/>
    <w:basedOn w:val="Base"/>
    <w:rsid w:val="000F45D7"/>
    <w:pPr>
      <w:ind w:left="1440"/>
    </w:pPr>
    <w:rPr>
      <w:i/>
    </w:rPr>
  </w:style>
  <w:style w:type="paragraph" w:customStyle="1" w:styleId="History">
    <w:name w:val="History"/>
    <w:basedOn w:val="Base"/>
    <w:next w:val="HistoryAfter"/>
    <w:qFormat/>
    <w:rsid w:val="000F45D7"/>
    <w:pPr>
      <w:ind w:left="1440" w:hanging="1440"/>
    </w:pPr>
    <w:rPr>
      <w:i/>
    </w:rPr>
  </w:style>
  <w:style w:type="paragraph" w:customStyle="1" w:styleId="Paragraph">
    <w:name w:val="Paragraph"/>
    <w:basedOn w:val="Base"/>
    <w:qFormat/>
    <w:rsid w:val="000F45D7"/>
    <w:pPr>
      <w:outlineLvl w:val="4"/>
    </w:pPr>
  </w:style>
  <w:style w:type="character" w:styleId="CommentReference">
    <w:name w:val="annotation reference"/>
    <w:basedOn w:val="DefaultParagraphFont"/>
    <w:semiHidden/>
    <w:unhideWhenUsed/>
    <w:rsid w:val="000F45D7"/>
    <w:rPr>
      <w:sz w:val="16"/>
      <w:szCs w:val="16"/>
    </w:rPr>
  </w:style>
  <w:style w:type="paragraph" w:customStyle="1" w:styleId="Part">
    <w:name w:val="Part"/>
    <w:basedOn w:val="Base"/>
    <w:rsid w:val="000F45D7"/>
    <w:pPr>
      <w:tabs>
        <w:tab w:val="left" w:pos="2520"/>
      </w:tabs>
      <w:ind w:left="2160" w:hanging="720"/>
    </w:pPr>
  </w:style>
  <w:style w:type="paragraph" w:customStyle="1" w:styleId="SubParagraph">
    <w:name w:val="SubParagraph"/>
    <w:basedOn w:val="Base"/>
    <w:rsid w:val="000F45D7"/>
    <w:pPr>
      <w:tabs>
        <w:tab w:val="left" w:pos="1800"/>
      </w:tabs>
      <w:ind w:left="1440" w:hanging="720"/>
      <w:outlineLvl w:val="5"/>
    </w:pPr>
  </w:style>
  <w:style w:type="paragraph" w:customStyle="1" w:styleId="Rule">
    <w:name w:val="Rule"/>
    <w:basedOn w:val="Base"/>
    <w:next w:val="Base"/>
    <w:qFormat/>
    <w:rsid w:val="000F45D7"/>
    <w:pPr>
      <w:ind w:left="2160" w:hanging="2160"/>
    </w:pPr>
    <w:rPr>
      <w:b/>
      <w:caps/>
    </w:rPr>
  </w:style>
  <w:style w:type="paragraph" w:styleId="BalloonText">
    <w:name w:val="Balloon Text"/>
    <w:basedOn w:val="Normal"/>
    <w:link w:val="BalloonTextChar"/>
    <w:uiPriority w:val="99"/>
    <w:semiHidden/>
    <w:unhideWhenUsed/>
    <w:rsid w:val="000F4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5D7"/>
    <w:rPr>
      <w:rFonts w:ascii="Segoe UI" w:hAnsi="Segoe UI" w:cs="Segoe UI"/>
      <w:sz w:val="18"/>
      <w:szCs w:val="18"/>
    </w:rPr>
  </w:style>
  <w:style w:type="character" w:styleId="LineNumber">
    <w:name w:val="line number"/>
    <w:basedOn w:val="DefaultParagraphFont"/>
    <w:uiPriority w:val="99"/>
    <w:semiHidden/>
    <w:unhideWhenUsed/>
    <w:rsid w:val="00E90900"/>
  </w:style>
  <w:style w:type="paragraph" w:styleId="Header">
    <w:name w:val="header"/>
    <w:basedOn w:val="Normal"/>
    <w:link w:val="HeaderChar"/>
    <w:uiPriority w:val="99"/>
    <w:unhideWhenUsed/>
    <w:rsid w:val="000B1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EF2"/>
  </w:style>
  <w:style w:type="paragraph" w:styleId="Footer">
    <w:name w:val="footer"/>
    <w:basedOn w:val="Normal"/>
    <w:link w:val="FooterChar"/>
    <w:uiPriority w:val="99"/>
    <w:unhideWhenUsed/>
    <w:rsid w:val="000B1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EF2"/>
  </w:style>
  <w:style w:type="paragraph" w:styleId="TOC1">
    <w:name w:val="toc 1"/>
    <w:basedOn w:val="Normal"/>
    <w:next w:val="Normal"/>
    <w:autoRedefine/>
    <w:uiPriority w:val="39"/>
    <w:unhideWhenUsed/>
    <w:rsid w:val="00255FE6"/>
    <w:pPr>
      <w:spacing w:after="100"/>
    </w:pPr>
  </w:style>
  <w:style w:type="paragraph" w:styleId="TOC2">
    <w:name w:val="toc 2"/>
    <w:basedOn w:val="Normal"/>
    <w:next w:val="Normal"/>
    <w:autoRedefine/>
    <w:uiPriority w:val="39"/>
    <w:unhideWhenUsed/>
    <w:rsid w:val="00255FE6"/>
    <w:pPr>
      <w:spacing w:after="100"/>
      <w:ind w:left="210"/>
    </w:pPr>
  </w:style>
  <w:style w:type="paragraph" w:styleId="TOC3">
    <w:name w:val="toc 3"/>
    <w:basedOn w:val="Normal"/>
    <w:next w:val="Normal"/>
    <w:autoRedefine/>
    <w:uiPriority w:val="39"/>
    <w:unhideWhenUsed/>
    <w:rsid w:val="00255FE6"/>
    <w:pPr>
      <w:spacing w:after="100"/>
      <w:ind w:left="420"/>
    </w:pPr>
  </w:style>
  <w:style w:type="paragraph" w:styleId="CommentSubject">
    <w:name w:val="annotation subject"/>
    <w:basedOn w:val="CommentText"/>
    <w:next w:val="CommentText"/>
    <w:link w:val="CommentSubjectChar"/>
    <w:uiPriority w:val="99"/>
    <w:semiHidden/>
    <w:unhideWhenUsed/>
    <w:rsid w:val="00253D6B"/>
    <w:pPr>
      <w:spacing w:after="12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253D6B"/>
    <w:rPr>
      <w:rFonts w:ascii="Times New Roman" w:eastAsia="Times New Roman" w:hAnsi="Times New Roman" w:cs="Times New Roman"/>
      <w:b/>
      <w:bCs/>
      <w:kern w:val="2"/>
      <w:sz w:val="20"/>
      <w:szCs w:val="20"/>
    </w:rPr>
  </w:style>
  <w:style w:type="character" w:styleId="Mention">
    <w:name w:val="Mention"/>
    <w:basedOn w:val="DefaultParagraphFont"/>
    <w:uiPriority w:val="99"/>
    <w:semiHidden/>
    <w:unhideWhenUsed/>
    <w:rsid w:val="00E47007"/>
    <w:rPr>
      <w:color w:val="2B579A"/>
      <w:shd w:val="clear" w:color="auto" w:fill="E6E6E6"/>
    </w:rPr>
  </w:style>
  <w:style w:type="paragraph" w:styleId="Revision">
    <w:name w:val="Revision"/>
    <w:hidden/>
    <w:uiPriority w:val="99"/>
    <w:semiHidden/>
    <w:rsid w:val="003219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73044">
      <w:bodyDiv w:val="1"/>
      <w:marLeft w:val="0"/>
      <w:marRight w:val="0"/>
      <w:marTop w:val="0"/>
      <w:marBottom w:val="0"/>
      <w:divBdr>
        <w:top w:val="none" w:sz="0" w:space="0" w:color="auto"/>
        <w:left w:val="none" w:sz="0" w:space="0" w:color="auto"/>
        <w:bottom w:val="none" w:sz="0" w:space="0" w:color="auto"/>
        <w:right w:val="none" w:sz="0" w:space="0" w:color="auto"/>
      </w:divBdr>
    </w:div>
    <w:div w:id="117907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acwa-us.org/wp-content/uploads/2017/04/Water-Quality-Trading-Toolkit-Version-1.0-1.pdf" TargetMode="External"/><Relationship Id="rId1" Type="http://schemas.openxmlformats.org/officeDocument/2006/relationships/hyperlink" Target="https://www.epa.gov/npdes/water-quality-trading" TargetMode="External"/></Relationships>
</file>

<file path=word/theme/theme1.xml><?xml version="1.0" encoding="utf-8"?>
<a:theme xmlns:a="http://schemas.openxmlformats.org/drawingml/2006/main" name="View">
  <a:themeElements>
    <a:clrScheme name="NC.gov brand">
      <a:dk1>
        <a:sysClr val="windowText" lastClr="000000"/>
      </a:dk1>
      <a:lt1>
        <a:sysClr val="window" lastClr="FFFFFF"/>
      </a:lt1>
      <a:dk2>
        <a:srgbClr val="44546A"/>
      </a:dk2>
      <a:lt2>
        <a:srgbClr val="E7E6E6"/>
      </a:lt2>
      <a:accent1>
        <a:srgbClr val="0B3C61"/>
      </a:accent1>
      <a:accent2>
        <a:srgbClr val="789B4A"/>
      </a:accent2>
      <a:accent3>
        <a:srgbClr val="778591"/>
      </a:accent3>
      <a:accent4>
        <a:srgbClr val="A9343A"/>
      </a:accent4>
      <a:accent5>
        <a:srgbClr val="754C29"/>
      </a:accent5>
      <a:accent6>
        <a:srgbClr val="00838F"/>
      </a:accent6>
      <a:hlink>
        <a:srgbClr val="288DC2"/>
      </a:hlink>
      <a:folHlink>
        <a:srgbClr val="672E6B"/>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02C3B-EB93-4CC4-8C49-FC3077B19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6474</Words>
  <Characters>36902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2017-09-01T20:14:00Z</dcterms:created>
  <dcterms:modified xsi:type="dcterms:W3CDTF">2017-09-11T16:14:00Z</dcterms:modified>
</cp:coreProperties>
</file>