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CDE" w:rsidRPr="00EF7392" w:rsidRDefault="00146CDE" w:rsidP="00146CDE">
      <w:pPr>
        <w:spacing w:line="240" w:lineRule="auto"/>
        <w:rPr>
          <w:rFonts w:cs="Arial"/>
          <w:color w:val="1F3864" w:themeColor="accent5" w:themeShade="80"/>
          <w:spacing w:val="5"/>
          <w:sz w:val="48"/>
          <w:szCs w:val="24"/>
          <w:shd w:val="clear" w:color="auto" w:fill="FFFFFF"/>
        </w:rPr>
      </w:pPr>
      <w:r w:rsidRPr="00EF7392">
        <w:rPr>
          <w:rFonts w:cs="Arial"/>
          <w:color w:val="1F3864" w:themeColor="accent5" w:themeShade="80"/>
          <w:spacing w:val="5"/>
          <w:sz w:val="48"/>
          <w:szCs w:val="24"/>
          <w:shd w:val="clear" w:color="auto" w:fill="FFFFFF"/>
        </w:rPr>
        <w:t>Floating Cabins</w:t>
      </w:r>
    </w:p>
    <w:p w:rsidR="00146CDE" w:rsidRPr="00EF7392" w:rsidRDefault="00146CDE" w:rsidP="00146CDE">
      <w:pPr>
        <w:spacing w:line="240" w:lineRule="auto"/>
        <w:rPr>
          <w:rFonts w:cs="Arial"/>
          <w:color w:val="1F3864" w:themeColor="accent5" w:themeShade="80"/>
          <w:spacing w:val="5"/>
          <w:sz w:val="32"/>
          <w:szCs w:val="24"/>
          <w:shd w:val="clear" w:color="auto" w:fill="FFFFFF"/>
        </w:rPr>
      </w:pPr>
      <w:r w:rsidRPr="00EF7392">
        <w:rPr>
          <w:color w:val="1F3864" w:themeColor="accent5" w:themeShade="80"/>
          <w:spacing w:val="5"/>
          <w:sz w:val="32"/>
          <w:szCs w:val="24"/>
        </w:rPr>
        <w:t>Lake Hiwassee | Fontana Lake</w:t>
      </w:r>
    </w:p>
    <w:p w:rsidR="00130784" w:rsidRDefault="00130784" w:rsidP="00146CDE">
      <w:pPr>
        <w:spacing w:line="240" w:lineRule="auto"/>
        <w:jc w:val="left"/>
        <w:rPr>
          <w:rFonts w:cs="Arial"/>
          <w:color w:val="212529"/>
          <w:spacing w:val="5"/>
          <w:sz w:val="24"/>
          <w:szCs w:val="24"/>
          <w:shd w:val="clear" w:color="auto" w:fill="FFFFFF"/>
        </w:rPr>
      </w:pPr>
    </w:p>
    <w:p w:rsidR="00146CDE" w:rsidRPr="00EF7392" w:rsidRDefault="00146CDE" w:rsidP="00146CDE">
      <w:pPr>
        <w:spacing w:after="160" w:line="240" w:lineRule="auto"/>
        <w:jc w:val="left"/>
        <w:rPr>
          <w:rFonts w:cs="Arial"/>
          <w:color w:val="538135" w:themeColor="accent6" w:themeShade="BF"/>
          <w:spacing w:val="5"/>
          <w:sz w:val="32"/>
          <w:szCs w:val="24"/>
          <w:u w:val="single"/>
          <w:shd w:val="clear" w:color="auto" w:fill="FFFFFF"/>
        </w:rPr>
      </w:pPr>
      <w:r w:rsidRPr="00EF7392">
        <w:rPr>
          <w:rFonts w:cs="Arial"/>
          <w:color w:val="538135" w:themeColor="accent6" w:themeShade="BF"/>
          <w:spacing w:val="5"/>
          <w:sz w:val="32"/>
          <w:szCs w:val="24"/>
          <w:u w:val="single"/>
          <w:shd w:val="clear" w:color="auto" w:fill="FFFFFF"/>
        </w:rPr>
        <w:t>Background</w:t>
      </w:r>
      <w:r w:rsidR="00EF7392" w:rsidRPr="00EF7392">
        <w:rPr>
          <w:rFonts w:cs="Arial"/>
          <w:color w:val="538135" w:themeColor="accent6" w:themeShade="BF"/>
          <w:spacing w:val="5"/>
          <w:sz w:val="32"/>
          <w:szCs w:val="24"/>
          <w:u w:val="single"/>
          <w:shd w:val="clear" w:color="auto" w:fill="FFFFFF"/>
        </w:rPr>
        <w:t xml:space="preserve"> </w:t>
      </w:r>
    </w:p>
    <w:p w:rsidR="00146CDE" w:rsidRPr="00146CDE" w:rsidRDefault="00146CDE" w:rsidP="00146CDE">
      <w:pPr>
        <w:spacing w:line="240" w:lineRule="auto"/>
        <w:jc w:val="left"/>
        <w:rPr>
          <w:rFonts w:eastAsia="Times New Roman" w:cs="Arial"/>
          <w:color w:val="212529"/>
          <w:spacing w:val="5"/>
          <w:sz w:val="24"/>
          <w:szCs w:val="24"/>
        </w:rPr>
      </w:pPr>
      <w:r w:rsidRPr="00146CDE">
        <w:rPr>
          <w:color w:val="222A35" w:themeColor="text2" w:themeShade="80"/>
          <w:sz w:val="24"/>
          <w:szCs w:val="24"/>
        </w:rPr>
        <w:t>Section 26a of the Tennessee Valley Authority (TVA) Act gives the TVA jurisdiction to regulate obstructions that affect navigation, flood control, or public lands across, along, or in the Tennessee River or any of its tributaries. The TVA published a final rule to amend its regulations that govern existing non-navigable houseboats and floating houses (now called floating cabins) located on the Tennessee River and its tributaries. The</w:t>
      </w:r>
      <w:r w:rsidRPr="00146CDE">
        <w:rPr>
          <w:rFonts w:eastAsia="Times New Roman" w:cs="Arial"/>
          <w:color w:val="222A35" w:themeColor="text2" w:themeShade="80"/>
          <w:spacing w:val="5"/>
          <w:sz w:val="24"/>
          <w:szCs w:val="24"/>
        </w:rPr>
        <w:t xml:space="preserve"> </w:t>
      </w:r>
      <w:hyperlink r:id="rId5" w:history="1">
        <w:r w:rsidRPr="00146CDE">
          <w:rPr>
            <w:rFonts w:eastAsia="Times New Roman" w:cs="Arial"/>
            <w:color w:val="0000FF"/>
            <w:spacing w:val="5"/>
            <w:sz w:val="24"/>
            <w:szCs w:val="24"/>
            <w:u w:val="single"/>
          </w:rPr>
          <w:t>final Phase I rule amendments</w:t>
        </w:r>
      </w:hyperlink>
      <w:r w:rsidRPr="00146CDE">
        <w:rPr>
          <w:rFonts w:eastAsia="Times New Roman" w:cs="Arial"/>
          <w:color w:val="212529"/>
          <w:spacing w:val="5"/>
          <w:sz w:val="24"/>
          <w:szCs w:val="24"/>
        </w:rPr>
        <w:t xml:space="preserve"> </w:t>
      </w:r>
      <w:r w:rsidRPr="00146CDE">
        <w:rPr>
          <w:color w:val="222A35" w:themeColor="text2" w:themeShade="80"/>
          <w:sz w:val="24"/>
          <w:szCs w:val="24"/>
        </w:rPr>
        <w:t xml:space="preserve">applicable to floating cabins became effective October 1, 2018; the </w:t>
      </w:r>
      <w:hyperlink r:id="rId6" w:anchor="addresses" w:history="1">
        <w:r w:rsidRPr="00146CDE">
          <w:rPr>
            <w:rStyle w:val="Hyperlink"/>
            <w:rFonts w:eastAsia="Times New Roman" w:cs="Arial"/>
            <w:spacing w:val="5"/>
            <w:sz w:val="24"/>
            <w:szCs w:val="24"/>
          </w:rPr>
          <w:t>final Phase II rule amendments</w:t>
        </w:r>
      </w:hyperlink>
      <w:r w:rsidRPr="00146CDE">
        <w:rPr>
          <w:rFonts w:eastAsia="Times New Roman" w:cs="Arial"/>
          <w:color w:val="212529"/>
          <w:spacing w:val="5"/>
          <w:sz w:val="24"/>
          <w:szCs w:val="24"/>
        </w:rPr>
        <w:t xml:space="preserve"> </w:t>
      </w:r>
      <w:r w:rsidRPr="00146CDE">
        <w:rPr>
          <w:color w:val="222A35" w:themeColor="text2" w:themeShade="80"/>
          <w:sz w:val="24"/>
          <w:szCs w:val="24"/>
        </w:rPr>
        <w:t>(health, safety, and environmental standards) became effective October 12, 2021, and established permitting standards that include the requirement for floating cabins to register with the TVA and obtain coverage under a TVA 26a permit. For more information regarding the 26a permit, please refer to TVA’s Floating Cabins webpage:</w:t>
      </w:r>
      <w:r w:rsidRPr="00146CDE">
        <w:rPr>
          <w:rFonts w:cs="Arial"/>
          <w:color w:val="222A35" w:themeColor="text2" w:themeShade="80"/>
          <w:spacing w:val="5"/>
          <w:sz w:val="24"/>
          <w:szCs w:val="24"/>
          <w:shd w:val="clear" w:color="auto" w:fill="FFFFFF"/>
        </w:rPr>
        <w:t xml:space="preserve"> </w:t>
      </w:r>
      <w:hyperlink r:id="rId7" w:history="1">
        <w:r w:rsidRPr="00146CDE">
          <w:rPr>
            <w:rStyle w:val="Hyperlink"/>
            <w:rFonts w:cs="Arial"/>
            <w:spacing w:val="5"/>
            <w:sz w:val="24"/>
            <w:szCs w:val="24"/>
            <w:shd w:val="clear" w:color="auto" w:fill="FFFFFF"/>
          </w:rPr>
          <w:t>https://www.tva.com/environment/shoreline-construction-permits/floating-cabins</w:t>
        </w:r>
      </w:hyperlink>
    </w:p>
    <w:p w:rsidR="00146CDE" w:rsidRPr="00146CDE" w:rsidRDefault="00146CDE" w:rsidP="00146CDE">
      <w:pPr>
        <w:spacing w:line="240" w:lineRule="auto"/>
        <w:jc w:val="left"/>
        <w:rPr>
          <w:rFonts w:eastAsia="Times New Roman" w:cs="Arial"/>
          <w:color w:val="222A35" w:themeColor="text2" w:themeShade="80"/>
          <w:spacing w:val="5"/>
          <w:sz w:val="24"/>
          <w:szCs w:val="24"/>
        </w:rPr>
      </w:pPr>
    </w:p>
    <w:p w:rsidR="00146CDE" w:rsidRPr="00146CDE" w:rsidRDefault="00146CDE" w:rsidP="00146CDE">
      <w:pPr>
        <w:pStyle w:val="PlainText"/>
        <w:rPr>
          <w:color w:val="222A35" w:themeColor="text2" w:themeShade="80"/>
          <w:sz w:val="24"/>
          <w:szCs w:val="24"/>
        </w:rPr>
      </w:pPr>
      <w:r w:rsidRPr="00146CDE">
        <w:rPr>
          <w:color w:val="222A35" w:themeColor="text2" w:themeShade="80"/>
          <w:sz w:val="24"/>
          <w:szCs w:val="24"/>
        </w:rPr>
        <w:t xml:space="preserve">These TVA-issued 26a permits for Floating Cabins require a state 401 Water Quality Certification from NC DWR to certify that the project/activity for which the federal (TVA) permit is issued will not degrade waters of the state or violate state water quality standards. </w:t>
      </w:r>
    </w:p>
    <w:p w:rsidR="00146CDE" w:rsidRDefault="00146CDE" w:rsidP="00146CDE">
      <w:pPr>
        <w:pStyle w:val="PlainText"/>
        <w:rPr>
          <w:color w:val="222A35" w:themeColor="text2" w:themeShade="80"/>
          <w:sz w:val="24"/>
          <w:szCs w:val="24"/>
        </w:rPr>
      </w:pPr>
    </w:p>
    <w:p w:rsidR="00130784" w:rsidRPr="00146CDE" w:rsidRDefault="00130784" w:rsidP="00146CDE">
      <w:pPr>
        <w:pStyle w:val="PlainText"/>
        <w:rPr>
          <w:color w:val="222A35" w:themeColor="text2" w:themeShade="80"/>
          <w:sz w:val="24"/>
          <w:szCs w:val="24"/>
        </w:rPr>
      </w:pPr>
    </w:p>
    <w:p w:rsidR="00146CDE" w:rsidRPr="00EF7392" w:rsidRDefault="00146CDE" w:rsidP="00146CDE">
      <w:pPr>
        <w:pStyle w:val="PlainText"/>
        <w:spacing w:after="160"/>
        <w:rPr>
          <w:color w:val="538135" w:themeColor="accent6" w:themeShade="BF"/>
          <w:sz w:val="32"/>
          <w:szCs w:val="24"/>
          <w:u w:val="single"/>
        </w:rPr>
      </w:pPr>
      <w:r w:rsidRPr="00EF7392">
        <w:rPr>
          <w:color w:val="538135" w:themeColor="accent6" w:themeShade="BF"/>
          <w:sz w:val="32"/>
          <w:szCs w:val="24"/>
          <w:u w:val="single"/>
        </w:rPr>
        <w:t>How do I apply?</w:t>
      </w:r>
    </w:p>
    <w:p w:rsidR="00146CDE" w:rsidRPr="00146CDE" w:rsidRDefault="00146CDE" w:rsidP="00146CDE">
      <w:pPr>
        <w:pStyle w:val="PlainText"/>
        <w:rPr>
          <w:rFonts w:asciiTheme="minorHAnsi" w:hAnsiTheme="minorHAnsi" w:cstheme="minorHAnsi"/>
          <w:sz w:val="24"/>
          <w:szCs w:val="24"/>
        </w:rPr>
      </w:pPr>
      <w:r w:rsidRPr="00146CDE">
        <w:rPr>
          <w:color w:val="222A35" w:themeColor="text2" w:themeShade="80"/>
          <w:sz w:val="24"/>
          <w:szCs w:val="24"/>
        </w:rPr>
        <w:t xml:space="preserve">To apply for a 401 Certification, requestors must submit a completed and signed Pre-Construction Notification (PCN) form and pay the required fee. It is recommended that applicants </w:t>
      </w:r>
      <w:r w:rsidRPr="00146CDE">
        <w:rPr>
          <w:rFonts w:asciiTheme="minorHAnsi" w:hAnsiTheme="minorHAnsi" w:cstheme="minorHAnsi"/>
          <w:color w:val="222A35" w:themeColor="text2" w:themeShade="80"/>
          <w:sz w:val="24"/>
          <w:szCs w:val="24"/>
          <w:shd w:val="clear" w:color="auto" w:fill="FFFFFF"/>
        </w:rPr>
        <w:t xml:space="preserve">download the </w:t>
      </w:r>
      <w:r w:rsidRPr="00146CDE">
        <w:rPr>
          <w:sz w:val="24"/>
          <w:szCs w:val="24"/>
        </w:rPr>
        <w:t xml:space="preserve"> </w:t>
      </w:r>
      <w:hyperlink r:id="rId8" w:tgtFrame="_blank" w:tooltip="PCN- Word Fillable Form format" w:history="1">
        <w:r w:rsidRPr="00146CDE">
          <w:rPr>
            <w:rStyle w:val="Hyperlink"/>
            <w:rFonts w:asciiTheme="minorHAnsi" w:hAnsiTheme="minorHAnsi" w:cstheme="minorHAnsi"/>
            <w:b/>
            <w:color w:val="588023"/>
            <w:sz w:val="24"/>
            <w:szCs w:val="24"/>
            <w:shd w:val="clear" w:color="auto" w:fill="FFFFFF"/>
          </w:rPr>
          <w:t>PCN Form</w:t>
        </w:r>
      </w:hyperlink>
      <w:r w:rsidRPr="00146CDE">
        <w:rPr>
          <w:rFonts w:asciiTheme="minorHAnsi" w:hAnsiTheme="minorHAnsi" w:cstheme="minorHAnsi"/>
          <w:color w:val="000000"/>
          <w:sz w:val="24"/>
          <w:szCs w:val="24"/>
          <w:shd w:val="clear" w:color="auto" w:fill="FFFFFF"/>
        </w:rPr>
        <w:t xml:space="preserve"> </w:t>
      </w:r>
      <w:r w:rsidRPr="00146CDE">
        <w:rPr>
          <w:rFonts w:asciiTheme="minorHAnsi" w:hAnsiTheme="minorHAnsi" w:cstheme="minorHAnsi"/>
          <w:color w:val="222A35" w:themeColor="text2" w:themeShade="80"/>
          <w:sz w:val="24"/>
          <w:szCs w:val="24"/>
          <w:shd w:val="clear" w:color="auto" w:fill="FFFFFF"/>
        </w:rPr>
        <w:t>(Word format fillable form, version 4.2 - 1/31/22 update)</w:t>
      </w:r>
      <w:r w:rsidRPr="00146CDE">
        <w:rPr>
          <w:rFonts w:asciiTheme="minorHAnsi" w:hAnsiTheme="minorHAnsi" w:cstheme="minorHAnsi"/>
          <w:color w:val="222A35" w:themeColor="text2" w:themeShade="80"/>
          <w:sz w:val="24"/>
          <w:szCs w:val="24"/>
        </w:rPr>
        <w:t xml:space="preserve"> and submit it as an attachment here: </w:t>
      </w:r>
      <w:hyperlink r:id="rId9" w:history="1">
        <w:r w:rsidRPr="00146CDE">
          <w:rPr>
            <w:rStyle w:val="Hyperlink"/>
            <w:rFonts w:asciiTheme="minorHAnsi" w:hAnsiTheme="minorHAnsi" w:cstheme="minorHAnsi"/>
            <w:sz w:val="24"/>
            <w:szCs w:val="24"/>
          </w:rPr>
          <w:t>https://edocs.deq.nc.gov/Forms/Supplemental-Information-Form</w:t>
        </w:r>
      </w:hyperlink>
      <w:r>
        <w:rPr>
          <w:rFonts w:asciiTheme="minorHAnsi" w:hAnsiTheme="minorHAnsi" w:cstheme="minorHAnsi"/>
          <w:color w:val="222A35" w:themeColor="text2" w:themeShade="80"/>
          <w:sz w:val="24"/>
          <w:szCs w:val="24"/>
        </w:rPr>
        <w:t>.</w:t>
      </w:r>
    </w:p>
    <w:p w:rsidR="00146CDE" w:rsidRDefault="00146CDE" w:rsidP="00146CDE">
      <w:pPr>
        <w:spacing w:line="240" w:lineRule="auto"/>
        <w:jc w:val="left"/>
        <w:rPr>
          <w:sz w:val="24"/>
          <w:szCs w:val="24"/>
        </w:rPr>
      </w:pPr>
    </w:p>
    <w:p w:rsidR="00130784" w:rsidRDefault="00130784" w:rsidP="00146CDE">
      <w:pPr>
        <w:spacing w:line="240" w:lineRule="auto"/>
        <w:jc w:val="left"/>
        <w:rPr>
          <w:sz w:val="24"/>
          <w:szCs w:val="24"/>
        </w:rPr>
      </w:pPr>
    </w:p>
    <w:p w:rsidR="00146CDE" w:rsidRPr="00EF7392" w:rsidRDefault="00146CDE" w:rsidP="00146CDE">
      <w:pPr>
        <w:spacing w:after="160" w:line="240" w:lineRule="auto"/>
        <w:jc w:val="left"/>
        <w:rPr>
          <w:color w:val="538135" w:themeColor="accent6" w:themeShade="BF"/>
          <w:sz w:val="32"/>
          <w:szCs w:val="24"/>
          <w:u w:val="single"/>
        </w:rPr>
      </w:pPr>
      <w:r w:rsidRPr="00EF7392">
        <w:rPr>
          <w:color w:val="538135" w:themeColor="accent6" w:themeShade="BF"/>
          <w:sz w:val="32"/>
          <w:szCs w:val="24"/>
          <w:u w:val="single"/>
        </w:rPr>
        <w:t>Updates Coming Soon!</w:t>
      </w:r>
    </w:p>
    <w:p w:rsidR="00146CDE" w:rsidRPr="00146CDE" w:rsidRDefault="00146CDE" w:rsidP="00146CDE">
      <w:pPr>
        <w:spacing w:line="240" w:lineRule="auto"/>
        <w:jc w:val="left"/>
        <w:rPr>
          <w:color w:val="222A35" w:themeColor="text2" w:themeShade="80"/>
          <w:sz w:val="24"/>
          <w:szCs w:val="24"/>
        </w:rPr>
      </w:pPr>
      <w:r w:rsidRPr="00146CDE">
        <w:rPr>
          <w:color w:val="222A35" w:themeColor="text2" w:themeShade="80"/>
          <w:sz w:val="24"/>
          <w:szCs w:val="24"/>
        </w:rPr>
        <w:t xml:space="preserve">Currently, existing floating cabin owners who wish to obtain a 401 Certification must apply for and receive an </w:t>
      </w:r>
      <w:r w:rsidRPr="00146CDE">
        <w:rPr>
          <w:i/>
          <w:color w:val="222A35" w:themeColor="text2" w:themeShade="80"/>
          <w:sz w:val="24"/>
          <w:szCs w:val="24"/>
        </w:rPr>
        <w:t>Individual</w:t>
      </w:r>
      <w:r w:rsidRPr="00146CDE">
        <w:rPr>
          <w:color w:val="222A35" w:themeColor="text2" w:themeShade="80"/>
          <w:sz w:val="24"/>
          <w:szCs w:val="24"/>
        </w:rPr>
        <w:t xml:space="preserve"> 401 Certification. However, DWR is in the process of developing a </w:t>
      </w:r>
      <w:r w:rsidRPr="00146CDE">
        <w:rPr>
          <w:i/>
          <w:color w:val="222A35" w:themeColor="text2" w:themeShade="80"/>
          <w:sz w:val="24"/>
          <w:szCs w:val="24"/>
        </w:rPr>
        <w:t xml:space="preserve">General </w:t>
      </w:r>
      <w:r w:rsidRPr="00146CDE">
        <w:rPr>
          <w:color w:val="222A35" w:themeColor="text2" w:themeShade="80"/>
          <w:sz w:val="24"/>
          <w:szCs w:val="24"/>
        </w:rPr>
        <w:t>401 Certification to expedite the application process and will update our website with information as the process evolves.</w:t>
      </w:r>
    </w:p>
    <w:p w:rsidR="00EE1002" w:rsidRDefault="00EF7392" w:rsidP="00146CDE">
      <w:pPr>
        <w:spacing w:line="240" w:lineRule="auto"/>
        <w:jc w:val="left"/>
        <w:rPr>
          <w:sz w:val="24"/>
          <w:szCs w:val="24"/>
        </w:rPr>
      </w:pPr>
    </w:p>
    <w:p w:rsidR="00130784" w:rsidRDefault="00130784" w:rsidP="00146CDE">
      <w:pPr>
        <w:spacing w:line="240" w:lineRule="auto"/>
        <w:jc w:val="left"/>
        <w:rPr>
          <w:sz w:val="24"/>
          <w:szCs w:val="24"/>
        </w:rPr>
      </w:pPr>
      <w:bookmarkStart w:id="0" w:name="_GoBack"/>
      <w:bookmarkEnd w:id="0"/>
    </w:p>
    <w:p w:rsidR="00146CDE" w:rsidRPr="00EF7392" w:rsidRDefault="00146CDE" w:rsidP="00EF7392">
      <w:pPr>
        <w:pStyle w:val="PlainText"/>
        <w:spacing w:after="160"/>
        <w:rPr>
          <w:color w:val="538135" w:themeColor="accent6" w:themeShade="BF"/>
          <w:sz w:val="32"/>
          <w:szCs w:val="24"/>
          <w:u w:val="single"/>
        </w:rPr>
      </w:pPr>
      <w:r w:rsidRPr="00EF7392">
        <w:rPr>
          <w:color w:val="538135" w:themeColor="accent6" w:themeShade="BF"/>
          <w:sz w:val="32"/>
          <w:szCs w:val="24"/>
          <w:u w:val="single"/>
        </w:rPr>
        <w:t>More Information</w:t>
      </w:r>
    </w:p>
    <w:p w:rsidR="00146CDE" w:rsidRPr="00EF7392" w:rsidRDefault="00146CDE" w:rsidP="00EF7392">
      <w:pPr>
        <w:pStyle w:val="PlainText"/>
        <w:numPr>
          <w:ilvl w:val="0"/>
          <w:numId w:val="1"/>
        </w:numPr>
        <w:spacing w:line="276" w:lineRule="auto"/>
        <w:rPr>
          <w:rFonts w:asciiTheme="minorHAnsi" w:hAnsiTheme="minorHAnsi" w:cstheme="minorBidi"/>
          <w:color w:val="222A35" w:themeColor="text2" w:themeShade="80"/>
          <w:sz w:val="24"/>
          <w:szCs w:val="24"/>
        </w:rPr>
      </w:pPr>
      <w:hyperlink r:id="rId10" w:tgtFrame="_blank" w:tooltip="401 &amp; Isolated Wetlands/ Waters Program &amp; 401 Stormwater" w:history="1">
        <w:r w:rsidRPr="00EF7392">
          <w:rPr>
            <w:rFonts w:eastAsia="Times New Roman" w:cs="Arial"/>
            <w:color w:val="0000FF"/>
            <w:spacing w:val="5"/>
            <w:sz w:val="24"/>
            <w:szCs w:val="24"/>
            <w:u w:val="single"/>
          </w:rPr>
          <w:t>401 &amp; Isolated Wetlands / Waters Program</w:t>
        </w:r>
      </w:hyperlink>
      <w:r w:rsidRPr="00EF7392">
        <w:rPr>
          <w:rFonts w:asciiTheme="minorHAnsi" w:hAnsiTheme="minorHAnsi" w:cstheme="minorBidi"/>
          <w:color w:val="222A35" w:themeColor="text2" w:themeShade="80"/>
          <w:sz w:val="24"/>
          <w:szCs w:val="24"/>
        </w:rPr>
        <w:t xml:space="preserve"> page </w:t>
      </w:r>
      <w:r w:rsidR="00130784" w:rsidRPr="00EF7392">
        <w:rPr>
          <w:rFonts w:asciiTheme="minorHAnsi" w:hAnsiTheme="minorHAnsi" w:cstheme="minorBidi"/>
          <w:color w:val="222A35" w:themeColor="text2" w:themeShade="80"/>
          <w:sz w:val="24"/>
          <w:szCs w:val="24"/>
        </w:rPr>
        <w:t>for</w:t>
      </w:r>
      <w:r w:rsidRPr="00EF7392">
        <w:rPr>
          <w:rFonts w:asciiTheme="minorHAnsi" w:hAnsiTheme="minorHAnsi" w:cstheme="minorBidi"/>
          <w:color w:val="222A35" w:themeColor="text2" w:themeShade="80"/>
          <w:sz w:val="24"/>
          <w:szCs w:val="24"/>
        </w:rPr>
        <w:t xml:space="preserve"> fees &amp; procedures</w:t>
      </w:r>
      <w:r w:rsidRPr="00EF7392">
        <w:rPr>
          <w:rFonts w:asciiTheme="minorHAnsi" w:hAnsiTheme="minorHAnsi" w:cstheme="minorBidi"/>
          <w:color w:val="222A35" w:themeColor="text2" w:themeShade="80"/>
          <w:sz w:val="24"/>
          <w:szCs w:val="24"/>
        </w:rPr>
        <w:t xml:space="preserve"> information</w:t>
      </w:r>
    </w:p>
    <w:p w:rsidR="00146CDE" w:rsidRPr="00EF7392" w:rsidRDefault="00146CDE" w:rsidP="00EF7392">
      <w:pPr>
        <w:pStyle w:val="PlainText"/>
        <w:numPr>
          <w:ilvl w:val="0"/>
          <w:numId w:val="1"/>
        </w:numPr>
        <w:spacing w:line="276" w:lineRule="auto"/>
        <w:rPr>
          <w:rFonts w:asciiTheme="minorHAnsi" w:hAnsiTheme="minorHAnsi" w:cstheme="minorBidi"/>
          <w:color w:val="222A35" w:themeColor="text2" w:themeShade="80"/>
          <w:sz w:val="24"/>
          <w:szCs w:val="24"/>
        </w:rPr>
      </w:pPr>
      <w:hyperlink r:id="rId11" w:history="1">
        <w:r w:rsidRPr="00EF7392">
          <w:rPr>
            <w:rFonts w:eastAsia="Times New Roman" w:cs="Arial"/>
            <w:color w:val="0000FF"/>
            <w:spacing w:val="5"/>
            <w:sz w:val="24"/>
            <w:szCs w:val="24"/>
            <w:u w:val="single"/>
          </w:rPr>
          <w:t>PCN Help Document</w:t>
        </w:r>
      </w:hyperlink>
      <w:r w:rsidRPr="00EF7392">
        <w:rPr>
          <w:rFonts w:ascii="Helvetica" w:hAnsi="Helvetica" w:cs="Helvetica"/>
          <w:color w:val="000000"/>
          <w:sz w:val="24"/>
          <w:szCs w:val="24"/>
          <w:shd w:val="clear" w:color="auto" w:fill="FFFFFF"/>
        </w:rPr>
        <w:t xml:space="preserve"> </w:t>
      </w:r>
      <w:r w:rsidR="00130784" w:rsidRPr="00EF7392">
        <w:rPr>
          <w:rFonts w:asciiTheme="minorHAnsi" w:hAnsiTheme="minorHAnsi" w:cstheme="minorBidi"/>
          <w:color w:val="222A35" w:themeColor="text2" w:themeShade="80"/>
          <w:sz w:val="24"/>
          <w:szCs w:val="24"/>
        </w:rPr>
        <w:t>for</w:t>
      </w:r>
      <w:r w:rsidRPr="00EF7392">
        <w:rPr>
          <w:rFonts w:asciiTheme="minorHAnsi" w:hAnsiTheme="minorHAnsi" w:cstheme="minorBidi"/>
          <w:color w:val="222A35" w:themeColor="text2" w:themeShade="80"/>
          <w:sz w:val="24"/>
          <w:szCs w:val="24"/>
        </w:rPr>
        <w:t xml:space="preserve"> assistance completing the form</w:t>
      </w:r>
    </w:p>
    <w:sectPr w:rsidR="00146CDE" w:rsidRPr="00EF7392" w:rsidSect="00130784">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60930"/>
    <w:multiLevelType w:val="hybridMultilevel"/>
    <w:tmpl w:val="55A6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DE"/>
    <w:rsid w:val="00130784"/>
    <w:rsid w:val="00146CDE"/>
    <w:rsid w:val="002E12CD"/>
    <w:rsid w:val="009F0251"/>
    <w:rsid w:val="00B235CE"/>
    <w:rsid w:val="00EF7392"/>
    <w:rsid w:val="00F8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2CC5"/>
  <w15:chartTrackingRefBased/>
  <w15:docId w15:val="{58560DC0-63AC-4D2D-8810-6BCA9B1C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1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CDE"/>
    <w:rPr>
      <w:color w:val="0000FF"/>
      <w:u w:val="single"/>
    </w:rPr>
  </w:style>
  <w:style w:type="paragraph" w:styleId="PlainText">
    <w:name w:val="Plain Text"/>
    <w:basedOn w:val="Normal"/>
    <w:link w:val="PlainTextChar"/>
    <w:uiPriority w:val="99"/>
    <w:unhideWhenUsed/>
    <w:rsid w:val="00146CDE"/>
    <w:pPr>
      <w:spacing w:line="240" w:lineRule="auto"/>
      <w:jc w:val="left"/>
    </w:pPr>
    <w:rPr>
      <w:rFonts w:ascii="Calibri" w:hAnsi="Calibri" w:cs="Calibri"/>
    </w:rPr>
  </w:style>
  <w:style w:type="character" w:customStyle="1" w:styleId="PlainTextChar">
    <w:name w:val="Plain Text Char"/>
    <w:basedOn w:val="DefaultParagraphFont"/>
    <w:link w:val="PlainText"/>
    <w:uiPriority w:val="99"/>
    <w:rsid w:val="00146CDE"/>
    <w:rPr>
      <w:rFonts w:ascii="Calibri" w:hAnsi="Calibri" w:cs="Calibri"/>
    </w:rPr>
  </w:style>
  <w:style w:type="character" w:styleId="Emphasis">
    <w:name w:val="Emphasis"/>
    <w:basedOn w:val="DefaultParagraphFont"/>
    <w:uiPriority w:val="20"/>
    <w:qFormat/>
    <w:rsid w:val="00146C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3810">
      <w:bodyDiv w:val="1"/>
      <w:marLeft w:val="0"/>
      <w:marRight w:val="0"/>
      <w:marTop w:val="0"/>
      <w:marBottom w:val="0"/>
      <w:divBdr>
        <w:top w:val="none" w:sz="0" w:space="0" w:color="auto"/>
        <w:left w:val="none" w:sz="0" w:space="0" w:color="auto"/>
        <w:bottom w:val="none" w:sz="0" w:space="0" w:color="auto"/>
        <w:right w:val="none" w:sz="0" w:space="0" w:color="auto"/>
      </w:divBdr>
    </w:div>
    <w:div w:id="7667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document-library/pcn-wordfillableform/download?attach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va.com/environment/shoreline-construction-permits/floating-cabi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gister.gov/public-inspection/2021-19098/floating-cabins" TargetMode="External"/><Relationship Id="rId11" Type="http://schemas.openxmlformats.org/officeDocument/2006/relationships/hyperlink" Target="https://edocs.deq.nc.gov/WaterResources/DocView.aspx?dbid=0&amp;id=2196924" TargetMode="External"/><Relationship Id="rId5" Type="http://schemas.openxmlformats.org/officeDocument/2006/relationships/hyperlink" Target="https://tva-azr-eastus-cdn-ep-tvawcm-prd.azureedge.net/cdn-tvawcma/docs/default-source/default-document-library/site-content/environment/shoreline-construction-26a/phase_1_rules_as_published_and_effective_10_1_2018.pdf?sfvrsn=47d88d43_0" TargetMode="External"/><Relationship Id="rId10" Type="http://schemas.openxmlformats.org/officeDocument/2006/relationships/hyperlink" Target="https://deq.nc.gov/about/divisions/water-resources/water-quality-permitting/401-buffer-permitting/401-isolated-wetlands-waters-program-401-stormwater" TargetMode="External"/><Relationship Id="rId4" Type="http://schemas.openxmlformats.org/officeDocument/2006/relationships/webSettings" Target="webSettings.xml"/><Relationship Id="rId9" Type="http://schemas.openxmlformats.org/officeDocument/2006/relationships/hyperlink" Target="https://edocs.deq.nc.gov/Forms/Supplemental-Inform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Niki</dc:creator>
  <cp:keywords/>
  <dc:description/>
  <cp:lastModifiedBy>Maher, Niki</cp:lastModifiedBy>
  <cp:revision>3</cp:revision>
  <dcterms:created xsi:type="dcterms:W3CDTF">2022-04-08T21:29:00Z</dcterms:created>
  <dcterms:modified xsi:type="dcterms:W3CDTF">2022-04-08T21:34:00Z</dcterms:modified>
</cp:coreProperties>
</file>