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868" w14:textId="77777777" w:rsidR="006F115D" w:rsidRDefault="00000000">
      <w:pPr>
        <w:jc w:val="center"/>
        <w:rPr>
          <w:rFonts w:ascii="Calibri" w:eastAsia="Calibri" w:hAnsi="Calibri" w:cs="Calibri"/>
          <w:color w:val="0000FF"/>
          <w:sz w:val="36"/>
          <w:szCs w:val="36"/>
        </w:rPr>
      </w:pPr>
      <w:r>
        <w:rPr>
          <w:rFonts w:ascii="Calibri" w:eastAsia="Calibri" w:hAnsi="Calibri" w:cs="Calibri"/>
          <w:color w:val="0000FF"/>
          <w:sz w:val="36"/>
          <w:szCs w:val="36"/>
        </w:rPr>
        <w:t>High Rock Lake Nutrient Rules Engagement Process</w:t>
      </w:r>
    </w:p>
    <w:p w14:paraId="6C34F465" w14:textId="245FDCEE" w:rsidR="006F115D" w:rsidRDefault="00282250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>Riparian Buffer</w:t>
      </w:r>
      <w:r w:rsidR="002D4037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</w:t>
      </w:r>
      <w:r w:rsidR="00580FBE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Technical Advisory Group (TAG) </w:t>
      </w:r>
    </w:p>
    <w:p w14:paraId="4690C5FF" w14:textId="0925A8F1" w:rsidR="006F115D" w:rsidRDefault="00000000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  <w:r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Meeting </w:t>
      </w:r>
      <w:r w:rsidR="00C70070">
        <w:rPr>
          <w:rFonts w:ascii="Calibri" w:eastAsia="Calibri" w:hAnsi="Calibri" w:cs="Calibri"/>
          <w:color w:val="0000FF"/>
          <w:sz w:val="34"/>
          <w:szCs w:val="34"/>
          <w:highlight w:val="white"/>
        </w:rPr>
        <w:t>3: June 21</w:t>
      </w:r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>, 2023, 1-</w:t>
      </w:r>
      <w:r w:rsidR="00C70070">
        <w:rPr>
          <w:rFonts w:ascii="Calibri" w:eastAsia="Calibri" w:hAnsi="Calibri" w:cs="Calibri"/>
          <w:color w:val="0000FF"/>
          <w:sz w:val="34"/>
          <w:szCs w:val="34"/>
          <w:highlight w:val="white"/>
        </w:rPr>
        <w:t>3</w:t>
      </w:r>
      <w:r w:rsidR="00282250">
        <w:rPr>
          <w:rFonts w:ascii="Calibri" w:eastAsia="Calibri" w:hAnsi="Calibri" w:cs="Calibri"/>
          <w:color w:val="0000FF"/>
          <w:sz w:val="34"/>
          <w:szCs w:val="34"/>
          <w:highlight w:val="white"/>
        </w:rPr>
        <w:t xml:space="preserve"> pm via Zoom</w:t>
      </w:r>
    </w:p>
    <w:p w14:paraId="3B08927E" w14:textId="77777777" w:rsidR="006F115D" w:rsidRDefault="006F115D">
      <w:pPr>
        <w:jc w:val="center"/>
        <w:rPr>
          <w:rFonts w:ascii="Calibri" w:eastAsia="Calibri" w:hAnsi="Calibri" w:cs="Calibri"/>
          <w:color w:val="0000FF"/>
          <w:sz w:val="34"/>
          <w:szCs w:val="34"/>
          <w:highlight w:val="white"/>
        </w:rPr>
      </w:pPr>
    </w:p>
    <w:p w14:paraId="52E8B0DB" w14:textId="61DB09D7" w:rsidR="006F115D" w:rsidRPr="00F25847" w:rsidRDefault="00EF38AA">
      <w:pPr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4F6228" w:themeColor="accent3" w:themeShade="80"/>
          <w:sz w:val="28"/>
          <w:szCs w:val="28"/>
          <w:highlight w:val="white"/>
        </w:rPr>
        <w:t>Desired outcomes</w:t>
      </w:r>
    </w:p>
    <w:p w14:paraId="126D2AF7" w14:textId="77777777" w:rsidR="00EF38AA" w:rsidRPr="00EF38AA" w:rsidRDefault="00EF38AA" w:rsidP="00A96827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EF38AA">
        <w:rPr>
          <w:rFonts w:ascii="Calibri" w:eastAsia="Calibri" w:hAnsi="Calibri" w:cs="Calibri"/>
          <w:sz w:val="24"/>
          <w:szCs w:val="24"/>
          <w:lang w:val="en-US"/>
        </w:rPr>
        <w:t>Reach consensus on buffer width, zones (or develop majority/minority positions)</w:t>
      </w:r>
    </w:p>
    <w:p w14:paraId="011602A7" w14:textId="77777777" w:rsidR="00EF38AA" w:rsidRPr="00EF38AA" w:rsidRDefault="00EF38AA" w:rsidP="00A96827">
      <w:pPr>
        <w:numPr>
          <w:ilvl w:val="0"/>
          <w:numId w:val="3"/>
        </w:numPr>
        <w:spacing w:line="36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EF38AA">
        <w:rPr>
          <w:rFonts w:ascii="Calibri" w:eastAsia="Calibri" w:hAnsi="Calibri" w:cs="Calibri"/>
          <w:sz w:val="24"/>
          <w:szCs w:val="24"/>
          <w:lang w:val="en-US"/>
        </w:rPr>
        <w:t xml:space="preserve">Reach consensus on carrying forward other rule </w:t>
      </w:r>
      <w:proofErr w:type="gramStart"/>
      <w:r w:rsidRPr="00EF38AA">
        <w:rPr>
          <w:rFonts w:ascii="Calibri" w:eastAsia="Calibri" w:hAnsi="Calibri" w:cs="Calibri"/>
          <w:sz w:val="24"/>
          <w:szCs w:val="24"/>
          <w:lang w:val="en-US"/>
        </w:rPr>
        <w:t>concepts</w:t>
      </w:r>
      <w:proofErr w:type="gramEnd"/>
    </w:p>
    <w:p w14:paraId="670CAE36" w14:textId="77777777" w:rsidR="006F115D" w:rsidRDefault="006F115D">
      <w:pPr>
        <w:rPr>
          <w:rFonts w:ascii="Calibri" w:eastAsia="Calibri" w:hAnsi="Calibri" w:cs="Calibri"/>
          <w:color w:val="274E13"/>
          <w:sz w:val="24"/>
          <w:szCs w:val="24"/>
          <w:highlight w:val="white"/>
        </w:rPr>
      </w:pPr>
    </w:p>
    <w:p w14:paraId="38D9E043" w14:textId="0DF1C655" w:rsidR="00EF38AA" w:rsidRPr="00EF38AA" w:rsidRDefault="00EF38AA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  <w:r w:rsidRPr="00EF38AA">
        <w:rPr>
          <w:rFonts w:ascii="Calibri" w:eastAsia="Calibri" w:hAnsi="Calibri" w:cs="Calibri"/>
          <w:color w:val="274E13"/>
          <w:sz w:val="28"/>
          <w:szCs w:val="28"/>
          <w:highlight w:val="white"/>
        </w:rPr>
        <w:t>Attachments</w:t>
      </w:r>
    </w:p>
    <w:p w14:paraId="341B5128" w14:textId="77777777" w:rsidR="00EF38AA" w:rsidRPr="00EF38AA" w:rsidRDefault="00EF38AA" w:rsidP="00A96827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  <w:highlight w:val="white"/>
          <w:lang w:val="en-US"/>
        </w:rPr>
      </w:pPr>
      <w:r w:rsidRPr="00EF38AA">
        <w:rPr>
          <w:rFonts w:ascii="Calibri" w:eastAsia="Calibri" w:hAnsi="Calibri" w:cs="Calibri"/>
          <w:color w:val="000000" w:themeColor="text1"/>
          <w:sz w:val="24"/>
          <w:szCs w:val="24"/>
          <w:highlight w:val="white"/>
          <w:lang w:val="en-US"/>
        </w:rPr>
        <w:t>Jordan Hearing Officer’s Report comments</w:t>
      </w:r>
    </w:p>
    <w:p w14:paraId="1705405A" w14:textId="77777777" w:rsidR="00EF38AA" w:rsidRPr="00EF38AA" w:rsidRDefault="00EF38AA" w:rsidP="00A96827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  <w:highlight w:val="white"/>
          <w:lang w:val="en-US"/>
        </w:rPr>
      </w:pPr>
      <w:r w:rsidRPr="00EF38AA">
        <w:rPr>
          <w:rFonts w:ascii="Calibri" w:eastAsia="Calibri" w:hAnsi="Calibri" w:cs="Calibri"/>
          <w:color w:val="000000" w:themeColor="text1"/>
          <w:sz w:val="24"/>
          <w:szCs w:val="24"/>
          <w:highlight w:val="white"/>
          <w:lang w:val="en-US"/>
        </w:rPr>
        <w:t>Copy of Neuse Buffer Protection Rule, Authorization, Mitigation, Forest Harvesting Rules</w:t>
      </w:r>
    </w:p>
    <w:p w14:paraId="68563F92" w14:textId="77777777" w:rsidR="00EF38AA" w:rsidRDefault="00EF38AA">
      <w:pPr>
        <w:rPr>
          <w:rFonts w:ascii="Calibri" w:eastAsia="Calibri" w:hAnsi="Calibri" w:cs="Calibri"/>
          <w:color w:val="274E13"/>
          <w:sz w:val="24"/>
          <w:szCs w:val="24"/>
          <w:highlight w:val="white"/>
        </w:rPr>
      </w:pPr>
    </w:p>
    <w:p w14:paraId="292074AE" w14:textId="6C7295F8" w:rsidR="006F115D" w:rsidRDefault="00000000" w:rsidP="00F25847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  <w:r>
        <w:rPr>
          <w:rFonts w:ascii="Calibri" w:eastAsia="Calibri" w:hAnsi="Calibri" w:cs="Calibri"/>
          <w:color w:val="274E13"/>
          <w:sz w:val="28"/>
          <w:szCs w:val="28"/>
          <w:highlight w:val="white"/>
        </w:rPr>
        <w:t>Agenda</w:t>
      </w:r>
    </w:p>
    <w:p w14:paraId="02F044DB" w14:textId="77777777" w:rsidR="00F25847" w:rsidRPr="00F25847" w:rsidRDefault="00F25847" w:rsidP="00F25847">
      <w:pPr>
        <w:rPr>
          <w:rFonts w:ascii="Calibri" w:eastAsia="Calibri" w:hAnsi="Calibri" w:cs="Calibri"/>
          <w:color w:val="274E13"/>
          <w:sz w:val="16"/>
          <w:szCs w:val="16"/>
          <w:highlight w:val="white"/>
        </w:rPr>
      </w:pPr>
    </w:p>
    <w:tbl>
      <w:tblPr>
        <w:tblStyle w:val="a"/>
        <w:tblW w:w="9270" w:type="dxa"/>
        <w:tblInd w:w="-9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920"/>
      </w:tblGrid>
      <w:tr w:rsidR="00FF3563" w14:paraId="784CBA70" w14:textId="77777777" w:rsidTr="00A96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nil"/>
            </w:tcBorders>
          </w:tcPr>
          <w:p w14:paraId="5D2905CF" w14:textId="67E3BF64" w:rsidR="00FF3563" w:rsidRDefault="00FF3563" w:rsidP="00A96827">
            <w:pPr>
              <w:spacing w:line="360" w:lineRule="auto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1 pm</w:t>
            </w:r>
          </w:p>
        </w:tc>
        <w:tc>
          <w:tcPr>
            <w:tcW w:w="7920" w:type="dxa"/>
            <w:tcBorders>
              <w:bottom w:val="nil"/>
            </w:tcBorders>
            <w:shd w:val="clear" w:color="auto" w:fill="auto"/>
          </w:tcPr>
          <w:p w14:paraId="5B010617" w14:textId="04C2B58C" w:rsidR="00FF3563" w:rsidRDefault="00FF3563" w:rsidP="00A968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color w:val="002060"/>
                <w:sz w:val="28"/>
                <w:szCs w:val="28"/>
              </w:rPr>
            </w:pPr>
            <w:r w:rsidRPr="00FF3563"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 xml:space="preserve">Welcome </w:t>
            </w:r>
            <w:r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 xml:space="preserve">&amp; </w:t>
            </w:r>
            <w:r w:rsidR="003A1CCF"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>ntroductions</w:t>
            </w:r>
            <w:r w:rsidR="00A96827"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  <w:t xml:space="preserve"> </w:t>
            </w:r>
          </w:p>
          <w:p w14:paraId="09D0C4CC" w14:textId="7A52E5B1" w:rsidR="00FF3563" w:rsidRPr="00A96827" w:rsidRDefault="00FF3563" w:rsidP="00A9682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/>
                <w:color w:val="002060"/>
                <w:sz w:val="28"/>
                <w:szCs w:val="28"/>
              </w:rPr>
            </w:pPr>
          </w:p>
        </w:tc>
      </w:tr>
      <w:tr w:rsidR="00FF3563" w14:paraId="7B716814" w14:textId="77777777" w:rsidTr="00A9682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29943F7" w14:textId="77777777" w:rsidR="00FF3563" w:rsidRDefault="00FF3563" w:rsidP="00A96827">
            <w:pPr>
              <w:spacing w:line="360" w:lineRule="auto"/>
              <w:jc w:val="right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119C6EDF" w14:textId="77777777" w:rsidR="00FF3563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  <w:r w:rsidRPr="00FF3563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All Stakeholder meeting recap and outline of reporting dynamics </w:t>
            </w:r>
          </w:p>
          <w:p w14:paraId="3CD11626" w14:textId="69EFD192" w:rsidR="00A96827" w:rsidRDefault="00A96827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</w:tr>
      <w:tr w:rsidR="00FF3563" w14:paraId="6AAB66F2" w14:textId="77777777" w:rsidTr="00A9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8B2BC27" w14:textId="5746441E" w:rsidR="00FF3563" w:rsidRPr="00A96827" w:rsidRDefault="00A96827" w:rsidP="00A96827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1:15 pm</w:t>
            </w:r>
          </w:p>
        </w:tc>
        <w:tc>
          <w:tcPr>
            <w:tcW w:w="7920" w:type="dxa"/>
            <w:shd w:val="clear" w:color="auto" w:fill="auto"/>
          </w:tcPr>
          <w:p w14:paraId="3F28BE94" w14:textId="3DB019B3" w:rsidR="00FF3563" w:rsidRPr="00FF3563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  <w:r w:rsidRPr="00FF3563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Buffer Width Discussion </w:t>
            </w:r>
          </w:p>
          <w:p w14:paraId="06764C9B" w14:textId="77777777" w:rsidR="00FF3563" w:rsidRPr="00A96827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</w:p>
        </w:tc>
      </w:tr>
      <w:tr w:rsidR="00FF3563" w14:paraId="79448320" w14:textId="77777777" w:rsidTr="00A9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C99483A" w14:textId="1DB3B7D0" w:rsidR="00FF3563" w:rsidRPr="00A96827" w:rsidRDefault="00A96827" w:rsidP="00A96827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1:45 pm</w:t>
            </w:r>
          </w:p>
          <w:p w14:paraId="2F74ABA5" w14:textId="77777777" w:rsidR="00FF3563" w:rsidRDefault="00FF3563" w:rsidP="00A96827">
            <w:pPr>
              <w:spacing w:line="360" w:lineRule="auto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  <w:tc>
          <w:tcPr>
            <w:tcW w:w="7920" w:type="dxa"/>
            <w:shd w:val="clear" w:color="auto" w:fill="auto"/>
          </w:tcPr>
          <w:p w14:paraId="7D175EDB" w14:textId="129F61AF" w:rsidR="00FF3563" w:rsidRPr="00FF3563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  <w:r w:rsidRPr="00FF3563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Allowable Uses </w:t>
            </w:r>
          </w:p>
          <w:p w14:paraId="00B3EB6D" w14:textId="77777777" w:rsidR="00FF3563" w:rsidRPr="00A96827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</w:p>
        </w:tc>
      </w:tr>
      <w:tr w:rsidR="00FF3563" w14:paraId="38337404" w14:textId="77777777" w:rsidTr="00A9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F09F651" w14:textId="101EC16A" w:rsidR="00FF3563" w:rsidRDefault="00FF3563" w:rsidP="00A96827">
            <w:pPr>
              <w:spacing w:line="360" w:lineRule="auto"/>
              <w:rPr>
                <w:rFonts w:ascii="Calibri" w:eastAsia="Calibri" w:hAnsi="Calibri" w:cs="Calibri"/>
                <w:i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i/>
                <w:color w:val="002060"/>
                <w:sz w:val="28"/>
                <w:szCs w:val="28"/>
              </w:rPr>
              <w:t>2:30 pm</w:t>
            </w:r>
          </w:p>
        </w:tc>
        <w:tc>
          <w:tcPr>
            <w:tcW w:w="7920" w:type="dxa"/>
            <w:shd w:val="clear" w:color="auto" w:fill="auto"/>
          </w:tcPr>
          <w:p w14:paraId="79CBA1BD" w14:textId="7E358E1F" w:rsidR="00FF3563" w:rsidRPr="00FF3563" w:rsidRDefault="00A96827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>R</w:t>
            </w:r>
            <w:r w:rsidR="00FF3563" w:rsidRPr="00FF3563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>eport development</w:t>
            </w:r>
            <w:r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 &amp;</w:t>
            </w:r>
            <w:r w:rsidR="00FF3563" w:rsidRPr="00FF3563">
              <w:rPr>
                <w:rFonts w:ascii="Calibri" w:eastAsia="Calibri" w:hAnsi="Calibri" w:cs="Calibri"/>
                <w:color w:val="002060"/>
                <w:sz w:val="28"/>
                <w:szCs w:val="28"/>
                <w:lang w:val="en-US"/>
              </w:rPr>
              <w:t xml:space="preserve"> next steps </w:t>
            </w:r>
          </w:p>
          <w:p w14:paraId="51D1D045" w14:textId="77777777" w:rsidR="00FF3563" w:rsidRPr="00A96827" w:rsidRDefault="00FF3563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</w:tr>
      <w:tr w:rsidR="00FF3563" w14:paraId="3FC0F3B9" w14:textId="77777777" w:rsidTr="00A9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D7C8503" w14:textId="32575EA2" w:rsidR="00FF3563" w:rsidRPr="004A52B8" w:rsidRDefault="00FF3563" w:rsidP="00A96827">
            <w:pPr>
              <w:spacing w:line="360" w:lineRule="auto"/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bCs/>
                <w:i/>
                <w:iCs/>
                <w:color w:val="002060"/>
                <w:sz w:val="28"/>
                <w:szCs w:val="28"/>
              </w:rPr>
              <w:t>3 pm</w:t>
            </w:r>
          </w:p>
        </w:tc>
        <w:tc>
          <w:tcPr>
            <w:tcW w:w="7920" w:type="dxa"/>
            <w:shd w:val="clear" w:color="auto" w:fill="auto"/>
          </w:tcPr>
          <w:p w14:paraId="35B3CED1" w14:textId="3450A2C9" w:rsidR="00FF3563" w:rsidRDefault="00A96827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Adjourn</w:t>
            </w:r>
          </w:p>
          <w:p w14:paraId="1D077C5D" w14:textId="3EB3562E" w:rsidR="00A96827" w:rsidRPr="004A52B8" w:rsidRDefault="00A96827" w:rsidP="00A968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</w:tr>
    </w:tbl>
    <w:p w14:paraId="6852E668" w14:textId="77777777" w:rsidR="006F115D" w:rsidRDefault="006F115D">
      <w:pPr>
        <w:rPr>
          <w:rFonts w:ascii="Calibri" w:eastAsia="Calibri" w:hAnsi="Calibri" w:cs="Calibri"/>
          <w:color w:val="274E13"/>
          <w:sz w:val="28"/>
          <w:szCs w:val="28"/>
          <w:highlight w:val="white"/>
        </w:rPr>
      </w:pPr>
    </w:p>
    <w:sectPr w:rsidR="006F11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2098"/>
    <w:multiLevelType w:val="multilevel"/>
    <w:tmpl w:val="3EBE6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54B49"/>
    <w:multiLevelType w:val="hybridMultilevel"/>
    <w:tmpl w:val="96A4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6CEE"/>
    <w:multiLevelType w:val="multilevel"/>
    <w:tmpl w:val="78CEDF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CC3A66"/>
    <w:multiLevelType w:val="hybridMultilevel"/>
    <w:tmpl w:val="913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D4EB1"/>
    <w:multiLevelType w:val="hybridMultilevel"/>
    <w:tmpl w:val="529A4978"/>
    <w:lvl w:ilvl="0" w:tplc="B2FE4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8369">
    <w:abstractNumId w:val="2"/>
  </w:num>
  <w:num w:numId="2" w16cid:durableId="1166940612">
    <w:abstractNumId w:val="0"/>
  </w:num>
  <w:num w:numId="3" w16cid:durableId="1555462906">
    <w:abstractNumId w:val="3"/>
  </w:num>
  <w:num w:numId="4" w16cid:durableId="1101799256">
    <w:abstractNumId w:val="1"/>
  </w:num>
  <w:num w:numId="5" w16cid:durableId="656883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D"/>
    <w:rsid w:val="00110AE4"/>
    <w:rsid w:val="00282250"/>
    <w:rsid w:val="002D4037"/>
    <w:rsid w:val="003422C9"/>
    <w:rsid w:val="003A1CCF"/>
    <w:rsid w:val="004A52B8"/>
    <w:rsid w:val="0056061F"/>
    <w:rsid w:val="00580FBE"/>
    <w:rsid w:val="006E4C4B"/>
    <w:rsid w:val="006F115D"/>
    <w:rsid w:val="00765D7D"/>
    <w:rsid w:val="00843C2D"/>
    <w:rsid w:val="00A91D66"/>
    <w:rsid w:val="00A96827"/>
    <w:rsid w:val="00BF0338"/>
    <w:rsid w:val="00BF7DFB"/>
    <w:rsid w:val="00C70070"/>
    <w:rsid w:val="00D43422"/>
    <w:rsid w:val="00EF38AA"/>
    <w:rsid w:val="00F25847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2DC41"/>
  <w15:docId w15:val="{6CA38D12-683F-564B-B8BA-8CA090C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2D4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Ellis Chotas</cp:lastModifiedBy>
  <cp:revision>7</cp:revision>
  <dcterms:created xsi:type="dcterms:W3CDTF">2023-06-14T23:36:00Z</dcterms:created>
  <dcterms:modified xsi:type="dcterms:W3CDTF">2023-06-14T23:46:00Z</dcterms:modified>
</cp:coreProperties>
</file>