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42E20" w14:textId="3F8BA518" w:rsidR="00620CB5" w:rsidRPr="002B29F6" w:rsidRDefault="002B29F6" w:rsidP="00620CB5">
      <w:pPr>
        <w:spacing w:after="0"/>
        <w:jc w:val="center"/>
        <w:rPr>
          <w:b/>
          <w:bCs/>
          <w:sz w:val="28"/>
          <w:szCs w:val="28"/>
        </w:rPr>
      </w:pPr>
      <w:r>
        <w:rPr>
          <w:b/>
          <w:bCs/>
          <w:sz w:val="28"/>
          <w:szCs w:val="28"/>
        </w:rPr>
        <w:t>Meeting Notes</w:t>
      </w:r>
      <w:r w:rsidRPr="002B29F6">
        <w:rPr>
          <w:b/>
          <w:bCs/>
          <w:sz w:val="28"/>
          <w:szCs w:val="28"/>
        </w:rPr>
        <w:t xml:space="preserve">: </w:t>
      </w:r>
      <w:r w:rsidR="00620CB5" w:rsidRPr="002B29F6">
        <w:rPr>
          <w:b/>
          <w:bCs/>
          <w:sz w:val="28"/>
          <w:szCs w:val="28"/>
        </w:rPr>
        <w:t>Nutrient Scientific Advisory Board</w:t>
      </w:r>
    </w:p>
    <w:p w14:paraId="504D8769" w14:textId="26302FB6" w:rsidR="00F20156" w:rsidRPr="002B29F6" w:rsidRDefault="00F20156" w:rsidP="00620CB5">
      <w:pPr>
        <w:spacing w:after="0"/>
        <w:jc w:val="center"/>
        <w:rPr>
          <w:b/>
          <w:bCs/>
          <w:sz w:val="28"/>
          <w:szCs w:val="28"/>
        </w:rPr>
      </w:pPr>
      <w:r w:rsidRPr="002B29F6">
        <w:rPr>
          <w:b/>
          <w:bCs/>
          <w:sz w:val="28"/>
          <w:szCs w:val="28"/>
        </w:rPr>
        <w:t>October 7, 2022, 9:30 a.m. – 12:00 p.m.</w:t>
      </w:r>
    </w:p>
    <w:p w14:paraId="7F7E744E" w14:textId="189D2C00" w:rsidR="002D0513" w:rsidRPr="002D0513" w:rsidRDefault="002D0513" w:rsidP="002D0513">
      <w:pPr>
        <w:spacing w:after="0"/>
        <w:jc w:val="center"/>
        <w:rPr>
          <w:b/>
          <w:bCs/>
        </w:rPr>
      </w:pPr>
      <w:r w:rsidRPr="002D0513">
        <w:rPr>
          <w:b/>
          <w:bCs/>
        </w:rPr>
        <w:t>Hybrid Meeting – In-person @TJCOG and on Teams</w:t>
      </w:r>
    </w:p>
    <w:p w14:paraId="60ADC5F4" w14:textId="05900633" w:rsidR="002D0513" w:rsidRDefault="002D0513" w:rsidP="00F20156">
      <w:pPr>
        <w:spacing w:after="0"/>
      </w:pPr>
    </w:p>
    <w:p w14:paraId="014A7CDE" w14:textId="5B794100" w:rsidR="002D0513" w:rsidRPr="009F6721" w:rsidRDefault="002D0513" w:rsidP="00F20156">
      <w:pPr>
        <w:spacing w:after="0"/>
        <w:rPr>
          <w:b/>
          <w:bCs/>
          <w:sz w:val="24"/>
          <w:szCs w:val="24"/>
        </w:rPr>
      </w:pPr>
      <w:r w:rsidRPr="009F6721">
        <w:rPr>
          <w:b/>
          <w:bCs/>
          <w:sz w:val="24"/>
          <w:szCs w:val="24"/>
        </w:rPr>
        <w:t>Attendees</w:t>
      </w:r>
    </w:p>
    <w:tbl>
      <w:tblPr>
        <w:tblStyle w:val="TableGrid"/>
        <w:tblW w:w="9348" w:type="dxa"/>
        <w:tblLook w:val="04A0" w:firstRow="1" w:lastRow="0" w:firstColumn="1" w:lastColumn="0" w:noHBand="0" w:noVBand="1"/>
      </w:tblPr>
      <w:tblGrid>
        <w:gridCol w:w="3116"/>
        <w:gridCol w:w="3116"/>
        <w:gridCol w:w="3116"/>
      </w:tblGrid>
      <w:tr w:rsidR="009F6721" w:rsidRPr="009F6721" w14:paraId="3B96BB32" w14:textId="25A66673" w:rsidTr="009F6721">
        <w:trPr>
          <w:trHeight w:val="300"/>
        </w:trPr>
        <w:tc>
          <w:tcPr>
            <w:tcW w:w="3116" w:type="dxa"/>
            <w:noWrap/>
            <w:hideMark/>
          </w:tcPr>
          <w:p w14:paraId="786AFDC7" w14:textId="77777777"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Gannon, Rich</w:t>
            </w:r>
          </w:p>
        </w:tc>
        <w:tc>
          <w:tcPr>
            <w:tcW w:w="3116" w:type="dxa"/>
          </w:tcPr>
          <w:p w14:paraId="43E759CB" w14:textId="7C81FA39"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Trish D'Arconte</w:t>
            </w:r>
          </w:p>
        </w:tc>
        <w:tc>
          <w:tcPr>
            <w:tcW w:w="3116" w:type="dxa"/>
          </w:tcPr>
          <w:p w14:paraId="7BB508DD" w14:textId="1F3DCF36"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Anne Coan</w:t>
            </w:r>
          </w:p>
        </w:tc>
      </w:tr>
      <w:tr w:rsidR="009F6721" w:rsidRPr="009F6721" w14:paraId="0D44BEE6" w14:textId="6B22043D" w:rsidTr="009F6721">
        <w:trPr>
          <w:trHeight w:val="300"/>
        </w:trPr>
        <w:tc>
          <w:tcPr>
            <w:tcW w:w="3116" w:type="dxa"/>
            <w:noWrap/>
          </w:tcPr>
          <w:p w14:paraId="20984967" w14:textId="1FBE4596"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Cooper, Kathryn</w:t>
            </w:r>
          </w:p>
        </w:tc>
        <w:tc>
          <w:tcPr>
            <w:tcW w:w="3116" w:type="dxa"/>
          </w:tcPr>
          <w:p w14:paraId="68037A3A" w14:textId="59E2FBB5"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Wilbur, Sandra</w:t>
            </w:r>
          </w:p>
        </w:tc>
        <w:tc>
          <w:tcPr>
            <w:tcW w:w="3116" w:type="dxa"/>
          </w:tcPr>
          <w:p w14:paraId="13097F0A" w14:textId="5B0F576C"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Farkas, Jim J</w:t>
            </w:r>
          </w:p>
        </w:tc>
      </w:tr>
      <w:tr w:rsidR="009F6721" w:rsidRPr="009F6721" w14:paraId="6BFC6D1B" w14:textId="6E5B653E" w:rsidTr="009F6721">
        <w:trPr>
          <w:trHeight w:val="300"/>
        </w:trPr>
        <w:tc>
          <w:tcPr>
            <w:tcW w:w="3116" w:type="dxa"/>
            <w:noWrap/>
          </w:tcPr>
          <w:p w14:paraId="215C462A" w14:textId="4D825F63"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Higgins, Karen</w:t>
            </w:r>
          </w:p>
        </w:tc>
        <w:tc>
          <w:tcPr>
            <w:tcW w:w="3116" w:type="dxa"/>
          </w:tcPr>
          <w:p w14:paraId="68037487" w14:textId="31016BA4" w:rsidR="009F6721" w:rsidRPr="009F6721" w:rsidRDefault="009F6721" w:rsidP="009F6721">
            <w:pPr>
              <w:rPr>
                <w:rFonts w:ascii="Calibri" w:eastAsia="Times New Roman" w:hAnsi="Calibri" w:cs="Calibri"/>
                <w:color w:val="000000"/>
              </w:rPr>
            </w:pPr>
            <w:proofErr w:type="spellStart"/>
            <w:r w:rsidRPr="009F6721">
              <w:rPr>
                <w:rFonts w:ascii="Calibri" w:eastAsia="Times New Roman" w:hAnsi="Calibri" w:cs="Calibri"/>
                <w:color w:val="000000"/>
              </w:rPr>
              <w:t>Zahorian</w:t>
            </w:r>
            <w:proofErr w:type="spellEnd"/>
            <w:r w:rsidRPr="009F6721">
              <w:rPr>
                <w:rFonts w:ascii="Calibri" w:eastAsia="Times New Roman" w:hAnsi="Calibri" w:cs="Calibri"/>
                <w:color w:val="000000"/>
              </w:rPr>
              <w:t>, Molly</w:t>
            </w:r>
          </w:p>
        </w:tc>
        <w:tc>
          <w:tcPr>
            <w:tcW w:w="3116" w:type="dxa"/>
          </w:tcPr>
          <w:p w14:paraId="4347E7B8" w14:textId="6CD501B5"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Forrest Westall</w:t>
            </w:r>
          </w:p>
        </w:tc>
      </w:tr>
      <w:tr w:rsidR="009F6721" w:rsidRPr="009F6721" w14:paraId="6EF0CA02" w14:textId="389162C6" w:rsidTr="009F6721">
        <w:trPr>
          <w:trHeight w:val="300"/>
        </w:trPr>
        <w:tc>
          <w:tcPr>
            <w:tcW w:w="3116" w:type="dxa"/>
            <w:noWrap/>
            <w:hideMark/>
          </w:tcPr>
          <w:p w14:paraId="4DF29952" w14:textId="77777777"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Drew Blake</w:t>
            </w:r>
          </w:p>
        </w:tc>
        <w:tc>
          <w:tcPr>
            <w:tcW w:w="3116" w:type="dxa"/>
          </w:tcPr>
          <w:p w14:paraId="25B2832D" w14:textId="68C300C9"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Hoyt, Sally</w:t>
            </w:r>
          </w:p>
        </w:tc>
        <w:tc>
          <w:tcPr>
            <w:tcW w:w="3116" w:type="dxa"/>
          </w:tcPr>
          <w:p w14:paraId="3C87131B" w14:textId="6FB06D63"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Huisman, John</w:t>
            </w:r>
          </w:p>
        </w:tc>
      </w:tr>
      <w:tr w:rsidR="009F6721" w:rsidRPr="009F6721" w14:paraId="7E135710" w14:textId="24F4D019" w:rsidTr="009F6721">
        <w:trPr>
          <w:trHeight w:val="300"/>
        </w:trPr>
        <w:tc>
          <w:tcPr>
            <w:tcW w:w="3116" w:type="dxa"/>
            <w:noWrap/>
          </w:tcPr>
          <w:p w14:paraId="2682AC29" w14:textId="3A81A4D9"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Dinwiddie, Alexandra</w:t>
            </w:r>
          </w:p>
        </w:tc>
        <w:tc>
          <w:tcPr>
            <w:tcW w:w="3116" w:type="dxa"/>
          </w:tcPr>
          <w:p w14:paraId="78439165" w14:textId="22634109"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Robert Patterson</w:t>
            </w:r>
          </w:p>
        </w:tc>
        <w:tc>
          <w:tcPr>
            <w:tcW w:w="3116" w:type="dxa"/>
          </w:tcPr>
          <w:p w14:paraId="5EE00807" w14:textId="30CC91D2" w:rsidR="009F6721" w:rsidRPr="009F6721" w:rsidRDefault="009F6721" w:rsidP="009F6721">
            <w:pPr>
              <w:rPr>
                <w:rFonts w:ascii="Calibri" w:eastAsia="Times New Roman" w:hAnsi="Calibri" w:cs="Calibri"/>
                <w:color w:val="000000"/>
              </w:rPr>
            </w:pPr>
            <w:proofErr w:type="spellStart"/>
            <w:r w:rsidRPr="009F6721">
              <w:rPr>
                <w:rFonts w:ascii="Calibri" w:eastAsia="Times New Roman" w:hAnsi="Calibri" w:cs="Calibri"/>
                <w:color w:val="000000"/>
              </w:rPr>
              <w:t>Buzun</w:t>
            </w:r>
            <w:proofErr w:type="spellEnd"/>
            <w:r w:rsidRPr="009F6721">
              <w:rPr>
                <w:rFonts w:ascii="Calibri" w:eastAsia="Times New Roman" w:hAnsi="Calibri" w:cs="Calibri"/>
                <w:color w:val="000000"/>
              </w:rPr>
              <w:t>, Jennifer</w:t>
            </w:r>
          </w:p>
        </w:tc>
      </w:tr>
      <w:tr w:rsidR="009F6721" w:rsidRPr="009F6721" w14:paraId="6813D2AD" w14:textId="53A0D02E" w:rsidTr="009F6721">
        <w:trPr>
          <w:trHeight w:val="300"/>
        </w:trPr>
        <w:tc>
          <w:tcPr>
            <w:tcW w:w="3116" w:type="dxa"/>
            <w:noWrap/>
          </w:tcPr>
          <w:p w14:paraId="47000D87" w14:textId="138AFC22"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Annette Lucas</w:t>
            </w:r>
          </w:p>
        </w:tc>
        <w:tc>
          <w:tcPr>
            <w:tcW w:w="3116" w:type="dxa"/>
          </w:tcPr>
          <w:p w14:paraId="1D908CE8" w14:textId="7D43405A"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Allison Weakley</w:t>
            </w:r>
          </w:p>
        </w:tc>
        <w:tc>
          <w:tcPr>
            <w:tcW w:w="3116" w:type="dxa"/>
          </w:tcPr>
          <w:p w14:paraId="5B5F542B" w14:textId="5E73F70D"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Maya Cough-Schulze</w:t>
            </w:r>
          </w:p>
        </w:tc>
      </w:tr>
      <w:tr w:rsidR="009F6721" w:rsidRPr="009F6721" w14:paraId="43998652" w14:textId="732CDF31" w:rsidTr="009F6721">
        <w:trPr>
          <w:trHeight w:val="300"/>
        </w:trPr>
        <w:tc>
          <w:tcPr>
            <w:tcW w:w="3116" w:type="dxa"/>
            <w:noWrap/>
          </w:tcPr>
          <w:p w14:paraId="5B86207F" w14:textId="0D9BDA03"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Xu, Lin</w:t>
            </w:r>
          </w:p>
        </w:tc>
        <w:tc>
          <w:tcPr>
            <w:tcW w:w="3116" w:type="dxa"/>
          </w:tcPr>
          <w:p w14:paraId="6B0592F6" w14:textId="7E244D14"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Loperfido, John</w:t>
            </w:r>
          </w:p>
        </w:tc>
        <w:tc>
          <w:tcPr>
            <w:tcW w:w="3116" w:type="dxa"/>
          </w:tcPr>
          <w:p w14:paraId="1B7B5862" w14:textId="34C20079"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Phlegar, David</w:t>
            </w:r>
          </w:p>
        </w:tc>
      </w:tr>
      <w:tr w:rsidR="009F6721" w:rsidRPr="009F6721" w14:paraId="15CB29D3" w14:textId="65FA6B8F" w:rsidTr="009F6721">
        <w:trPr>
          <w:trHeight w:val="300"/>
        </w:trPr>
        <w:tc>
          <w:tcPr>
            <w:tcW w:w="3116" w:type="dxa"/>
            <w:noWrap/>
            <w:hideMark/>
          </w:tcPr>
          <w:p w14:paraId="73C2DDFD" w14:textId="77777777"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Eric Kulz</w:t>
            </w:r>
          </w:p>
        </w:tc>
        <w:tc>
          <w:tcPr>
            <w:tcW w:w="3116" w:type="dxa"/>
          </w:tcPr>
          <w:p w14:paraId="74A5044E" w14:textId="40492A04"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Alix Matos</w:t>
            </w:r>
          </w:p>
        </w:tc>
        <w:tc>
          <w:tcPr>
            <w:tcW w:w="3116" w:type="dxa"/>
          </w:tcPr>
          <w:p w14:paraId="52FD437C" w14:textId="0CABB70C"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Michael Reed Burchell II</w:t>
            </w:r>
          </w:p>
        </w:tc>
      </w:tr>
      <w:tr w:rsidR="009F6721" w:rsidRPr="009F6721" w14:paraId="40A6AD12" w14:textId="5912D386" w:rsidTr="009F6721">
        <w:trPr>
          <w:trHeight w:val="300"/>
        </w:trPr>
        <w:tc>
          <w:tcPr>
            <w:tcW w:w="3116" w:type="dxa"/>
            <w:noWrap/>
            <w:hideMark/>
          </w:tcPr>
          <w:p w14:paraId="2E104152" w14:textId="77777777"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McDaniel, Andrew H.</w:t>
            </w:r>
          </w:p>
        </w:tc>
        <w:tc>
          <w:tcPr>
            <w:tcW w:w="3116" w:type="dxa"/>
          </w:tcPr>
          <w:p w14:paraId="7FACD742" w14:textId="050CFA0D"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Irwin, Michael</w:t>
            </w:r>
          </w:p>
        </w:tc>
        <w:tc>
          <w:tcPr>
            <w:tcW w:w="3116" w:type="dxa"/>
          </w:tcPr>
          <w:p w14:paraId="42498F99" w14:textId="1D5BA6F3"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Wilbur, Sandra</w:t>
            </w:r>
          </w:p>
        </w:tc>
      </w:tr>
      <w:tr w:rsidR="009F6721" w:rsidRPr="009F6721" w14:paraId="244DB2D3" w14:textId="1B16CB35" w:rsidTr="009F6721">
        <w:trPr>
          <w:trHeight w:val="300"/>
        </w:trPr>
        <w:tc>
          <w:tcPr>
            <w:tcW w:w="3116" w:type="dxa"/>
            <w:noWrap/>
            <w:hideMark/>
          </w:tcPr>
          <w:p w14:paraId="554A73EA" w14:textId="77777777"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Tiwari, Brajesh</w:t>
            </w:r>
          </w:p>
        </w:tc>
        <w:tc>
          <w:tcPr>
            <w:tcW w:w="3116" w:type="dxa"/>
          </w:tcPr>
          <w:p w14:paraId="18D4EEAB" w14:textId="508FED9F" w:rsidR="009F6721" w:rsidRPr="009F6721" w:rsidRDefault="009F6721" w:rsidP="009F6721">
            <w:pPr>
              <w:rPr>
                <w:rFonts w:ascii="Calibri" w:eastAsia="Times New Roman" w:hAnsi="Calibri" w:cs="Calibri"/>
                <w:color w:val="000000"/>
              </w:rPr>
            </w:pPr>
            <w:r w:rsidRPr="009F6721">
              <w:rPr>
                <w:rFonts w:ascii="Calibri" w:eastAsia="Times New Roman" w:hAnsi="Calibri" w:cs="Calibri"/>
                <w:color w:val="000000"/>
              </w:rPr>
              <w:t>Josh Johnson</w:t>
            </w:r>
          </w:p>
        </w:tc>
        <w:tc>
          <w:tcPr>
            <w:tcW w:w="3116" w:type="dxa"/>
          </w:tcPr>
          <w:p w14:paraId="547E75F0" w14:textId="38D0B9E5" w:rsidR="009F6721" w:rsidRPr="009F6721" w:rsidRDefault="009F6721" w:rsidP="009F6721">
            <w:pPr>
              <w:rPr>
                <w:rFonts w:ascii="Calibri" w:eastAsia="Times New Roman" w:hAnsi="Calibri" w:cs="Calibri"/>
                <w:color w:val="000000"/>
              </w:rPr>
            </w:pPr>
          </w:p>
        </w:tc>
      </w:tr>
    </w:tbl>
    <w:p w14:paraId="6E5077DF" w14:textId="20138C11" w:rsidR="002D0513" w:rsidRDefault="002D0513" w:rsidP="00F20156">
      <w:pPr>
        <w:spacing w:after="0"/>
      </w:pPr>
    </w:p>
    <w:p w14:paraId="28F12AF0" w14:textId="70AA973F" w:rsidR="002D0513" w:rsidRPr="009F6721" w:rsidRDefault="009F6721" w:rsidP="00F20156">
      <w:pPr>
        <w:spacing w:after="0"/>
        <w:rPr>
          <w:b/>
          <w:bCs/>
          <w:sz w:val="24"/>
          <w:szCs w:val="24"/>
        </w:rPr>
      </w:pPr>
      <w:r w:rsidRPr="009F6721">
        <w:rPr>
          <w:b/>
          <w:bCs/>
          <w:sz w:val="24"/>
          <w:szCs w:val="24"/>
        </w:rPr>
        <w:t>Administrative</w:t>
      </w:r>
    </w:p>
    <w:p w14:paraId="07B98E4C" w14:textId="77AE0C74" w:rsidR="00F20156" w:rsidRPr="00620CB5" w:rsidRDefault="00366470" w:rsidP="00BB67B3">
      <w:pPr>
        <w:spacing w:after="0"/>
        <w:rPr>
          <w:sz w:val="24"/>
          <w:szCs w:val="24"/>
        </w:rPr>
      </w:pPr>
      <w:r>
        <w:rPr>
          <w:sz w:val="24"/>
          <w:szCs w:val="24"/>
        </w:rPr>
        <w:t xml:space="preserve">The </w:t>
      </w:r>
      <w:r w:rsidR="00F20156" w:rsidRPr="00620CB5">
        <w:rPr>
          <w:sz w:val="24"/>
          <w:szCs w:val="24"/>
        </w:rPr>
        <w:t>Feb</w:t>
      </w:r>
      <w:r>
        <w:rPr>
          <w:sz w:val="24"/>
          <w:szCs w:val="24"/>
        </w:rPr>
        <w:t>ruary</w:t>
      </w:r>
      <w:r w:rsidR="00DE1518" w:rsidRPr="00620CB5">
        <w:rPr>
          <w:sz w:val="24"/>
          <w:szCs w:val="24"/>
        </w:rPr>
        <w:t xml:space="preserve"> &amp; </w:t>
      </w:r>
      <w:r w:rsidR="00F20156" w:rsidRPr="00620CB5">
        <w:rPr>
          <w:sz w:val="24"/>
          <w:szCs w:val="24"/>
        </w:rPr>
        <w:t xml:space="preserve">July 2022 </w:t>
      </w:r>
      <w:r w:rsidR="009F6721">
        <w:rPr>
          <w:sz w:val="24"/>
          <w:szCs w:val="24"/>
        </w:rPr>
        <w:t>m</w:t>
      </w:r>
      <w:r w:rsidR="00F20156" w:rsidRPr="00620CB5">
        <w:rPr>
          <w:sz w:val="24"/>
          <w:szCs w:val="24"/>
        </w:rPr>
        <w:t xml:space="preserve">eeting </w:t>
      </w:r>
      <w:r w:rsidR="009F6721">
        <w:rPr>
          <w:sz w:val="24"/>
          <w:szCs w:val="24"/>
        </w:rPr>
        <w:t>s</w:t>
      </w:r>
      <w:r w:rsidR="00F20156" w:rsidRPr="00620CB5">
        <w:rPr>
          <w:sz w:val="24"/>
          <w:szCs w:val="24"/>
        </w:rPr>
        <w:t>ummaries</w:t>
      </w:r>
      <w:r w:rsidR="002B29F6">
        <w:rPr>
          <w:sz w:val="24"/>
          <w:szCs w:val="24"/>
        </w:rPr>
        <w:t xml:space="preserve"> </w:t>
      </w:r>
      <w:r w:rsidR="009F6721">
        <w:rPr>
          <w:sz w:val="24"/>
          <w:szCs w:val="24"/>
        </w:rPr>
        <w:t xml:space="preserve">were </w:t>
      </w:r>
      <w:r w:rsidR="002B29F6">
        <w:rPr>
          <w:sz w:val="24"/>
          <w:szCs w:val="24"/>
        </w:rPr>
        <w:t>approved with no changes.</w:t>
      </w:r>
    </w:p>
    <w:p w14:paraId="2F6BDDC6" w14:textId="5827B31E" w:rsidR="00F20156" w:rsidRPr="00620CB5" w:rsidRDefault="00F20156" w:rsidP="00F20156">
      <w:pPr>
        <w:spacing w:after="0"/>
        <w:ind w:firstLine="720"/>
        <w:rPr>
          <w:sz w:val="24"/>
          <w:szCs w:val="24"/>
        </w:rPr>
      </w:pPr>
    </w:p>
    <w:p w14:paraId="2C1C8C71" w14:textId="77777777" w:rsidR="00DA49E1" w:rsidRDefault="00DA49E1" w:rsidP="00F20156">
      <w:pPr>
        <w:spacing w:after="0"/>
        <w:rPr>
          <w:b/>
          <w:bCs/>
          <w:sz w:val="24"/>
          <w:szCs w:val="24"/>
        </w:rPr>
      </w:pPr>
      <w:r>
        <w:rPr>
          <w:b/>
          <w:bCs/>
          <w:sz w:val="24"/>
          <w:szCs w:val="24"/>
        </w:rPr>
        <w:t>Agenda</w:t>
      </w:r>
    </w:p>
    <w:p w14:paraId="060F7CF7" w14:textId="4B5413D4" w:rsidR="00F20156" w:rsidRDefault="00DA49E1" w:rsidP="00F20156">
      <w:pPr>
        <w:spacing w:after="0"/>
        <w:rPr>
          <w:b/>
          <w:bCs/>
          <w:sz w:val="24"/>
          <w:szCs w:val="24"/>
        </w:rPr>
      </w:pPr>
      <w:r>
        <w:rPr>
          <w:b/>
          <w:bCs/>
          <w:sz w:val="24"/>
          <w:szCs w:val="24"/>
        </w:rPr>
        <w:t xml:space="preserve">Segment 1: </w:t>
      </w:r>
      <w:r w:rsidR="00F20156" w:rsidRPr="009F6721">
        <w:rPr>
          <w:b/>
          <w:bCs/>
          <w:sz w:val="24"/>
          <w:szCs w:val="24"/>
        </w:rPr>
        <w:t>SCM Credit Document DRAFT Revisions – Trish D’Arconte</w:t>
      </w:r>
    </w:p>
    <w:p w14:paraId="7F2E653A" w14:textId="01996D68" w:rsidR="00DA49E1" w:rsidRPr="009F6721" w:rsidRDefault="00DA49E1" w:rsidP="00F20156">
      <w:pPr>
        <w:spacing w:after="0"/>
        <w:rPr>
          <w:b/>
          <w:bCs/>
          <w:sz w:val="24"/>
          <w:szCs w:val="24"/>
        </w:rPr>
      </w:pPr>
      <w:r>
        <w:rPr>
          <w:b/>
          <w:bCs/>
          <w:sz w:val="24"/>
          <w:szCs w:val="24"/>
        </w:rPr>
        <w:t>Segment 2: SCM Nutrient EMC Revisions – Trish D’Arconte</w:t>
      </w:r>
    </w:p>
    <w:p w14:paraId="5C423F42" w14:textId="77777777" w:rsidR="00E462C1" w:rsidRDefault="00E462C1" w:rsidP="00F20156">
      <w:pPr>
        <w:spacing w:after="0"/>
        <w:rPr>
          <w:sz w:val="24"/>
          <w:szCs w:val="24"/>
        </w:rPr>
      </w:pPr>
    </w:p>
    <w:p w14:paraId="00F592F3" w14:textId="653C7ADC" w:rsidR="00DE1518" w:rsidRPr="009F6721" w:rsidRDefault="00DE1518" w:rsidP="00F20156">
      <w:pPr>
        <w:spacing w:after="0"/>
        <w:rPr>
          <w:b/>
          <w:bCs/>
          <w:sz w:val="24"/>
          <w:szCs w:val="24"/>
        </w:rPr>
      </w:pPr>
      <w:r w:rsidRPr="009F6721">
        <w:rPr>
          <w:b/>
          <w:bCs/>
          <w:sz w:val="24"/>
          <w:szCs w:val="24"/>
        </w:rPr>
        <w:t>Segment 1: SCM Study Requirements</w:t>
      </w:r>
    </w:p>
    <w:p w14:paraId="3DBDD9BC" w14:textId="33C86497" w:rsidR="00DE1518" w:rsidRPr="009F6721" w:rsidRDefault="00DE1518" w:rsidP="00DE1518">
      <w:pPr>
        <w:pStyle w:val="ListParagraph"/>
        <w:numPr>
          <w:ilvl w:val="0"/>
          <w:numId w:val="1"/>
        </w:numPr>
        <w:spacing w:after="0"/>
        <w:rPr>
          <w:b/>
          <w:bCs/>
          <w:sz w:val="24"/>
          <w:szCs w:val="24"/>
        </w:rPr>
      </w:pPr>
      <w:r w:rsidRPr="009F6721">
        <w:rPr>
          <w:b/>
          <w:bCs/>
          <w:sz w:val="24"/>
          <w:szCs w:val="24"/>
        </w:rPr>
        <w:t xml:space="preserve">Wholly </w:t>
      </w:r>
      <w:r w:rsidR="001F79BB" w:rsidRPr="009F6721">
        <w:rPr>
          <w:b/>
          <w:bCs/>
          <w:sz w:val="24"/>
          <w:szCs w:val="24"/>
        </w:rPr>
        <w:t>transferred</w:t>
      </w:r>
      <w:r w:rsidRPr="009F6721">
        <w:rPr>
          <w:b/>
          <w:bCs/>
          <w:sz w:val="24"/>
          <w:szCs w:val="24"/>
        </w:rPr>
        <w:t xml:space="preserve"> from Stormwater Design Manual</w:t>
      </w:r>
    </w:p>
    <w:p w14:paraId="4509337B" w14:textId="3D7C398C" w:rsidR="00DE1518" w:rsidRPr="009F6721" w:rsidRDefault="00DE1518" w:rsidP="00DE1518">
      <w:pPr>
        <w:pStyle w:val="ListParagraph"/>
        <w:numPr>
          <w:ilvl w:val="0"/>
          <w:numId w:val="1"/>
        </w:numPr>
        <w:spacing w:after="0"/>
        <w:rPr>
          <w:b/>
          <w:bCs/>
          <w:sz w:val="24"/>
          <w:szCs w:val="24"/>
        </w:rPr>
      </w:pPr>
      <w:r w:rsidRPr="009F6721">
        <w:rPr>
          <w:b/>
          <w:bCs/>
          <w:sz w:val="24"/>
          <w:szCs w:val="24"/>
        </w:rPr>
        <w:t>NEST steps clarified, new vs existing SCM approvals</w:t>
      </w:r>
    </w:p>
    <w:p w14:paraId="61B875EA" w14:textId="14D0F9B0" w:rsidR="001F79BB" w:rsidRPr="009F6721" w:rsidRDefault="001F79BB" w:rsidP="00DE1518">
      <w:pPr>
        <w:pStyle w:val="ListParagraph"/>
        <w:numPr>
          <w:ilvl w:val="0"/>
          <w:numId w:val="1"/>
        </w:numPr>
        <w:spacing w:after="0"/>
        <w:rPr>
          <w:b/>
          <w:bCs/>
          <w:sz w:val="24"/>
          <w:szCs w:val="24"/>
        </w:rPr>
      </w:pPr>
      <w:r w:rsidRPr="009F6721">
        <w:rPr>
          <w:b/>
          <w:bCs/>
          <w:sz w:val="24"/>
          <w:szCs w:val="24"/>
        </w:rPr>
        <w:t>Study requirements</w:t>
      </w:r>
    </w:p>
    <w:p w14:paraId="0CC12296" w14:textId="5E148E4D" w:rsidR="001F79BB" w:rsidRPr="009F6721" w:rsidRDefault="001F79BB" w:rsidP="001F79BB">
      <w:pPr>
        <w:spacing w:after="0"/>
        <w:rPr>
          <w:sz w:val="24"/>
          <w:szCs w:val="24"/>
        </w:rPr>
      </w:pPr>
    </w:p>
    <w:p w14:paraId="364B5CA3" w14:textId="042DA93E" w:rsidR="00D33136" w:rsidRPr="009F6721" w:rsidRDefault="00D33136" w:rsidP="001F79BB">
      <w:pPr>
        <w:spacing w:after="0"/>
        <w:rPr>
          <w:b/>
          <w:bCs/>
          <w:sz w:val="24"/>
          <w:szCs w:val="24"/>
        </w:rPr>
      </w:pPr>
      <w:r w:rsidRPr="009F6721">
        <w:rPr>
          <w:b/>
          <w:bCs/>
          <w:sz w:val="24"/>
          <w:szCs w:val="24"/>
        </w:rPr>
        <w:t>Overview</w:t>
      </w:r>
    </w:p>
    <w:p w14:paraId="7E05B1C6" w14:textId="118E5E61" w:rsidR="001E4942" w:rsidRDefault="00604F1A" w:rsidP="001F79BB">
      <w:pPr>
        <w:spacing w:after="0"/>
        <w:rPr>
          <w:sz w:val="24"/>
          <w:szCs w:val="24"/>
        </w:rPr>
      </w:pPr>
      <w:r>
        <w:rPr>
          <w:sz w:val="24"/>
          <w:szCs w:val="24"/>
        </w:rPr>
        <w:t xml:space="preserve">Trish D’Arconte </w:t>
      </w:r>
      <w:r w:rsidR="00DA49E1">
        <w:rPr>
          <w:sz w:val="24"/>
          <w:szCs w:val="24"/>
        </w:rPr>
        <w:t>reviewed</w:t>
      </w:r>
      <w:r>
        <w:rPr>
          <w:sz w:val="24"/>
          <w:szCs w:val="24"/>
        </w:rPr>
        <w:t xml:space="preserve"> </w:t>
      </w:r>
      <w:r w:rsidR="00654B7C">
        <w:rPr>
          <w:sz w:val="24"/>
          <w:szCs w:val="24"/>
        </w:rPr>
        <w:t>DWR</w:t>
      </w:r>
      <w:r w:rsidR="00897273">
        <w:rPr>
          <w:sz w:val="24"/>
          <w:szCs w:val="24"/>
        </w:rPr>
        <w:t>’s revisions of</w:t>
      </w:r>
      <w:r w:rsidR="0039775C">
        <w:rPr>
          <w:sz w:val="24"/>
          <w:szCs w:val="24"/>
        </w:rPr>
        <w:t xml:space="preserve"> </w:t>
      </w:r>
      <w:r w:rsidR="00654B7C">
        <w:rPr>
          <w:sz w:val="24"/>
          <w:szCs w:val="24"/>
        </w:rPr>
        <w:t xml:space="preserve">the </w:t>
      </w:r>
      <w:r w:rsidR="00813FF1">
        <w:rPr>
          <w:sz w:val="24"/>
          <w:szCs w:val="24"/>
        </w:rPr>
        <w:t xml:space="preserve">SCM </w:t>
      </w:r>
      <w:r w:rsidR="00DA49E1">
        <w:rPr>
          <w:sz w:val="24"/>
          <w:szCs w:val="24"/>
        </w:rPr>
        <w:t>C</w:t>
      </w:r>
      <w:r w:rsidR="00813FF1">
        <w:rPr>
          <w:sz w:val="24"/>
          <w:szCs w:val="24"/>
        </w:rPr>
        <w:t xml:space="preserve">redit </w:t>
      </w:r>
      <w:r w:rsidR="00DA49E1">
        <w:rPr>
          <w:sz w:val="24"/>
          <w:szCs w:val="24"/>
        </w:rPr>
        <w:t>D</w:t>
      </w:r>
      <w:r w:rsidR="00813FF1">
        <w:rPr>
          <w:sz w:val="24"/>
          <w:szCs w:val="24"/>
        </w:rPr>
        <w:t>ocument</w:t>
      </w:r>
      <w:r w:rsidR="00654B7C">
        <w:rPr>
          <w:sz w:val="24"/>
          <w:szCs w:val="24"/>
        </w:rPr>
        <w:t xml:space="preserve">. </w:t>
      </w:r>
      <w:r w:rsidR="008721AF">
        <w:rPr>
          <w:sz w:val="24"/>
          <w:szCs w:val="24"/>
        </w:rPr>
        <w:t xml:space="preserve">She notes: 2 different parts – </w:t>
      </w:r>
      <w:r w:rsidR="00DA49E1">
        <w:rPr>
          <w:sz w:val="24"/>
          <w:szCs w:val="24"/>
        </w:rPr>
        <w:t>technical</w:t>
      </w:r>
      <w:r w:rsidR="008721AF">
        <w:rPr>
          <w:sz w:val="24"/>
          <w:szCs w:val="24"/>
        </w:rPr>
        <w:t xml:space="preserve"> analysis of what </w:t>
      </w:r>
      <w:r w:rsidR="00B93B3D">
        <w:rPr>
          <w:sz w:val="24"/>
          <w:szCs w:val="24"/>
        </w:rPr>
        <w:t xml:space="preserve">data we have, and </w:t>
      </w:r>
      <w:r w:rsidR="00DA49E1">
        <w:rPr>
          <w:sz w:val="24"/>
          <w:szCs w:val="24"/>
        </w:rPr>
        <w:t>revising the</w:t>
      </w:r>
      <w:r w:rsidR="00B93B3D">
        <w:rPr>
          <w:sz w:val="24"/>
          <w:szCs w:val="24"/>
        </w:rPr>
        <w:t xml:space="preserve"> </w:t>
      </w:r>
      <w:r w:rsidR="009B7986">
        <w:rPr>
          <w:sz w:val="24"/>
          <w:szCs w:val="24"/>
        </w:rPr>
        <w:t xml:space="preserve">policy </w:t>
      </w:r>
      <w:r w:rsidR="00DA49E1">
        <w:rPr>
          <w:sz w:val="24"/>
          <w:szCs w:val="24"/>
        </w:rPr>
        <w:t>calls</w:t>
      </w:r>
      <w:r w:rsidR="00B93B3D">
        <w:rPr>
          <w:sz w:val="24"/>
          <w:szCs w:val="24"/>
        </w:rPr>
        <w:t xml:space="preserve"> we take as an agency</w:t>
      </w:r>
      <w:r w:rsidR="00DA49E1">
        <w:rPr>
          <w:sz w:val="24"/>
          <w:szCs w:val="24"/>
        </w:rPr>
        <w:t xml:space="preserve"> over what data we accept and use</w:t>
      </w:r>
      <w:r w:rsidR="00B93B3D">
        <w:rPr>
          <w:sz w:val="24"/>
          <w:szCs w:val="24"/>
        </w:rPr>
        <w:t>.</w:t>
      </w:r>
    </w:p>
    <w:p w14:paraId="03C3C497" w14:textId="77777777" w:rsidR="001E4942" w:rsidRDefault="001E4942" w:rsidP="001F79BB">
      <w:pPr>
        <w:spacing w:after="0"/>
        <w:rPr>
          <w:sz w:val="24"/>
          <w:szCs w:val="24"/>
        </w:rPr>
      </w:pPr>
    </w:p>
    <w:p w14:paraId="4505512B" w14:textId="77777777" w:rsidR="0000448F" w:rsidRDefault="00DA49E1" w:rsidP="001F79BB">
      <w:pPr>
        <w:spacing w:after="0"/>
        <w:rPr>
          <w:sz w:val="24"/>
          <w:szCs w:val="24"/>
        </w:rPr>
      </w:pPr>
      <w:r>
        <w:rPr>
          <w:sz w:val="24"/>
          <w:szCs w:val="24"/>
        </w:rPr>
        <w:t>How</w:t>
      </w:r>
      <w:r w:rsidR="009F7964">
        <w:rPr>
          <w:sz w:val="24"/>
          <w:szCs w:val="24"/>
        </w:rPr>
        <w:t xml:space="preserve"> to use this doc</w:t>
      </w:r>
      <w:r w:rsidR="001E4942">
        <w:rPr>
          <w:sz w:val="24"/>
          <w:szCs w:val="24"/>
        </w:rPr>
        <w:t xml:space="preserve">: </w:t>
      </w:r>
      <w:r w:rsidR="00654B7C">
        <w:rPr>
          <w:sz w:val="24"/>
          <w:szCs w:val="24"/>
        </w:rPr>
        <w:t xml:space="preserve">DEMLR’s </w:t>
      </w:r>
      <w:r>
        <w:rPr>
          <w:sz w:val="24"/>
          <w:szCs w:val="24"/>
        </w:rPr>
        <w:t>S</w:t>
      </w:r>
      <w:r w:rsidR="00654B7C">
        <w:rPr>
          <w:sz w:val="24"/>
          <w:szCs w:val="24"/>
        </w:rPr>
        <w:t xml:space="preserve">tormwater </w:t>
      </w:r>
      <w:r>
        <w:rPr>
          <w:sz w:val="24"/>
          <w:szCs w:val="24"/>
        </w:rPr>
        <w:t>D</w:t>
      </w:r>
      <w:r w:rsidR="00B73DE4">
        <w:rPr>
          <w:sz w:val="24"/>
          <w:szCs w:val="24"/>
        </w:rPr>
        <w:t xml:space="preserve">esign </w:t>
      </w:r>
      <w:r>
        <w:rPr>
          <w:sz w:val="24"/>
          <w:szCs w:val="24"/>
        </w:rPr>
        <w:t>M</w:t>
      </w:r>
      <w:r w:rsidR="00B73DE4">
        <w:rPr>
          <w:sz w:val="24"/>
          <w:szCs w:val="24"/>
        </w:rPr>
        <w:t>anual is about design</w:t>
      </w:r>
      <w:r w:rsidR="00654B7C">
        <w:rPr>
          <w:sz w:val="24"/>
          <w:szCs w:val="24"/>
        </w:rPr>
        <w:t>ing devices</w:t>
      </w:r>
      <w:r w:rsidR="00B73DE4">
        <w:rPr>
          <w:sz w:val="24"/>
          <w:szCs w:val="24"/>
        </w:rPr>
        <w:t xml:space="preserve">, </w:t>
      </w:r>
      <w:r>
        <w:rPr>
          <w:sz w:val="24"/>
          <w:szCs w:val="24"/>
        </w:rPr>
        <w:t>while</w:t>
      </w:r>
      <w:r w:rsidR="00654B7C">
        <w:rPr>
          <w:sz w:val="24"/>
          <w:szCs w:val="24"/>
        </w:rPr>
        <w:t xml:space="preserve"> </w:t>
      </w:r>
      <w:r w:rsidR="00B73DE4">
        <w:rPr>
          <w:sz w:val="24"/>
          <w:szCs w:val="24"/>
        </w:rPr>
        <w:t xml:space="preserve">this </w:t>
      </w:r>
      <w:r w:rsidR="00654B7C">
        <w:rPr>
          <w:sz w:val="24"/>
          <w:szCs w:val="24"/>
        </w:rPr>
        <w:t xml:space="preserve">document is </w:t>
      </w:r>
      <w:r w:rsidR="00B73DE4">
        <w:rPr>
          <w:sz w:val="24"/>
          <w:szCs w:val="24"/>
        </w:rPr>
        <w:t>about crediting</w:t>
      </w:r>
      <w:r w:rsidR="009B7986">
        <w:rPr>
          <w:sz w:val="24"/>
          <w:szCs w:val="24"/>
        </w:rPr>
        <w:t xml:space="preserve"> them</w:t>
      </w:r>
      <w:r w:rsidR="00B73DE4">
        <w:rPr>
          <w:sz w:val="24"/>
          <w:szCs w:val="24"/>
        </w:rPr>
        <w:t xml:space="preserve">. </w:t>
      </w:r>
      <w:r>
        <w:rPr>
          <w:sz w:val="24"/>
          <w:szCs w:val="24"/>
        </w:rPr>
        <w:t>However, the written description of DEMLR’s process</w:t>
      </w:r>
      <w:r w:rsidR="00D762B5">
        <w:rPr>
          <w:sz w:val="24"/>
          <w:szCs w:val="24"/>
        </w:rPr>
        <w:t xml:space="preserve"> </w:t>
      </w:r>
      <w:r>
        <w:rPr>
          <w:sz w:val="24"/>
          <w:szCs w:val="24"/>
        </w:rPr>
        <w:t xml:space="preserve">for approving new SCMs credit-wise – “NEST” - was in their Design Manual. </w:t>
      </w:r>
      <w:proofErr w:type="gramStart"/>
      <w:r>
        <w:rPr>
          <w:sz w:val="24"/>
          <w:szCs w:val="24"/>
        </w:rPr>
        <w:t>Thus</w:t>
      </w:r>
      <w:proofErr w:type="gramEnd"/>
      <w:r>
        <w:rPr>
          <w:sz w:val="24"/>
          <w:szCs w:val="24"/>
        </w:rPr>
        <w:t xml:space="preserve"> with DEMLR’s consent we pulled it from there and </w:t>
      </w:r>
      <w:proofErr w:type="gramStart"/>
      <w:r>
        <w:rPr>
          <w:sz w:val="24"/>
          <w:szCs w:val="24"/>
        </w:rPr>
        <w:t>brought it over</w:t>
      </w:r>
      <w:proofErr w:type="gramEnd"/>
      <w:r>
        <w:rPr>
          <w:sz w:val="24"/>
          <w:szCs w:val="24"/>
        </w:rPr>
        <w:t xml:space="preserve"> into the Credit Doc. </w:t>
      </w:r>
    </w:p>
    <w:p w14:paraId="5D25028D" w14:textId="77777777" w:rsidR="0000448F" w:rsidRDefault="0000448F" w:rsidP="001F79BB">
      <w:pPr>
        <w:spacing w:after="0"/>
        <w:rPr>
          <w:sz w:val="24"/>
          <w:szCs w:val="24"/>
        </w:rPr>
      </w:pPr>
    </w:p>
    <w:p w14:paraId="45830FAF" w14:textId="77777777" w:rsidR="0000448F" w:rsidRDefault="00DA49E1" w:rsidP="001F79BB">
      <w:pPr>
        <w:spacing w:after="0"/>
        <w:rPr>
          <w:sz w:val="24"/>
          <w:szCs w:val="24"/>
        </w:rPr>
      </w:pPr>
      <w:r>
        <w:rPr>
          <w:sz w:val="24"/>
          <w:szCs w:val="24"/>
        </w:rPr>
        <w:t xml:space="preserve">That said, the </w:t>
      </w:r>
      <w:r w:rsidR="00D762B5">
        <w:rPr>
          <w:sz w:val="24"/>
          <w:szCs w:val="24"/>
        </w:rPr>
        <w:t xml:space="preserve">NEST process </w:t>
      </w:r>
      <w:r>
        <w:rPr>
          <w:sz w:val="24"/>
          <w:szCs w:val="24"/>
        </w:rPr>
        <w:t xml:space="preserve">was </w:t>
      </w:r>
      <w:r w:rsidR="0000448F">
        <w:rPr>
          <w:sz w:val="24"/>
          <w:szCs w:val="24"/>
        </w:rPr>
        <w:t xml:space="preserve">somewhat limited – it was only </w:t>
      </w:r>
      <w:r>
        <w:rPr>
          <w:sz w:val="24"/>
          <w:szCs w:val="24"/>
        </w:rPr>
        <w:t>designed</w:t>
      </w:r>
      <w:r w:rsidR="00D762B5">
        <w:rPr>
          <w:sz w:val="24"/>
          <w:szCs w:val="24"/>
        </w:rPr>
        <w:t xml:space="preserve"> to evaluate new SCMs </w:t>
      </w:r>
      <w:r w:rsidR="0000448F">
        <w:rPr>
          <w:sz w:val="24"/>
          <w:szCs w:val="24"/>
        </w:rPr>
        <w:t>on new study sites for approval and credit via</w:t>
      </w:r>
      <w:r w:rsidR="00D762B5">
        <w:rPr>
          <w:sz w:val="24"/>
          <w:szCs w:val="24"/>
        </w:rPr>
        <w:t xml:space="preserve"> studies representative of NC conditions</w:t>
      </w:r>
      <w:r w:rsidR="0000448F">
        <w:rPr>
          <w:sz w:val="24"/>
          <w:szCs w:val="24"/>
        </w:rPr>
        <w:t xml:space="preserve">. It didn’t address </w:t>
      </w:r>
      <w:proofErr w:type="gramStart"/>
      <w:r w:rsidR="0000448F">
        <w:rPr>
          <w:sz w:val="24"/>
          <w:szCs w:val="24"/>
        </w:rPr>
        <w:t>making revisions to</w:t>
      </w:r>
      <w:proofErr w:type="gramEnd"/>
      <w:r w:rsidR="0000448F">
        <w:rPr>
          <w:sz w:val="24"/>
          <w:szCs w:val="24"/>
        </w:rPr>
        <w:t xml:space="preserve"> the credit of existing approved SCMs or for using existing study </w:t>
      </w:r>
      <w:r w:rsidR="0000448F">
        <w:rPr>
          <w:sz w:val="24"/>
          <w:szCs w:val="24"/>
        </w:rPr>
        <w:lastRenderedPageBreak/>
        <w:t>data that wasn’t originally used to revise SCM ratings</w:t>
      </w:r>
      <w:r w:rsidR="00D762B5">
        <w:rPr>
          <w:sz w:val="24"/>
          <w:szCs w:val="24"/>
        </w:rPr>
        <w:t xml:space="preserve">. </w:t>
      </w:r>
      <w:proofErr w:type="gramStart"/>
      <w:r w:rsidR="0000448F">
        <w:rPr>
          <w:sz w:val="24"/>
          <w:szCs w:val="24"/>
        </w:rPr>
        <w:t>So</w:t>
      </w:r>
      <w:proofErr w:type="gramEnd"/>
      <w:r w:rsidR="0000448F">
        <w:rPr>
          <w:sz w:val="24"/>
          <w:szCs w:val="24"/>
        </w:rPr>
        <w:t xml:space="preserve"> we needed to revise the approval criteria to apply to both new and revised SCM crediting. </w:t>
      </w:r>
    </w:p>
    <w:p w14:paraId="4E030C32" w14:textId="77777777" w:rsidR="0000448F" w:rsidRDefault="0000448F" w:rsidP="001F79BB">
      <w:pPr>
        <w:spacing w:after="0"/>
        <w:rPr>
          <w:sz w:val="24"/>
          <w:szCs w:val="24"/>
        </w:rPr>
      </w:pPr>
    </w:p>
    <w:p w14:paraId="2A168631" w14:textId="6AA981EA" w:rsidR="00493269" w:rsidRDefault="0000448F" w:rsidP="001F79BB">
      <w:pPr>
        <w:spacing w:after="0"/>
        <w:rPr>
          <w:sz w:val="24"/>
          <w:szCs w:val="24"/>
        </w:rPr>
      </w:pPr>
      <w:r>
        <w:rPr>
          <w:sz w:val="24"/>
          <w:szCs w:val="24"/>
        </w:rPr>
        <w:t>In addition, we saw the need for, and</w:t>
      </w:r>
      <w:r w:rsidR="006333FD">
        <w:rPr>
          <w:sz w:val="24"/>
          <w:szCs w:val="24"/>
        </w:rPr>
        <w:t xml:space="preserve"> in the </w:t>
      </w:r>
      <w:proofErr w:type="gramStart"/>
      <w:r w:rsidR="006333FD">
        <w:rPr>
          <w:sz w:val="24"/>
          <w:szCs w:val="24"/>
        </w:rPr>
        <w:t>Credit</w:t>
      </w:r>
      <w:proofErr w:type="gramEnd"/>
      <w:r w:rsidR="006333FD">
        <w:rPr>
          <w:sz w:val="24"/>
          <w:szCs w:val="24"/>
        </w:rPr>
        <w:t xml:space="preserve"> Doc</w:t>
      </w:r>
      <w:r>
        <w:rPr>
          <w:sz w:val="24"/>
          <w:szCs w:val="24"/>
        </w:rPr>
        <w:t xml:space="preserve"> propose</w:t>
      </w:r>
      <w:r w:rsidR="00CD198E">
        <w:rPr>
          <w:sz w:val="24"/>
          <w:szCs w:val="24"/>
        </w:rPr>
        <w:t xml:space="preserve"> to </w:t>
      </w:r>
      <w:r w:rsidR="009B7986">
        <w:rPr>
          <w:sz w:val="24"/>
          <w:szCs w:val="24"/>
        </w:rPr>
        <w:t>establish</w:t>
      </w:r>
      <w:r w:rsidR="00561B49">
        <w:rPr>
          <w:sz w:val="24"/>
          <w:szCs w:val="24"/>
        </w:rPr>
        <w:t>,</w:t>
      </w:r>
      <w:r w:rsidR="00CD198E">
        <w:rPr>
          <w:sz w:val="24"/>
          <w:szCs w:val="24"/>
        </w:rPr>
        <w:t xml:space="preserve"> provisional minimum design criteria</w:t>
      </w:r>
      <w:r w:rsidR="00493269">
        <w:rPr>
          <w:sz w:val="24"/>
          <w:szCs w:val="24"/>
        </w:rPr>
        <w:t xml:space="preserve"> </w:t>
      </w:r>
      <w:r>
        <w:rPr>
          <w:sz w:val="24"/>
          <w:szCs w:val="24"/>
        </w:rPr>
        <w:t xml:space="preserve">(MDC) and nutrient crediting for practices that don’t meet the </w:t>
      </w:r>
      <w:r w:rsidR="006333FD">
        <w:rPr>
          <w:sz w:val="24"/>
          <w:szCs w:val="24"/>
        </w:rPr>
        <w:t xml:space="preserve">credit </w:t>
      </w:r>
      <w:r>
        <w:rPr>
          <w:sz w:val="24"/>
          <w:szCs w:val="24"/>
        </w:rPr>
        <w:t>approval criteria in one or more ways – e.g. number of studies</w:t>
      </w:r>
      <w:r w:rsidR="006333FD">
        <w:rPr>
          <w:sz w:val="24"/>
          <w:szCs w:val="24"/>
        </w:rPr>
        <w:t xml:space="preserve">, </w:t>
      </w:r>
      <w:r>
        <w:rPr>
          <w:sz w:val="24"/>
          <w:szCs w:val="24"/>
        </w:rPr>
        <w:t xml:space="preserve">number of </w:t>
      </w:r>
      <w:r w:rsidR="006333FD">
        <w:rPr>
          <w:sz w:val="24"/>
          <w:szCs w:val="24"/>
        </w:rPr>
        <w:t xml:space="preserve">storm </w:t>
      </w:r>
      <w:r>
        <w:rPr>
          <w:sz w:val="24"/>
          <w:szCs w:val="24"/>
        </w:rPr>
        <w:t xml:space="preserve">events – but that are either already approved or are worth approving provisionally. </w:t>
      </w:r>
      <w:proofErr w:type="gramStart"/>
      <w:r>
        <w:rPr>
          <w:sz w:val="24"/>
          <w:szCs w:val="24"/>
        </w:rPr>
        <w:t>S</w:t>
      </w:r>
      <w:r w:rsidR="009B7986">
        <w:rPr>
          <w:sz w:val="24"/>
          <w:szCs w:val="24"/>
        </w:rPr>
        <w:t>o</w:t>
      </w:r>
      <w:proofErr w:type="gramEnd"/>
      <w:r w:rsidR="009B7986">
        <w:rPr>
          <w:sz w:val="24"/>
          <w:szCs w:val="24"/>
        </w:rPr>
        <w:t xml:space="preserve"> w</w:t>
      </w:r>
      <w:r w:rsidR="00493269">
        <w:rPr>
          <w:sz w:val="24"/>
          <w:szCs w:val="24"/>
        </w:rPr>
        <w:t xml:space="preserve">e created this secondary </w:t>
      </w:r>
      <w:r w:rsidR="009B7986">
        <w:rPr>
          <w:sz w:val="24"/>
          <w:szCs w:val="24"/>
        </w:rPr>
        <w:t>re</w:t>
      </w:r>
      <w:r w:rsidR="00493269">
        <w:rPr>
          <w:sz w:val="24"/>
          <w:szCs w:val="24"/>
        </w:rPr>
        <w:t xml:space="preserve">evaluation </w:t>
      </w:r>
      <w:r>
        <w:rPr>
          <w:sz w:val="24"/>
          <w:szCs w:val="24"/>
        </w:rPr>
        <w:t>approach</w:t>
      </w:r>
      <w:r>
        <w:rPr>
          <w:sz w:val="24"/>
          <w:szCs w:val="24"/>
        </w:rPr>
        <w:t xml:space="preserve"> and provisional approval standards</w:t>
      </w:r>
      <w:r w:rsidR="00AB3AB0">
        <w:rPr>
          <w:sz w:val="24"/>
          <w:szCs w:val="24"/>
        </w:rPr>
        <w:t xml:space="preserve">. </w:t>
      </w:r>
    </w:p>
    <w:p w14:paraId="1F4549C6" w14:textId="402BF57D" w:rsidR="001D7908" w:rsidRDefault="001D7908" w:rsidP="001F79BB">
      <w:pPr>
        <w:spacing w:after="0"/>
        <w:rPr>
          <w:sz w:val="24"/>
          <w:szCs w:val="24"/>
        </w:rPr>
      </w:pPr>
    </w:p>
    <w:p w14:paraId="1D5C4739" w14:textId="21CA8789" w:rsidR="005F0E0A" w:rsidRDefault="006333FD" w:rsidP="001F79BB">
      <w:pPr>
        <w:spacing w:after="0"/>
        <w:rPr>
          <w:sz w:val="24"/>
          <w:szCs w:val="24"/>
        </w:rPr>
      </w:pPr>
      <w:r>
        <w:rPr>
          <w:sz w:val="24"/>
          <w:szCs w:val="24"/>
        </w:rPr>
        <w:t xml:space="preserve">In building the credit standards proposed here, </w:t>
      </w:r>
      <w:r w:rsidR="00AC0CCA">
        <w:rPr>
          <w:sz w:val="24"/>
          <w:szCs w:val="24"/>
        </w:rPr>
        <w:t xml:space="preserve">DWR </w:t>
      </w:r>
      <w:r>
        <w:rPr>
          <w:sz w:val="24"/>
          <w:szCs w:val="24"/>
        </w:rPr>
        <w:t>obtained</w:t>
      </w:r>
      <w:r w:rsidR="001D7908">
        <w:rPr>
          <w:sz w:val="24"/>
          <w:szCs w:val="24"/>
        </w:rPr>
        <w:t xml:space="preserve"> significant input </w:t>
      </w:r>
      <w:r>
        <w:rPr>
          <w:sz w:val="24"/>
          <w:szCs w:val="24"/>
        </w:rPr>
        <w:t xml:space="preserve">from SMEs </w:t>
      </w:r>
      <w:r w:rsidR="001D7908">
        <w:rPr>
          <w:sz w:val="24"/>
          <w:szCs w:val="24"/>
        </w:rPr>
        <w:t>on study requirements</w:t>
      </w:r>
      <w:r w:rsidR="00AC0CCA">
        <w:rPr>
          <w:sz w:val="24"/>
          <w:szCs w:val="24"/>
        </w:rPr>
        <w:t>. Some requirements pulled directly from the</w:t>
      </w:r>
      <w:r w:rsidR="001D7908">
        <w:rPr>
          <w:sz w:val="24"/>
          <w:szCs w:val="24"/>
        </w:rPr>
        <w:t xml:space="preserve"> </w:t>
      </w:r>
      <w:r w:rsidR="00AC0CCA">
        <w:rPr>
          <w:sz w:val="24"/>
          <w:szCs w:val="24"/>
        </w:rPr>
        <w:t xml:space="preserve">Charlotte-Mecklenburg program, the international BMP database, or through consultation with NCSU. </w:t>
      </w:r>
    </w:p>
    <w:p w14:paraId="3F93651C" w14:textId="77777777" w:rsidR="005F0E0A" w:rsidRDefault="005F0E0A" w:rsidP="001F79BB">
      <w:pPr>
        <w:spacing w:after="0"/>
        <w:rPr>
          <w:sz w:val="24"/>
          <w:szCs w:val="24"/>
        </w:rPr>
      </w:pPr>
    </w:p>
    <w:p w14:paraId="6E89C273" w14:textId="5761B3D5" w:rsidR="00B72A76" w:rsidRPr="00B72A76" w:rsidRDefault="00B72A76" w:rsidP="001F79BB">
      <w:pPr>
        <w:spacing w:after="0"/>
        <w:rPr>
          <w:b/>
          <w:bCs/>
          <w:sz w:val="24"/>
          <w:szCs w:val="24"/>
        </w:rPr>
      </w:pPr>
      <w:r>
        <w:rPr>
          <w:b/>
          <w:bCs/>
          <w:sz w:val="24"/>
          <w:szCs w:val="24"/>
        </w:rPr>
        <w:t xml:space="preserve">Study </w:t>
      </w:r>
      <w:r w:rsidR="006E0491" w:rsidRPr="00B72A76">
        <w:rPr>
          <w:b/>
          <w:bCs/>
          <w:sz w:val="24"/>
          <w:szCs w:val="24"/>
        </w:rPr>
        <w:t>Requirements</w:t>
      </w:r>
    </w:p>
    <w:p w14:paraId="7D0791F8" w14:textId="5C3DD40D" w:rsidR="00AC0CCA" w:rsidRDefault="006333FD" w:rsidP="001F79BB">
      <w:pPr>
        <w:spacing w:after="0"/>
        <w:rPr>
          <w:sz w:val="24"/>
          <w:szCs w:val="24"/>
        </w:rPr>
      </w:pPr>
      <w:r>
        <w:rPr>
          <w:sz w:val="24"/>
          <w:szCs w:val="24"/>
        </w:rPr>
        <w:t>As proposed here, t</w:t>
      </w:r>
      <w:r w:rsidR="00B544F9">
        <w:rPr>
          <w:sz w:val="24"/>
          <w:szCs w:val="24"/>
        </w:rPr>
        <w:t>here must be one study done in NC</w:t>
      </w:r>
      <w:r w:rsidR="00F3504D">
        <w:rPr>
          <w:sz w:val="24"/>
          <w:szCs w:val="24"/>
        </w:rPr>
        <w:t>, and other studies must be</w:t>
      </w:r>
      <w:r w:rsidR="003265AA">
        <w:rPr>
          <w:sz w:val="24"/>
          <w:szCs w:val="24"/>
        </w:rPr>
        <w:t xml:space="preserve"> done</w:t>
      </w:r>
      <w:r w:rsidR="00F3504D">
        <w:rPr>
          <w:sz w:val="24"/>
          <w:szCs w:val="24"/>
        </w:rPr>
        <w:t xml:space="preserve"> in a</w:t>
      </w:r>
      <w:r w:rsidR="007714B8">
        <w:rPr>
          <w:sz w:val="24"/>
          <w:szCs w:val="24"/>
        </w:rPr>
        <w:t>n</w:t>
      </w:r>
      <w:r w:rsidR="00F3504D">
        <w:rPr>
          <w:sz w:val="24"/>
          <w:szCs w:val="24"/>
        </w:rPr>
        <w:t xml:space="preserve"> </w:t>
      </w:r>
      <w:proofErr w:type="spellStart"/>
      <w:r w:rsidR="00F3504D">
        <w:rPr>
          <w:sz w:val="24"/>
          <w:szCs w:val="24"/>
        </w:rPr>
        <w:t>Omernik</w:t>
      </w:r>
      <w:proofErr w:type="spellEnd"/>
      <w:r w:rsidR="00F3504D">
        <w:rPr>
          <w:sz w:val="24"/>
          <w:szCs w:val="24"/>
        </w:rPr>
        <w:t xml:space="preserve"> level 3 ecoregion and USDA plant hardiness zone in common with NC</w:t>
      </w:r>
      <w:r w:rsidR="00B22E47">
        <w:rPr>
          <w:sz w:val="24"/>
          <w:szCs w:val="24"/>
        </w:rPr>
        <w:t>, as well as average annual rainfall comparable to any major population center in NC. There must be a minimum of two studies for initial</w:t>
      </w:r>
      <w:r w:rsidR="00561B49">
        <w:rPr>
          <w:sz w:val="24"/>
          <w:szCs w:val="24"/>
        </w:rPr>
        <w:t xml:space="preserve">/provisional </w:t>
      </w:r>
      <w:r w:rsidR="00B22E47">
        <w:rPr>
          <w:sz w:val="24"/>
          <w:szCs w:val="24"/>
        </w:rPr>
        <w:t xml:space="preserve">approval; four studies </w:t>
      </w:r>
      <w:proofErr w:type="gramStart"/>
      <w:r w:rsidR="00B22E47">
        <w:rPr>
          <w:sz w:val="24"/>
          <w:szCs w:val="24"/>
        </w:rPr>
        <w:t>is</w:t>
      </w:r>
      <w:proofErr w:type="gramEnd"/>
      <w:r w:rsidR="00B22E47">
        <w:rPr>
          <w:sz w:val="24"/>
          <w:szCs w:val="24"/>
        </w:rPr>
        <w:t xml:space="preserve"> </w:t>
      </w:r>
      <w:r w:rsidR="00B5321F">
        <w:rPr>
          <w:sz w:val="24"/>
          <w:szCs w:val="24"/>
        </w:rPr>
        <w:t>more favorable</w:t>
      </w:r>
      <w:r w:rsidR="00561B49">
        <w:rPr>
          <w:sz w:val="24"/>
          <w:szCs w:val="24"/>
        </w:rPr>
        <w:t xml:space="preserve"> and needed for full approval as proposed</w:t>
      </w:r>
      <w:r w:rsidR="00B22E47">
        <w:rPr>
          <w:sz w:val="24"/>
          <w:szCs w:val="24"/>
        </w:rPr>
        <w:t>.</w:t>
      </w:r>
      <w:r w:rsidR="009724B9">
        <w:rPr>
          <w:sz w:val="24"/>
          <w:szCs w:val="24"/>
        </w:rPr>
        <w:t xml:space="preserve"> The monitoring should now be for a </w:t>
      </w:r>
      <w:proofErr w:type="gramStart"/>
      <w:r w:rsidR="009724B9">
        <w:rPr>
          <w:sz w:val="24"/>
          <w:szCs w:val="24"/>
        </w:rPr>
        <w:t>two year</w:t>
      </w:r>
      <w:proofErr w:type="gramEnd"/>
      <w:r w:rsidR="009724B9">
        <w:rPr>
          <w:sz w:val="24"/>
          <w:szCs w:val="24"/>
        </w:rPr>
        <w:t xml:space="preserve"> period (still for a minimum of 15 storm events.)</w:t>
      </w:r>
      <w:r w:rsidR="006461F6">
        <w:rPr>
          <w:sz w:val="24"/>
          <w:szCs w:val="24"/>
        </w:rPr>
        <w:t xml:space="preserve"> R</w:t>
      </w:r>
      <w:r w:rsidR="00DE629E">
        <w:rPr>
          <w:sz w:val="24"/>
          <w:szCs w:val="24"/>
        </w:rPr>
        <w:t>equired i</w:t>
      </w:r>
      <w:r w:rsidR="00705BF3">
        <w:rPr>
          <w:sz w:val="24"/>
          <w:szCs w:val="24"/>
        </w:rPr>
        <w:t xml:space="preserve">nfluent concentrations </w:t>
      </w:r>
      <w:r w:rsidR="00DE629E">
        <w:rPr>
          <w:sz w:val="24"/>
          <w:szCs w:val="24"/>
        </w:rPr>
        <w:t xml:space="preserve">for evaluation of nutrient reduction performance </w:t>
      </w:r>
      <w:r w:rsidR="00705BF3">
        <w:rPr>
          <w:sz w:val="24"/>
          <w:szCs w:val="24"/>
        </w:rPr>
        <w:t>are clarified</w:t>
      </w:r>
      <w:r w:rsidR="00DE629E">
        <w:rPr>
          <w:sz w:val="24"/>
          <w:szCs w:val="24"/>
        </w:rPr>
        <w:t xml:space="preserve"> in the document.</w:t>
      </w:r>
    </w:p>
    <w:p w14:paraId="03E0463C" w14:textId="4DF32318" w:rsidR="00DE629E" w:rsidRDefault="00DE629E" w:rsidP="001F79BB">
      <w:pPr>
        <w:spacing w:after="0"/>
        <w:rPr>
          <w:sz w:val="24"/>
          <w:szCs w:val="24"/>
        </w:rPr>
      </w:pPr>
    </w:p>
    <w:p w14:paraId="03963702" w14:textId="7DFA6A0F" w:rsidR="00DE629E" w:rsidRDefault="001F5A3D" w:rsidP="001F79BB">
      <w:pPr>
        <w:spacing w:after="0"/>
        <w:rPr>
          <w:sz w:val="24"/>
          <w:szCs w:val="24"/>
        </w:rPr>
      </w:pPr>
      <w:r>
        <w:rPr>
          <w:sz w:val="24"/>
          <w:szCs w:val="24"/>
        </w:rPr>
        <w:t>Andy</w:t>
      </w:r>
      <w:r w:rsidR="006C4188">
        <w:rPr>
          <w:sz w:val="24"/>
          <w:szCs w:val="24"/>
        </w:rPr>
        <w:t xml:space="preserve"> McDaniel:</w:t>
      </w:r>
      <w:r>
        <w:rPr>
          <w:sz w:val="24"/>
          <w:szCs w:val="24"/>
        </w:rPr>
        <w:t xml:space="preserve"> Why didn’t you include studies from </w:t>
      </w:r>
      <w:r w:rsidR="006C4188">
        <w:rPr>
          <w:sz w:val="24"/>
          <w:szCs w:val="24"/>
        </w:rPr>
        <w:t>OR and WA</w:t>
      </w:r>
      <w:r>
        <w:rPr>
          <w:sz w:val="24"/>
          <w:szCs w:val="24"/>
        </w:rPr>
        <w:t>?</w:t>
      </w:r>
    </w:p>
    <w:p w14:paraId="3DB0058D" w14:textId="21B94D79" w:rsidR="001F5A3D" w:rsidRDefault="001F5A3D" w:rsidP="00541654">
      <w:pPr>
        <w:spacing w:after="0"/>
        <w:ind w:left="720"/>
        <w:rPr>
          <w:sz w:val="24"/>
          <w:szCs w:val="24"/>
        </w:rPr>
      </w:pPr>
      <w:r>
        <w:rPr>
          <w:sz w:val="24"/>
          <w:szCs w:val="24"/>
        </w:rPr>
        <w:t xml:space="preserve">Trish: Their rainfall patterns and soils are </w:t>
      </w:r>
      <w:r w:rsidR="006C4188">
        <w:rPr>
          <w:sz w:val="24"/>
          <w:szCs w:val="24"/>
        </w:rPr>
        <w:t>very</w:t>
      </w:r>
      <w:r>
        <w:rPr>
          <w:sz w:val="24"/>
          <w:szCs w:val="24"/>
        </w:rPr>
        <w:t xml:space="preserve"> different from here. </w:t>
      </w:r>
      <w:r w:rsidR="00725578">
        <w:rPr>
          <w:sz w:val="24"/>
          <w:szCs w:val="24"/>
        </w:rPr>
        <w:t xml:space="preserve">On the west </w:t>
      </w:r>
      <w:r w:rsidR="00561B49">
        <w:rPr>
          <w:sz w:val="24"/>
          <w:szCs w:val="24"/>
        </w:rPr>
        <w:t>side of those states</w:t>
      </w:r>
      <w:r w:rsidR="00725578">
        <w:rPr>
          <w:sz w:val="24"/>
          <w:szCs w:val="24"/>
        </w:rPr>
        <w:t xml:space="preserve">, </w:t>
      </w:r>
      <w:r w:rsidR="006C4188">
        <w:rPr>
          <w:sz w:val="24"/>
          <w:szCs w:val="24"/>
        </w:rPr>
        <w:t xml:space="preserve">there is </w:t>
      </w:r>
      <w:r w:rsidR="00725578">
        <w:rPr>
          <w:sz w:val="24"/>
          <w:szCs w:val="24"/>
        </w:rPr>
        <w:t>c</w:t>
      </w:r>
      <w:r>
        <w:rPr>
          <w:sz w:val="24"/>
          <w:szCs w:val="24"/>
        </w:rPr>
        <w:t xml:space="preserve">onstant </w:t>
      </w:r>
      <w:r w:rsidR="00561B49">
        <w:rPr>
          <w:sz w:val="24"/>
          <w:szCs w:val="24"/>
        </w:rPr>
        <w:t xml:space="preserve">gentle </w:t>
      </w:r>
      <w:r>
        <w:rPr>
          <w:sz w:val="24"/>
          <w:szCs w:val="24"/>
        </w:rPr>
        <w:t>rain from October to March</w:t>
      </w:r>
      <w:r w:rsidR="006C4188">
        <w:rPr>
          <w:sz w:val="24"/>
          <w:szCs w:val="24"/>
        </w:rPr>
        <w:t>. This rainfall pattern</w:t>
      </w:r>
      <w:r>
        <w:rPr>
          <w:sz w:val="24"/>
          <w:szCs w:val="24"/>
        </w:rPr>
        <w:t xml:space="preserve"> may favor different biological activity in SCMs where that is relevant to treatment.</w:t>
      </w:r>
      <w:r w:rsidR="00725578">
        <w:rPr>
          <w:sz w:val="24"/>
          <w:szCs w:val="24"/>
        </w:rPr>
        <w:t xml:space="preserve"> On the east side, it’s desert.</w:t>
      </w:r>
      <w:r w:rsidR="006C4188">
        <w:rPr>
          <w:sz w:val="24"/>
          <w:szCs w:val="24"/>
        </w:rPr>
        <w:t xml:space="preserve"> </w:t>
      </w:r>
      <w:r w:rsidR="009B7986">
        <w:rPr>
          <w:sz w:val="24"/>
          <w:szCs w:val="24"/>
        </w:rPr>
        <w:t>In the west, t</w:t>
      </w:r>
      <w:r w:rsidR="006C4188">
        <w:rPr>
          <w:sz w:val="24"/>
          <w:szCs w:val="24"/>
        </w:rPr>
        <w:t>hey also have very fertile volcanic soils</w:t>
      </w:r>
      <w:r w:rsidR="003C5010">
        <w:rPr>
          <w:sz w:val="24"/>
          <w:szCs w:val="24"/>
        </w:rPr>
        <w:t>, different from ours.</w:t>
      </w:r>
    </w:p>
    <w:p w14:paraId="662F3A0B" w14:textId="77777777" w:rsidR="003C5010" w:rsidRDefault="003C5010" w:rsidP="001F79BB">
      <w:pPr>
        <w:spacing w:after="0"/>
        <w:rPr>
          <w:sz w:val="24"/>
          <w:szCs w:val="24"/>
        </w:rPr>
      </w:pPr>
    </w:p>
    <w:p w14:paraId="67419015" w14:textId="179F35BF" w:rsidR="00725578" w:rsidRDefault="00725578" w:rsidP="001F79BB">
      <w:pPr>
        <w:spacing w:after="0"/>
        <w:rPr>
          <w:sz w:val="24"/>
          <w:szCs w:val="24"/>
        </w:rPr>
      </w:pPr>
      <w:r>
        <w:rPr>
          <w:sz w:val="24"/>
          <w:szCs w:val="24"/>
        </w:rPr>
        <w:t>Sally</w:t>
      </w:r>
      <w:r w:rsidR="003C5010">
        <w:rPr>
          <w:sz w:val="24"/>
          <w:szCs w:val="24"/>
        </w:rPr>
        <w:t xml:space="preserve"> Hoyt</w:t>
      </w:r>
      <w:r>
        <w:rPr>
          <w:sz w:val="24"/>
          <w:szCs w:val="24"/>
        </w:rPr>
        <w:t xml:space="preserve">: Why </w:t>
      </w:r>
      <w:r w:rsidR="00CC6715">
        <w:rPr>
          <w:sz w:val="24"/>
          <w:szCs w:val="24"/>
        </w:rPr>
        <w:t>is there a requirement for one study to be in NC?</w:t>
      </w:r>
    </w:p>
    <w:p w14:paraId="0FDE85F7" w14:textId="7D0566B9" w:rsidR="00CC6715" w:rsidRDefault="00CC6715" w:rsidP="00541654">
      <w:pPr>
        <w:spacing w:after="0"/>
        <w:ind w:left="720"/>
        <w:rPr>
          <w:sz w:val="24"/>
          <w:szCs w:val="24"/>
        </w:rPr>
      </w:pPr>
      <w:r>
        <w:rPr>
          <w:sz w:val="24"/>
          <w:szCs w:val="24"/>
        </w:rPr>
        <w:t xml:space="preserve">Trish: </w:t>
      </w:r>
      <w:r w:rsidR="003C5010">
        <w:rPr>
          <w:sz w:val="24"/>
          <w:szCs w:val="24"/>
        </w:rPr>
        <w:t>DEMLR</w:t>
      </w:r>
      <w:r>
        <w:rPr>
          <w:sz w:val="24"/>
          <w:szCs w:val="24"/>
        </w:rPr>
        <w:t xml:space="preserve"> reviewed it </w:t>
      </w:r>
      <w:r w:rsidR="00EA2F69">
        <w:rPr>
          <w:sz w:val="24"/>
          <w:szCs w:val="24"/>
        </w:rPr>
        <w:t xml:space="preserve">and thought it was important to retain this requirement. </w:t>
      </w:r>
    </w:p>
    <w:p w14:paraId="414DF6E5" w14:textId="5962BFA5" w:rsidR="003C5010" w:rsidRDefault="003C5010" w:rsidP="00541654">
      <w:pPr>
        <w:spacing w:after="0"/>
        <w:ind w:left="720"/>
        <w:rPr>
          <w:sz w:val="24"/>
          <w:szCs w:val="24"/>
        </w:rPr>
      </w:pPr>
      <w:r>
        <w:rPr>
          <w:sz w:val="24"/>
          <w:szCs w:val="24"/>
        </w:rPr>
        <w:t xml:space="preserve">Sally: </w:t>
      </w:r>
      <w:r w:rsidR="003C2F1D">
        <w:rPr>
          <w:sz w:val="24"/>
          <w:szCs w:val="24"/>
        </w:rPr>
        <w:t>P</w:t>
      </w:r>
      <w:r w:rsidR="003C2F1D" w:rsidRPr="003C2F1D">
        <w:rPr>
          <w:sz w:val="24"/>
          <w:szCs w:val="24"/>
        </w:rPr>
        <w:t xml:space="preserve">olitical boundaries </w:t>
      </w:r>
      <w:r w:rsidR="003C2F1D">
        <w:rPr>
          <w:sz w:val="24"/>
          <w:szCs w:val="24"/>
        </w:rPr>
        <w:t xml:space="preserve">are </w:t>
      </w:r>
      <w:r w:rsidR="003C2F1D" w:rsidRPr="003C2F1D">
        <w:rPr>
          <w:sz w:val="24"/>
          <w:szCs w:val="24"/>
        </w:rPr>
        <w:t>an artificial distinction impeding use of potentially good studies.</w:t>
      </w:r>
    </w:p>
    <w:p w14:paraId="3C5EF116" w14:textId="42BF81EB" w:rsidR="009B7986" w:rsidRDefault="009B7986" w:rsidP="00541654">
      <w:pPr>
        <w:spacing w:after="0"/>
        <w:ind w:left="720"/>
        <w:rPr>
          <w:sz w:val="24"/>
          <w:szCs w:val="24"/>
        </w:rPr>
      </w:pPr>
      <w:r>
        <w:rPr>
          <w:sz w:val="24"/>
          <w:szCs w:val="24"/>
        </w:rPr>
        <w:t>Trish: encourage you to submit that comment, we’ll consider it.</w:t>
      </w:r>
    </w:p>
    <w:p w14:paraId="7881525A" w14:textId="42882AA7" w:rsidR="00EA2F69" w:rsidRDefault="00EA2F69" w:rsidP="001F79BB">
      <w:pPr>
        <w:spacing w:after="0"/>
        <w:rPr>
          <w:sz w:val="24"/>
          <w:szCs w:val="24"/>
        </w:rPr>
      </w:pPr>
    </w:p>
    <w:p w14:paraId="7CD920A1" w14:textId="1875207B" w:rsidR="00EA2F69" w:rsidRDefault="00EA2F69" w:rsidP="001F79BB">
      <w:pPr>
        <w:spacing w:after="0"/>
        <w:rPr>
          <w:sz w:val="24"/>
          <w:szCs w:val="24"/>
        </w:rPr>
      </w:pPr>
      <w:r>
        <w:rPr>
          <w:sz w:val="24"/>
          <w:szCs w:val="24"/>
        </w:rPr>
        <w:t>Annette: If someone had equipment that could continuously monitor</w:t>
      </w:r>
      <w:r w:rsidR="00D27ABD">
        <w:rPr>
          <w:sz w:val="24"/>
          <w:szCs w:val="24"/>
        </w:rPr>
        <w:t xml:space="preserve"> nutrients</w:t>
      </w:r>
      <w:r w:rsidR="003C2F1D">
        <w:rPr>
          <w:sz w:val="24"/>
          <w:szCs w:val="24"/>
        </w:rPr>
        <w:t xml:space="preserve"> and analyze onsite, could</w:t>
      </w:r>
      <w:r w:rsidR="00D27ABD">
        <w:rPr>
          <w:sz w:val="24"/>
          <w:szCs w:val="24"/>
        </w:rPr>
        <w:t xml:space="preserve"> that be incorporated?</w:t>
      </w:r>
    </w:p>
    <w:p w14:paraId="230A334B" w14:textId="1AD6F0C5" w:rsidR="00D27ABD" w:rsidRDefault="00D27ABD" w:rsidP="00541654">
      <w:pPr>
        <w:spacing w:after="0"/>
        <w:ind w:left="720"/>
        <w:rPr>
          <w:sz w:val="24"/>
          <w:szCs w:val="24"/>
        </w:rPr>
      </w:pPr>
      <w:r>
        <w:rPr>
          <w:sz w:val="24"/>
          <w:szCs w:val="24"/>
        </w:rPr>
        <w:t xml:space="preserve">Trish: </w:t>
      </w:r>
      <w:r w:rsidR="005931BD">
        <w:rPr>
          <w:sz w:val="24"/>
          <w:szCs w:val="24"/>
        </w:rPr>
        <w:t>I d</w:t>
      </w:r>
      <w:r w:rsidR="005931BD" w:rsidRPr="005931BD">
        <w:rPr>
          <w:sz w:val="24"/>
          <w:szCs w:val="24"/>
        </w:rPr>
        <w:t>on’t think technology exists yet to accurately analyze constituents continuously.</w:t>
      </w:r>
      <w:r w:rsidR="005931BD">
        <w:rPr>
          <w:sz w:val="24"/>
          <w:szCs w:val="24"/>
        </w:rPr>
        <w:t xml:space="preserve"> </w:t>
      </w:r>
      <w:r w:rsidR="00A0270C">
        <w:rPr>
          <w:sz w:val="24"/>
          <w:szCs w:val="24"/>
        </w:rPr>
        <w:t>For TSS, you might be able to use turbidity, but USGS folks don’t think those necessarily overlap all the time.</w:t>
      </w:r>
    </w:p>
    <w:p w14:paraId="67C02C38" w14:textId="1C0179F4" w:rsidR="00B73DE4" w:rsidRDefault="00B73DE4" w:rsidP="001F79BB">
      <w:pPr>
        <w:spacing w:after="0"/>
        <w:rPr>
          <w:sz w:val="24"/>
          <w:szCs w:val="24"/>
        </w:rPr>
      </w:pPr>
    </w:p>
    <w:p w14:paraId="7FB04B9F" w14:textId="5A0BBEF9" w:rsidR="000B4B43" w:rsidRDefault="000B4B43" w:rsidP="001F79BB">
      <w:pPr>
        <w:spacing w:after="0"/>
        <w:rPr>
          <w:sz w:val="24"/>
          <w:szCs w:val="24"/>
        </w:rPr>
      </w:pPr>
      <w:r>
        <w:rPr>
          <w:sz w:val="24"/>
          <w:szCs w:val="24"/>
        </w:rPr>
        <w:lastRenderedPageBreak/>
        <w:t xml:space="preserve">JV: Why the 6-hour </w:t>
      </w:r>
      <w:r w:rsidR="00A94537">
        <w:t>antecedent drying requirement?</w:t>
      </w:r>
    </w:p>
    <w:p w14:paraId="4CB302ED" w14:textId="0E19276E" w:rsidR="000B4B43" w:rsidRDefault="000B4B43" w:rsidP="00541654">
      <w:pPr>
        <w:spacing w:after="0"/>
        <w:ind w:left="720"/>
        <w:rPr>
          <w:sz w:val="24"/>
          <w:szCs w:val="24"/>
        </w:rPr>
      </w:pPr>
      <w:r>
        <w:rPr>
          <w:sz w:val="24"/>
          <w:szCs w:val="24"/>
        </w:rPr>
        <w:t xml:space="preserve">Trish: On the guidance of Bill Hunt; this is standard practice. You can send us the comment and </w:t>
      </w:r>
      <w:r w:rsidR="00812840">
        <w:rPr>
          <w:sz w:val="24"/>
          <w:szCs w:val="24"/>
        </w:rPr>
        <w:t>we can answer it.</w:t>
      </w:r>
    </w:p>
    <w:p w14:paraId="760A62E7" w14:textId="07811DC0" w:rsidR="00812840" w:rsidRDefault="00812840" w:rsidP="001F79BB">
      <w:pPr>
        <w:spacing w:after="0"/>
        <w:rPr>
          <w:sz w:val="24"/>
          <w:szCs w:val="24"/>
        </w:rPr>
      </w:pPr>
    </w:p>
    <w:p w14:paraId="0229544A" w14:textId="499F1495" w:rsidR="00BB67B3" w:rsidRPr="00E462C1" w:rsidRDefault="00B72A76" w:rsidP="00E462C1">
      <w:pPr>
        <w:spacing w:after="0"/>
        <w:rPr>
          <w:b/>
          <w:bCs/>
          <w:sz w:val="24"/>
          <w:szCs w:val="24"/>
        </w:rPr>
      </w:pPr>
      <w:r>
        <w:rPr>
          <w:b/>
          <w:bCs/>
          <w:sz w:val="24"/>
          <w:szCs w:val="24"/>
        </w:rPr>
        <w:t>Study</w:t>
      </w:r>
      <w:r w:rsidR="00C4683D">
        <w:rPr>
          <w:b/>
          <w:bCs/>
          <w:sz w:val="24"/>
          <w:szCs w:val="24"/>
        </w:rPr>
        <w:t xml:space="preserve"> D</w:t>
      </w:r>
      <w:r w:rsidR="00812840" w:rsidRPr="00E462C1">
        <w:rPr>
          <w:b/>
          <w:bCs/>
          <w:sz w:val="24"/>
          <w:szCs w:val="24"/>
        </w:rPr>
        <w:t xml:space="preserve">ata </w:t>
      </w:r>
      <w:r w:rsidR="00C4683D" w:rsidRPr="00E462C1">
        <w:rPr>
          <w:b/>
          <w:bCs/>
          <w:sz w:val="24"/>
          <w:szCs w:val="24"/>
        </w:rPr>
        <w:t xml:space="preserve">and Report </w:t>
      </w:r>
      <w:r w:rsidR="00C4683D">
        <w:rPr>
          <w:b/>
          <w:bCs/>
          <w:sz w:val="24"/>
          <w:szCs w:val="24"/>
        </w:rPr>
        <w:t>S</w:t>
      </w:r>
      <w:r w:rsidR="00812840" w:rsidRPr="00E462C1">
        <w:rPr>
          <w:b/>
          <w:bCs/>
          <w:sz w:val="24"/>
          <w:szCs w:val="24"/>
        </w:rPr>
        <w:t>ubmittal</w:t>
      </w:r>
      <w:r w:rsidR="00E462C1" w:rsidRPr="00E462C1">
        <w:rPr>
          <w:b/>
          <w:bCs/>
          <w:sz w:val="24"/>
          <w:szCs w:val="24"/>
        </w:rPr>
        <w:t xml:space="preserve"> </w:t>
      </w:r>
      <w:r w:rsidR="00C4683D">
        <w:rPr>
          <w:b/>
          <w:bCs/>
          <w:sz w:val="24"/>
          <w:szCs w:val="24"/>
        </w:rPr>
        <w:t>R</w:t>
      </w:r>
      <w:r w:rsidR="00BB67B3" w:rsidRPr="00E462C1">
        <w:rPr>
          <w:b/>
          <w:bCs/>
          <w:sz w:val="24"/>
          <w:szCs w:val="24"/>
        </w:rPr>
        <w:t>equirements</w:t>
      </w:r>
    </w:p>
    <w:p w14:paraId="710019FE" w14:textId="799BFF1F" w:rsidR="00BB67B3" w:rsidRDefault="00BB67B3" w:rsidP="001F79BB">
      <w:pPr>
        <w:spacing w:after="0"/>
        <w:rPr>
          <w:sz w:val="24"/>
          <w:szCs w:val="24"/>
        </w:rPr>
      </w:pPr>
      <w:r>
        <w:rPr>
          <w:sz w:val="24"/>
          <w:szCs w:val="24"/>
        </w:rPr>
        <w:t>Working with NCSU to generate one consistent file system</w:t>
      </w:r>
      <w:r w:rsidR="004737F3">
        <w:rPr>
          <w:sz w:val="24"/>
          <w:szCs w:val="24"/>
        </w:rPr>
        <w:t xml:space="preserve">. </w:t>
      </w:r>
      <w:r w:rsidR="00C4683D">
        <w:rPr>
          <w:sz w:val="24"/>
          <w:szCs w:val="24"/>
        </w:rPr>
        <w:t>We are recommending</w:t>
      </w:r>
      <w:r w:rsidR="004737F3">
        <w:rPr>
          <w:sz w:val="24"/>
          <w:szCs w:val="24"/>
        </w:rPr>
        <w:t xml:space="preserve"> use of </w:t>
      </w:r>
      <w:r w:rsidR="00C4683D">
        <w:rPr>
          <w:sz w:val="24"/>
          <w:szCs w:val="24"/>
        </w:rPr>
        <w:t>I</w:t>
      </w:r>
      <w:r w:rsidR="004737F3">
        <w:rPr>
          <w:sz w:val="24"/>
          <w:szCs w:val="24"/>
        </w:rPr>
        <w:t xml:space="preserve">nternational BMP </w:t>
      </w:r>
      <w:r w:rsidR="00C4683D">
        <w:rPr>
          <w:sz w:val="24"/>
          <w:szCs w:val="24"/>
        </w:rPr>
        <w:t>D</w:t>
      </w:r>
      <w:r w:rsidR="004737F3">
        <w:rPr>
          <w:sz w:val="24"/>
          <w:szCs w:val="24"/>
        </w:rPr>
        <w:t>atabase</w:t>
      </w:r>
      <w:r w:rsidR="00C4683D">
        <w:rPr>
          <w:sz w:val="24"/>
          <w:szCs w:val="24"/>
        </w:rPr>
        <w:t xml:space="preserve"> data submittal spreadsheet form</w:t>
      </w:r>
      <w:r w:rsidR="00755B53">
        <w:rPr>
          <w:sz w:val="24"/>
          <w:szCs w:val="24"/>
        </w:rPr>
        <w:t xml:space="preserve">. </w:t>
      </w:r>
      <w:r w:rsidR="00650866">
        <w:rPr>
          <w:sz w:val="24"/>
          <w:szCs w:val="24"/>
        </w:rPr>
        <w:t xml:space="preserve">Essential </w:t>
      </w:r>
      <w:r w:rsidR="00C4683D">
        <w:rPr>
          <w:sz w:val="24"/>
          <w:szCs w:val="24"/>
        </w:rPr>
        <w:t xml:space="preserve">as part of that </w:t>
      </w:r>
      <w:r w:rsidR="00650866">
        <w:rPr>
          <w:sz w:val="24"/>
          <w:szCs w:val="24"/>
        </w:rPr>
        <w:t xml:space="preserve">to </w:t>
      </w:r>
      <w:r w:rsidR="00954288">
        <w:rPr>
          <w:sz w:val="24"/>
          <w:szCs w:val="24"/>
        </w:rPr>
        <w:t>characterize maintenance</w:t>
      </w:r>
      <w:r w:rsidR="00E462C1">
        <w:rPr>
          <w:sz w:val="24"/>
          <w:szCs w:val="24"/>
        </w:rPr>
        <w:t xml:space="preserve"> you have </w:t>
      </w:r>
      <w:proofErr w:type="gramStart"/>
      <w:r w:rsidR="00E462C1">
        <w:rPr>
          <w:sz w:val="24"/>
          <w:szCs w:val="24"/>
        </w:rPr>
        <w:t>actually done</w:t>
      </w:r>
      <w:proofErr w:type="gramEnd"/>
      <w:r w:rsidR="00C4683D">
        <w:rPr>
          <w:sz w:val="24"/>
          <w:szCs w:val="24"/>
        </w:rPr>
        <w:t xml:space="preserve"> on the studied practice</w:t>
      </w:r>
      <w:r w:rsidR="00E462C1">
        <w:rPr>
          <w:sz w:val="24"/>
          <w:szCs w:val="24"/>
        </w:rPr>
        <w:t>.</w:t>
      </w:r>
    </w:p>
    <w:p w14:paraId="44E60FE1" w14:textId="48FC0062" w:rsidR="00E462C1" w:rsidRDefault="00E462C1" w:rsidP="001F79BB">
      <w:pPr>
        <w:spacing w:after="0"/>
        <w:rPr>
          <w:sz w:val="24"/>
          <w:szCs w:val="24"/>
        </w:rPr>
      </w:pPr>
    </w:p>
    <w:p w14:paraId="621A3F33" w14:textId="2829C043" w:rsidR="00E462C1" w:rsidRPr="00C4683D" w:rsidRDefault="00E462C1" w:rsidP="00561B49">
      <w:pPr>
        <w:rPr>
          <w:b/>
          <w:bCs/>
          <w:sz w:val="24"/>
          <w:szCs w:val="24"/>
        </w:rPr>
      </w:pPr>
      <w:r w:rsidRPr="00C4683D">
        <w:rPr>
          <w:b/>
          <w:bCs/>
          <w:sz w:val="24"/>
          <w:szCs w:val="24"/>
        </w:rPr>
        <w:t>Review/</w:t>
      </w:r>
      <w:r w:rsidR="00C4683D" w:rsidRPr="00C4683D">
        <w:rPr>
          <w:b/>
          <w:bCs/>
          <w:sz w:val="24"/>
          <w:szCs w:val="24"/>
        </w:rPr>
        <w:t>A</w:t>
      </w:r>
      <w:r w:rsidRPr="00C4683D">
        <w:rPr>
          <w:b/>
          <w:bCs/>
          <w:sz w:val="24"/>
          <w:szCs w:val="24"/>
        </w:rPr>
        <w:t>pproval process</w:t>
      </w:r>
    </w:p>
    <w:p w14:paraId="06A77AAF" w14:textId="179A9447" w:rsidR="00E462C1" w:rsidRPr="00C4683D" w:rsidRDefault="00447C7F" w:rsidP="00D35686">
      <w:pPr>
        <w:pStyle w:val="ListParagraph"/>
        <w:numPr>
          <w:ilvl w:val="0"/>
          <w:numId w:val="4"/>
        </w:numPr>
        <w:spacing w:after="0"/>
        <w:rPr>
          <w:b/>
          <w:bCs/>
          <w:sz w:val="24"/>
          <w:szCs w:val="24"/>
        </w:rPr>
      </w:pPr>
      <w:r w:rsidRPr="00C4683D">
        <w:rPr>
          <w:b/>
          <w:bCs/>
          <w:sz w:val="24"/>
          <w:szCs w:val="24"/>
        </w:rPr>
        <w:t>QAPP</w:t>
      </w:r>
      <w:r w:rsidR="00D35686" w:rsidRPr="00C4683D">
        <w:rPr>
          <w:b/>
          <w:bCs/>
          <w:sz w:val="24"/>
          <w:szCs w:val="24"/>
        </w:rPr>
        <w:t xml:space="preserve"> approved</w:t>
      </w:r>
    </w:p>
    <w:p w14:paraId="0D28AA1F" w14:textId="67D9F921" w:rsidR="00447C7F" w:rsidRPr="00C4683D" w:rsidRDefault="00447C7F" w:rsidP="00D35686">
      <w:pPr>
        <w:pStyle w:val="ListParagraph"/>
        <w:numPr>
          <w:ilvl w:val="0"/>
          <w:numId w:val="4"/>
        </w:numPr>
        <w:spacing w:after="0"/>
        <w:rPr>
          <w:b/>
          <w:bCs/>
          <w:sz w:val="24"/>
          <w:szCs w:val="24"/>
        </w:rPr>
      </w:pPr>
      <w:r w:rsidRPr="00C4683D">
        <w:rPr>
          <w:b/>
          <w:bCs/>
          <w:sz w:val="24"/>
          <w:szCs w:val="24"/>
        </w:rPr>
        <w:t xml:space="preserve">Proposed </w:t>
      </w:r>
      <w:r w:rsidR="00541654">
        <w:rPr>
          <w:b/>
          <w:bCs/>
          <w:sz w:val="24"/>
          <w:szCs w:val="24"/>
        </w:rPr>
        <w:t>M</w:t>
      </w:r>
      <w:r w:rsidRPr="00C4683D">
        <w:rPr>
          <w:b/>
          <w:bCs/>
          <w:sz w:val="24"/>
          <w:szCs w:val="24"/>
        </w:rPr>
        <w:t xml:space="preserve">inimum </w:t>
      </w:r>
      <w:r w:rsidR="00541654">
        <w:rPr>
          <w:b/>
          <w:bCs/>
          <w:sz w:val="24"/>
          <w:szCs w:val="24"/>
        </w:rPr>
        <w:t>D</w:t>
      </w:r>
      <w:r w:rsidRPr="00C4683D">
        <w:rPr>
          <w:b/>
          <w:bCs/>
          <w:sz w:val="24"/>
          <w:szCs w:val="24"/>
        </w:rPr>
        <w:t xml:space="preserve">esign </w:t>
      </w:r>
      <w:r w:rsidR="00541654">
        <w:rPr>
          <w:b/>
          <w:bCs/>
          <w:sz w:val="24"/>
          <w:szCs w:val="24"/>
        </w:rPr>
        <w:t>C</w:t>
      </w:r>
      <w:r w:rsidRPr="00C4683D">
        <w:rPr>
          <w:b/>
          <w:bCs/>
          <w:sz w:val="24"/>
          <w:szCs w:val="24"/>
        </w:rPr>
        <w:t>riteria</w:t>
      </w:r>
    </w:p>
    <w:p w14:paraId="615923FF" w14:textId="20373160" w:rsidR="00447C7F" w:rsidRPr="00C4683D" w:rsidRDefault="00447C7F" w:rsidP="00D35686">
      <w:pPr>
        <w:pStyle w:val="ListParagraph"/>
        <w:numPr>
          <w:ilvl w:val="0"/>
          <w:numId w:val="4"/>
        </w:numPr>
        <w:spacing w:after="0"/>
        <w:rPr>
          <w:b/>
          <w:bCs/>
          <w:sz w:val="24"/>
          <w:szCs w:val="24"/>
        </w:rPr>
      </w:pPr>
      <w:r w:rsidRPr="00C4683D">
        <w:rPr>
          <w:b/>
          <w:bCs/>
          <w:sz w:val="24"/>
          <w:szCs w:val="24"/>
        </w:rPr>
        <w:t xml:space="preserve">Physical </w:t>
      </w:r>
      <w:r w:rsidR="000D4532" w:rsidRPr="00C4683D">
        <w:rPr>
          <w:b/>
          <w:bCs/>
          <w:sz w:val="24"/>
          <w:szCs w:val="24"/>
        </w:rPr>
        <w:t>settings SCMs were studied in</w:t>
      </w:r>
    </w:p>
    <w:p w14:paraId="006DF197" w14:textId="68B38070" w:rsidR="00D35686" w:rsidRDefault="00D35686" w:rsidP="00D35686">
      <w:pPr>
        <w:spacing w:after="0"/>
        <w:rPr>
          <w:sz w:val="24"/>
          <w:szCs w:val="24"/>
        </w:rPr>
      </w:pPr>
    </w:p>
    <w:p w14:paraId="49534944" w14:textId="566405D5" w:rsidR="00D35686" w:rsidRDefault="00C4683D" w:rsidP="00D35686">
      <w:pPr>
        <w:spacing w:after="0"/>
        <w:rPr>
          <w:sz w:val="24"/>
          <w:szCs w:val="24"/>
        </w:rPr>
      </w:pPr>
      <w:r>
        <w:rPr>
          <w:sz w:val="24"/>
          <w:szCs w:val="24"/>
        </w:rPr>
        <w:t>We propose that DEMLR/</w:t>
      </w:r>
      <w:r w:rsidR="00005E3D">
        <w:rPr>
          <w:sz w:val="24"/>
          <w:szCs w:val="24"/>
        </w:rPr>
        <w:t>DWR</w:t>
      </w:r>
      <w:r w:rsidR="00D35686">
        <w:rPr>
          <w:sz w:val="24"/>
          <w:szCs w:val="24"/>
        </w:rPr>
        <w:t xml:space="preserve"> assign </w:t>
      </w:r>
      <w:r w:rsidR="00D35686" w:rsidRPr="00B72A76">
        <w:rPr>
          <w:b/>
          <w:bCs/>
          <w:sz w:val="24"/>
          <w:szCs w:val="24"/>
        </w:rPr>
        <w:t>provisional MDCs</w:t>
      </w:r>
      <w:r w:rsidR="00D35686">
        <w:rPr>
          <w:sz w:val="24"/>
          <w:szCs w:val="24"/>
        </w:rPr>
        <w:t xml:space="preserve"> </w:t>
      </w:r>
      <w:r>
        <w:rPr>
          <w:sz w:val="24"/>
          <w:szCs w:val="24"/>
        </w:rPr>
        <w:t xml:space="preserve">and associated credit </w:t>
      </w:r>
      <w:r w:rsidR="00005E3D">
        <w:rPr>
          <w:sz w:val="24"/>
          <w:szCs w:val="24"/>
        </w:rPr>
        <w:t xml:space="preserve">for SCMs </w:t>
      </w:r>
      <w:r>
        <w:rPr>
          <w:sz w:val="24"/>
          <w:szCs w:val="24"/>
        </w:rPr>
        <w:t>based on the</w:t>
      </w:r>
      <w:r w:rsidR="00005E3D">
        <w:rPr>
          <w:sz w:val="24"/>
          <w:szCs w:val="24"/>
        </w:rPr>
        <w:t xml:space="preserve"> specific physical setting</w:t>
      </w:r>
      <w:r w:rsidR="008746AD">
        <w:rPr>
          <w:sz w:val="24"/>
          <w:szCs w:val="24"/>
        </w:rPr>
        <w:t>s</w:t>
      </w:r>
      <w:r>
        <w:rPr>
          <w:sz w:val="24"/>
          <w:szCs w:val="24"/>
        </w:rPr>
        <w:t xml:space="preserve"> in which they were studied</w:t>
      </w:r>
      <w:r w:rsidR="008746AD">
        <w:rPr>
          <w:sz w:val="24"/>
          <w:szCs w:val="24"/>
        </w:rPr>
        <w:t xml:space="preserve"> (</w:t>
      </w:r>
      <w:proofErr w:type="spellStart"/>
      <w:r w:rsidR="008746AD">
        <w:rPr>
          <w:sz w:val="24"/>
          <w:szCs w:val="24"/>
        </w:rPr>
        <w:t>ie</w:t>
      </w:r>
      <w:proofErr w:type="spellEnd"/>
      <w:r w:rsidR="008746AD">
        <w:rPr>
          <w:sz w:val="24"/>
          <w:szCs w:val="24"/>
        </w:rPr>
        <w:t xml:space="preserve">, low slope </w:t>
      </w:r>
      <w:r w:rsidR="00F44767">
        <w:rPr>
          <w:sz w:val="24"/>
          <w:szCs w:val="24"/>
        </w:rPr>
        <w:t>or given soil type)</w:t>
      </w:r>
      <w:r w:rsidR="008746AD">
        <w:rPr>
          <w:sz w:val="24"/>
          <w:szCs w:val="24"/>
        </w:rPr>
        <w:t xml:space="preserve">, and then expand these SCMs’ approval for use in other settings when studies come in </w:t>
      </w:r>
      <w:r w:rsidR="00561B49">
        <w:rPr>
          <w:sz w:val="24"/>
          <w:szCs w:val="24"/>
        </w:rPr>
        <w:t xml:space="preserve">located in those settings </w:t>
      </w:r>
      <w:proofErr w:type="gramStart"/>
      <w:r w:rsidR="00561B49">
        <w:rPr>
          <w:sz w:val="24"/>
          <w:szCs w:val="24"/>
        </w:rPr>
        <w:t>so as to</w:t>
      </w:r>
      <w:proofErr w:type="gramEnd"/>
      <w:r>
        <w:rPr>
          <w:sz w:val="24"/>
          <w:szCs w:val="24"/>
        </w:rPr>
        <w:t xml:space="preserve"> allow such approvals</w:t>
      </w:r>
      <w:r w:rsidR="008746AD">
        <w:rPr>
          <w:sz w:val="24"/>
          <w:szCs w:val="24"/>
        </w:rPr>
        <w:t>.</w:t>
      </w:r>
      <w:r w:rsidR="00F44767">
        <w:rPr>
          <w:sz w:val="24"/>
          <w:szCs w:val="24"/>
        </w:rPr>
        <w:t xml:space="preserve"> </w:t>
      </w:r>
      <w:proofErr w:type="gramStart"/>
      <w:r w:rsidR="00F44767">
        <w:rPr>
          <w:sz w:val="24"/>
          <w:szCs w:val="24"/>
        </w:rPr>
        <w:t>Essentially</w:t>
      </w:r>
      <w:proofErr w:type="gramEnd"/>
      <w:r>
        <w:rPr>
          <w:sz w:val="24"/>
          <w:szCs w:val="24"/>
        </w:rPr>
        <w:t xml:space="preserve"> we w</w:t>
      </w:r>
      <w:r w:rsidR="00F44767">
        <w:rPr>
          <w:sz w:val="24"/>
          <w:szCs w:val="24"/>
        </w:rPr>
        <w:t xml:space="preserve">anted to lower the level of effort needed </w:t>
      </w:r>
      <w:r>
        <w:rPr>
          <w:sz w:val="24"/>
          <w:szCs w:val="24"/>
        </w:rPr>
        <w:t xml:space="preserve">for an SCM </w:t>
      </w:r>
      <w:r w:rsidR="00F44767">
        <w:rPr>
          <w:sz w:val="24"/>
          <w:szCs w:val="24"/>
        </w:rPr>
        <w:t xml:space="preserve">to </w:t>
      </w:r>
      <w:r>
        <w:rPr>
          <w:sz w:val="24"/>
          <w:szCs w:val="24"/>
        </w:rPr>
        <w:t>be approved for use in some capacity</w:t>
      </w:r>
      <w:r w:rsidR="00F44767">
        <w:rPr>
          <w:sz w:val="24"/>
          <w:szCs w:val="24"/>
        </w:rPr>
        <w:t>, but also encourage continued study.</w:t>
      </w:r>
    </w:p>
    <w:p w14:paraId="012A86CD" w14:textId="4C7482C2" w:rsidR="00BB67B3" w:rsidRDefault="00BB67B3" w:rsidP="001F79BB">
      <w:pPr>
        <w:spacing w:after="0"/>
        <w:rPr>
          <w:sz w:val="24"/>
          <w:szCs w:val="24"/>
        </w:rPr>
      </w:pPr>
    </w:p>
    <w:p w14:paraId="2CC92053" w14:textId="36405FEF" w:rsidR="00656852" w:rsidRDefault="00656852" w:rsidP="001F79BB">
      <w:pPr>
        <w:spacing w:after="0"/>
        <w:rPr>
          <w:sz w:val="24"/>
          <w:szCs w:val="24"/>
        </w:rPr>
      </w:pPr>
      <w:r>
        <w:rPr>
          <w:sz w:val="24"/>
          <w:szCs w:val="24"/>
        </w:rPr>
        <w:t>Sally Hoyt:</w:t>
      </w:r>
      <w:r w:rsidR="00795FE7">
        <w:rPr>
          <w:sz w:val="24"/>
          <w:szCs w:val="24"/>
        </w:rPr>
        <w:t xml:space="preserve"> </w:t>
      </w:r>
      <w:r>
        <w:rPr>
          <w:sz w:val="24"/>
          <w:szCs w:val="24"/>
        </w:rPr>
        <w:t>One thing that really worked in establishing the original MDCs was that it was created by a committee of designer</w:t>
      </w:r>
      <w:r w:rsidR="00795FE7">
        <w:rPr>
          <w:sz w:val="24"/>
          <w:szCs w:val="24"/>
        </w:rPr>
        <w:t>s</w:t>
      </w:r>
      <w:r>
        <w:rPr>
          <w:sz w:val="24"/>
          <w:szCs w:val="24"/>
        </w:rPr>
        <w:t xml:space="preserve"> and reviewer</w:t>
      </w:r>
      <w:r w:rsidR="00795FE7">
        <w:rPr>
          <w:sz w:val="24"/>
          <w:szCs w:val="24"/>
        </w:rPr>
        <w:t>s. I would be concerned if th</w:t>
      </w:r>
      <w:r w:rsidR="00D21601">
        <w:rPr>
          <w:sz w:val="24"/>
          <w:szCs w:val="24"/>
        </w:rPr>
        <w:t>e only folks who had input were the researchers and DEMLR staff.</w:t>
      </w:r>
    </w:p>
    <w:p w14:paraId="5EAD1276" w14:textId="2C27B4E3" w:rsidR="00D21601" w:rsidRDefault="00D21601" w:rsidP="00541654">
      <w:pPr>
        <w:spacing w:after="0"/>
        <w:ind w:left="720"/>
        <w:rPr>
          <w:sz w:val="24"/>
          <w:szCs w:val="24"/>
        </w:rPr>
      </w:pPr>
      <w:r>
        <w:rPr>
          <w:sz w:val="24"/>
          <w:szCs w:val="24"/>
        </w:rPr>
        <w:t>Trish: We do make a distinction between provisional and final MDCs. I agree that we should follow the original process that includes public input for the final MDCs that involve rulemaking. Currently proprietary SCMs are established by researchers, proprietors and DEMLR staff (plus maybe DWR NPS staff</w:t>
      </w:r>
      <w:r w:rsidR="00E0083D">
        <w:rPr>
          <w:sz w:val="24"/>
          <w:szCs w:val="24"/>
        </w:rPr>
        <w:t xml:space="preserve"> if concerns.) Provisional MDCs – we could have a 30-day public comment period but would not have a whole committee. We want to make sure that we can go back and update the MDCs when there is more data, such as for floating wetland islands. </w:t>
      </w:r>
      <w:r w:rsidR="00ED4E02">
        <w:rPr>
          <w:sz w:val="24"/>
          <w:szCs w:val="24"/>
        </w:rPr>
        <w:t>DEMLR will ultimately run the rulemaking process.</w:t>
      </w:r>
    </w:p>
    <w:p w14:paraId="0A53290E" w14:textId="335AC797" w:rsidR="00B825FE" w:rsidRDefault="00B825FE" w:rsidP="001F79BB">
      <w:pPr>
        <w:spacing w:after="0"/>
        <w:rPr>
          <w:sz w:val="24"/>
          <w:szCs w:val="24"/>
        </w:rPr>
      </w:pPr>
    </w:p>
    <w:p w14:paraId="433EE83E" w14:textId="47E7F34E" w:rsidR="001F79BB" w:rsidRDefault="00B825FE" w:rsidP="001F79BB">
      <w:pPr>
        <w:spacing w:after="0"/>
        <w:rPr>
          <w:sz w:val="24"/>
          <w:szCs w:val="24"/>
        </w:rPr>
      </w:pPr>
      <w:r>
        <w:rPr>
          <w:sz w:val="24"/>
          <w:szCs w:val="24"/>
        </w:rPr>
        <w:t xml:space="preserve">Sally Hoyt: Somewhere it needs to be clear that the credit document is approved for things regulated not just by DEMLR, but also by things regulated by DWR, </w:t>
      </w:r>
      <w:proofErr w:type="spellStart"/>
      <w:proofErr w:type="gramStart"/>
      <w:r>
        <w:rPr>
          <w:sz w:val="24"/>
          <w:szCs w:val="24"/>
        </w:rPr>
        <w:t>ie</w:t>
      </w:r>
      <w:proofErr w:type="spellEnd"/>
      <w:proofErr w:type="gramEnd"/>
      <w:r>
        <w:rPr>
          <w:sz w:val="24"/>
          <w:szCs w:val="24"/>
        </w:rPr>
        <w:t xml:space="preserve"> for meeting Neuse Rules, Falls Rule, etc.</w:t>
      </w:r>
    </w:p>
    <w:p w14:paraId="286DD67F" w14:textId="5640923F" w:rsidR="00561B49" w:rsidRDefault="00561B49">
      <w:pPr>
        <w:rPr>
          <w:sz w:val="24"/>
          <w:szCs w:val="24"/>
        </w:rPr>
      </w:pPr>
      <w:r>
        <w:rPr>
          <w:sz w:val="24"/>
          <w:szCs w:val="24"/>
        </w:rPr>
        <w:br w:type="page"/>
      </w:r>
    </w:p>
    <w:p w14:paraId="06375AE0" w14:textId="77777777" w:rsidR="009B7986" w:rsidRPr="00620CB5" w:rsidRDefault="009B7986" w:rsidP="001F79BB">
      <w:pPr>
        <w:spacing w:after="0"/>
        <w:rPr>
          <w:sz w:val="24"/>
          <w:szCs w:val="24"/>
        </w:rPr>
      </w:pPr>
    </w:p>
    <w:p w14:paraId="2E250C01" w14:textId="3B1C2408" w:rsidR="001F79BB" w:rsidRPr="00D33136" w:rsidRDefault="001F79BB" w:rsidP="001F79BB">
      <w:pPr>
        <w:spacing w:after="0"/>
        <w:rPr>
          <w:b/>
          <w:bCs/>
          <w:sz w:val="24"/>
          <w:szCs w:val="24"/>
        </w:rPr>
      </w:pPr>
      <w:r w:rsidRPr="00D33136">
        <w:rPr>
          <w:b/>
          <w:bCs/>
          <w:sz w:val="24"/>
          <w:szCs w:val="24"/>
        </w:rPr>
        <w:t>Segment 2: SCM Nutrient EMCs</w:t>
      </w:r>
    </w:p>
    <w:p w14:paraId="3B8370C0" w14:textId="3AB83FB0" w:rsidR="001F79BB" w:rsidRPr="00D33136" w:rsidRDefault="001F79BB" w:rsidP="001F79BB">
      <w:pPr>
        <w:pStyle w:val="ListParagraph"/>
        <w:numPr>
          <w:ilvl w:val="0"/>
          <w:numId w:val="2"/>
        </w:numPr>
        <w:spacing w:after="0"/>
        <w:rPr>
          <w:b/>
          <w:bCs/>
          <w:sz w:val="24"/>
          <w:szCs w:val="24"/>
        </w:rPr>
      </w:pPr>
      <w:r w:rsidRPr="00D33136">
        <w:rPr>
          <w:b/>
          <w:bCs/>
          <w:sz w:val="24"/>
          <w:szCs w:val="24"/>
        </w:rPr>
        <w:t>Approach for existing SCMs</w:t>
      </w:r>
    </w:p>
    <w:p w14:paraId="45D7A677" w14:textId="74DFF017" w:rsidR="001F79BB" w:rsidRPr="00D33136" w:rsidRDefault="001F79BB" w:rsidP="001F79BB">
      <w:pPr>
        <w:pStyle w:val="ListParagraph"/>
        <w:numPr>
          <w:ilvl w:val="0"/>
          <w:numId w:val="2"/>
        </w:numPr>
        <w:spacing w:after="0"/>
        <w:rPr>
          <w:b/>
          <w:bCs/>
          <w:sz w:val="24"/>
          <w:szCs w:val="24"/>
        </w:rPr>
      </w:pPr>
      <w:r w:rsidRPr="00D33136">
        <w:rPr>
          <w:b/>
          <w:bCs/>
          <w:sz w:val="24"/>
          <w:szCs w:val="24"/>
        </w:rPr>
        <w:t>Decisions made about existing SCMs</w:t>
      </w:r>
    </w:p>
    <w:p w14:paraId="4E0A858F" w14:textId="03679C1D" w:rsidR="001F79BB" w:rsidRPr="00D33136" w:rsidRDefault="001F79BB" w:rsidP="001F79BB">
      <w:pPr>
        <w:pStyle w:val="ListParagraph"/>
        <w:numPr>
          <w:ilvl w:val="0"/>
          <w:numId w:val="2"/>
        </w:numPr>
        <w:spacing w:after="0"/>
        <w:rPr>
          <w:b/>
          <w:bCs/>
          <w:sz w:val="24"/>
          <w:szCs w:val="24"/>
        </w:rPr>
      </w:pPr>
      <w:r w:rsidRPr="00D33136">
        <w:rPr>
          <w:b/>
          <w:bCs/>
          <w:sz w:val="24"/>
          <w:szCs w:val="24"/>
        </w:rPr>
        <w:t>‘New’ SCMs – all ratings</w:t>
      </w:r>
    </w:p>
    <w:p w14:paraId="38DCABF3" w14:textId="4044A953" w:rsidR="001F79BB" w:rsidRDefault="001F79BB" w:rsidP="001F79BB">
      <w:pPr>
        <w:spacing w:after="0"/>
        <w:rPr>
          <w:sz w:val="24"/>
          <w:szCs w:val="24"/>
        </w:rPr>
      </w:pPr>
    </w:p>
    <w:p w14:paraId="2520BF07" w14:textId="59E77F05" w:rsidR="00643A6E" w:rsidRDefault="00643A6E" w:rsidP="001F79BB">
      <w:pPr>
        <w:spacing w:after="0"/>
        <w:rPr>
          <w:sz w:val="24"/>
          <w:szCs w:val="24"/>
        </w:rPr>
      </w:pPr>
      <w:r>
        <w:rPr>
          <w:sz w:val="24"/>
          <w:szCs w:val="24"/>
        </w:rPr>
        <w:t xml:space="preserve">Aiming for max consistency when developing new EMCs. Previously </w:t>
      </w:r>
      <w:r w:rsidR="00B6737A">
        <w:rPr>
          <w:sz w:val="24"/>
          <w:szCs w:val="24"/>
        </w:rPr>
        <w:t xml:space="preserve">there was a </w:t>
      </w:r>
      <w:r>
        <w:rPr>
          <w:sz w:val="24"/>
          <w:szCs w:val="24"/>
        </w:rPr>
        <w:t>combination of methods.</w:t>
      </w:r>
      <w:r w:rsidR="00B6737A">
        <w:rPr>
          <w:sz w:val="24"/>
          <w:szCs w:val="24"/>
        </w:rPr>
        <w:t xml:space="preserve"> E.g., s</w:t>
      </w:r>
      <w:r>
        <w:rPr>
          <w:sz w:val="24"/>
          <w:szCs w:val="24"/>
        </w:rPr>
        <w:t xml:space="preserve">tudies </w:t>
      </w:r>
      <w:r w:rsidR="00D33136">
        <w:rPr>
          <w:sz w:val="24"/>
          <w:szCs w:val="24"/>
        </w:rPr>
        <w:t xml:space="preserve">were included </w:t>
      </w:r>
      <w:r>
        <w:rPr>
          <w:sz w:val="24"/>
          <w:szCs w:val="24"/>
        </w:rPr>
        <w:t xml:space="preserve">with very low influent concentrations that weren’t representative of conditions they’d be treating. </w:t>
      </w:r>
      <w:r w:rsidR="00B6737A">
        <w:rPr>
          <w:sz w:val="24"/>
          <w:szCs w:val="24"/>
        </w:rPr>
        <w:t xml:space="preserve">Based on subcommittee discussions, in this draft we propose the </w:t>
      </w:r>
      <w:r w:rsidR="009B6EFD">
        <w:rPr>
          <w:sz w:val="24"/>
          <w:szCs w:val="24"/>
        </w:rPr>
        <w:t>12.5</w:t>
      </w:r>
      <w:r w:rsidR="009B6EFD" w:rsidRPr="009B6EFD">
        <w:rPr>
          <w:sz w:val="24"/>
          <w:szCs w:val="24"/>
          <w:vertAlign w:val="superscript"/>
        </w:rPr>
        <w:t>th</w:t>
      </w:r>
      <w:r w:rsidR="009B6EFD">
        <w:rPr>
          <w:sz w:val="24"/>
          <w:szCs w:val="24"/>
        </w:rPr>
        <w:t xml:space="preserve"> percentile as statistical minimum </w:t>
      </w:r>
      <w:r w:rsidR="00B72A76" w:rsidRPr="00B72A76">
        <w:rPr>
          <w:b/>
          <w:bCs/>
          <w:sz w:val="24"/>
          <w:szCs w:val="24"/>
        </w:rPr>
        <w:t xml:space="preserve">influent </w:t>
      </w:r>
      <w:r w:rsidR="009B6EFD" w:rsidRPr="00B72A76">
        <w:rPr>
          <w:b/>
          <w:bCs/>
          <w:sz w:val="24"/>
          <w:szCs w:val="24"/>
        </w:rPr>
        <w:t>screening threshold</w:t>
      </w:r>
      <w:r w:rsidR="009B6EFD">
        <w:rPr>
          <w:sz w:val="24"/>
          <w:szCs w:val="24"/>
        </w:rPr>
        <w:t xml:space="preserve">. </w:t>
      </w:r>
      <w:r w:rsidR="00B6737A">
        <w:rPr>
          <w:sz w:val="24"/>
          <w:szCs w:val="24"/>
        </w:rPr>
        <w:t>And submittals n</w:t>
      </w:r>
      <w:r w:rsidR="00227023">
        <w:rPr>
          <w:sz w:val="24"/>
          <w:szCs w:val="24"/>
        </w:rPr>
        <w:t>eed at least 8 influent/effluent pairs per Bill Hunt’s best prof</w:t>
      </w:r>
      <w:r w:rsidR="00B6737A">
        <w:rPr>
          <w:sz w:val="24"/>
          <w:szCs w:val="24"/>
        </w:rPr>
        <w:t>essional</w:t>
      </w:r>
      <w:r w:rsidR="00227023">
        <w:rPr>
          <w:sz w:val="24"/>
          <w:szCs w:val="24"/>
        </w:rPr>
        <w:t xml:space="preserve"> judgment. </w:t>
      </w:r>
      <w:r w:rsidR="00B6737A">
        <w:rPr>
          <w:sz w:val="24"/>
          <w:szCs w:val="24"/>
        </w:rPr>
        <w:t>Other proposed changes to</w:t>
      </w:r>
      <w:r w:rsidR="00D33136">
        <w:rPr>
          <w:sz w:val="24"/>
          <w:szCs w:val="24"/>
        </w:rPr>
        <w:t>,</w:t>
      </w:r>
      <w:r w:rsidR="00B6737A">
        <w:rPr>
          <w:sz w:val="24"/>
          <w:szCs w:val="24"/>
        </w:rPr>
        <w:t xml:space="preserve"> or </w:t>
      </w:r>
      <w:r w:rsidR="00D33136">
        <w:rPr>
          <w:sz w:val="24"/>
          <w:szCs w:val="24"/>
        </w:rPr>
        <w:t xml:space="preserve">proposed </w:t>
      </w:r>
      <w:r w:rsidR="00B6737A">
        <w:rPr>
          <w:sz w:val="24"/>
          <w:szCs w:val="24"/>
        </w:rPr>
        <w:t>explicit statements of</w:t>
      </w:r>
      <w:r w:rsidR="00D33136">
        <w:rPr>
          <w:sz w:val="24"/>
          <w:szCs w:val="24"/>
        </w:rPr>
        <w:t>,</w:t>
      </w:r>
      <w:r w:rsidR="00B6737A">
        <w:rPr>
          <w:sz w:val="24"/>
          <w:szCs w:val="24"/>
        </w:rPr>
        <w:t xml:space="preserve"> </w:t>
      </w:r>
      <w:r w:rsidR="00B72A76" w:rsidRPr="00B72A76">
        <w:rPr>
          <w:b/>
          <w:bCs/>
          <w:sz w:val="24"/>
          <w:szCs w:val="24"/>
        </w:rPr>
        <w:t xml:space="preserve">EMC </w:t>
      </w:r>
      <w:r w:rsidR="00B6737A" w:rsidRPr="00B72A76">
        <w:rPr>
          <w:b/>
          <w:bCs/>
          <w:sz w:val="24"/>
          <w:szCs w:val="24"/>
        </w:rPr>
        <w:t>value-setting standards</w:t>
      </w:r>
      <w:r w:rsidR="00B6737A">
        <w:rPr>
          <w:sz w:val="24"/>
          <w:szCs w:val="24"/>
        </w:rPr>
        <w:t>:</w:t>
      </w:r>
    </w:p>
    <w:p w14:paraId="55D7DC0D" w14:textId="5521C7C5" w:rsidR="00227023" w:rsidRDefault="00227023" w:rsidP="001F79BB">
      <w:pPr>
        <w:spacing w:after="0"/>
        <w:rPr>
          <w:sz w:val="24"/>
          <w:szCs w:val="24"/>
        </w:rPr>
      </w:pPr>
    </w:p>
    <w:p w14:paraId="0BF9C3BC" w14:textId="09ED2A5B" w:rsidR="00227023" w:rsidRPr="0038736B" w:rsidRDefault="00227023" w:rsidP="0038736B">
      <w:pPr>
        <w:pStyle w:val="ListParagraph"/>
        <w:numPr>
          <w:ilvl w:val="0"/>
          <w:numId w:val="5"/>
        </w:numPr>
        <w:spacing w:after="0"/>
        <w:rPr>
          <w:sz w:val="24"/>
          <w:szCs w:val="24"/>
        </w:rPr>
      </w:pPr>
      <w:r w:rsidRPr="0038736B">
        <w:rPr>
          <w:sz w:val="24"/>
          <w:szCs w:val="24"/>
        </w:rPr>
        <w:t xml:space="preserve">Want all SCMs to have </w:t>
      </w:r>
      <w:r w:rsidR="00163EA3" w:rsidRPr="0038736B">
        <w:rPr>
          <w:sz w:val="24"/>
          <w:szCs w:val="24"/>
        </w:rPr>
        <w:t>EMC</w:t>
      </w:r>
      <w:r w:rsidR="00B6737A">
        <w:rPr>
          <w:sz w:val="24"/>
          <w:szCs w:val="24"/>
        </w:rPr>
        <w:t>s</w:t>
      </w:r>
      <w:r w:rsidR="00163EA3" w:rsidRPr="0038736B">
        <w:rPr>
          <w:sz w:val="24"/>
          <w:szCs w:val="24"/>
        </w:rPr>
        <w:t xml:space="preserve"> assigned even if they are not currently in use.</w:t>
      </w:r>
      <w:r w:rsidR="0026273D" w:rsidRPr="0038736B">
        <w:rPr>
          <w:sz w:val="24"/>
          <w:szCs w:val="24"/>
        </w:rPr>
        <w:t xml:space="preserve"> </w:t>
      </w:r>
    </w:p>
    <w:p w14:paraId="4269E63A" w14:textId="73855A13" w:rsidR="00B6737A" w:rsidRDefault="00B6737A" w:rsidP="0038736B">
      <w:pPr>
        <w:pStyle w:val="ListParagraph"/>
        <w:numPr>
          <w:ilvl w:val="0"/>
          <w:numId w:val="5"/>
        </w:numPr>
        <w:spacing w:after="0"/>
        <w:rPr>
          <w:sz w:val="24"/>
          <w:szCs w:val="24"/>
        </w:rPr>
      </w:pPr>
      <w:r>
        <w:rPr>
          <w:sz w:val="24"/>
          <w:szCs w:val="24"/>
        </w:rPr>
        <w:t>Have moved away from the term</w:t>
      </w:r>
      <w:r w:rsidR="009F0FF3" w:rsidRPr="0038736B">
        <w:rPr>
          <w:sz w:val="24"/>
          <w:szCs w:val="24"/>
        </w:rPr>
        <w:t xml:space="preserve"> </w:t>
      </w:r>
      <w:r>
        <w:rPr>
          <w:sz w:val="24"/>
          <w:szCs w:val="24"/>
        </w:rPr>
        <w:t>“</w:t>
      </w:r>
      <w:r w:rsidR="009F0FF3" w:rsidRPr="0038736B">
        <w:rPr>
          <w:sz w:val="24"/>
          <w:szCs w:val="24"/>
        </w:rPr>
        <w:t>variants</w:t>
      </w:r>
      <w:r>
        <w:rPr>
          <w:sz w:val="24"/>
          <w:szCs w:val="24"/>
        </w:rPr>
        <w:t>” in favor of “</w:t>
      </w:r>
      <w:r w:rsidR="009F0FF3" w:rsidRPr="0038736B">
        <w:rPr>
          <w:sz w:val="24"/>
          <w:szCs w:val="24"/>
        </w:rPr>
        <w:t>alternative designs</w:t>
      </w:r>
      <w:r>
        <w:rPr>
          <w:sz w:val="24"/>
          <w:szCs w:val="24"/>
        </w:rPr>
        <w:t>”.</w:t>
      </w:r>
    </w:p>
    <w:p w14:paraId="31BD8F67" w14:textId="265E8C69" w:rsidR="009F0FF3" w:rsidRPr="0038736B" w:rsidRDefault="00D33136" w:rsidP="0038736B">
      <w:pPr>
        <w:pStyle w:val="ListParagraph"/>
        <w:numPr>
          <w:ilvl w:val="0"/>
          <w:numId w:val="5"/>
        </w:numPr>
        <w:spacing w:after="0"/>
        <w:rPr>
          <w:sz w:val="24"/>
          <w:szCs w:val="24"/>
        </w:rPr>
      </w:pPr>
      <w:r>
        <w:rPr>
          <w:sz w:val="24"/>
          <w:szCs w:val="24"/>
        </w:rPr>
        <w:t>As proposed</w:t>
      </w:r>
      <w:r w:rsidR="00B6737A">
        <w:rPr>
          <w:sz w:val="24"/>
          <w:szCs w:val="24"/>
        </w:rPr>
        <w:t>, alternative designs</w:t>
      </w:r>
      <w:r w:rsidR="009F0FF3" w:rsidRPr="0038736B">
        <w:rPr>
          <w:sz w:val="24"/>
          <w:szCs w:val="24"/>
        </w:rPr>
        <w:t xml:space="preserve"> that perform the same </w:t>
      </w:r>
      <w:r w:rsidR="00B6737A">
        <w:rPr>
          <w:sz w:val="24"/>
          <w:szCs w:val="24"/>
        </w:rPr>
        <w:t>get</w:t>
      </w:r>
      <w:r w:rsidR="009F0FF3" w:rsidRPr="0038736B">
        <w:rPr>
          <w:sz w:val="24"/>
          <w:szCs w:val="24"/>
        </w:rPr>
        <w:t xml:space="preserve"> the same</w:t>
      </w:r>
      <w:r w:rsidR="00B6737A">
        <w:rPr>
          <w:sz w:val="24"/>
          <w:szCs w:val="24"/>
        </w:rPr>
        <w:t xml:space="preserve"> credit specifications</w:t>
      </w:r>
      <w:r w:rsidR="009F0FF3" w:rsidRPr="0038736B">
        <w:rPr>
          <w:sz w:val="24"/>
          <w:szCs w:val="24"/>
        </w:rPr>
        <w:t>.</w:t>
      </w:r>
      <w:r w:rsidR="00AE12CC" w:rsidRPr="0038736B">
        <w:rPr>
          <w:sz w:val="24"/>
          <w:szCs w:val="24"/>
        </w:rPr>
        <w:t xml:space="preserve"> </w:t>
      </w:r>
    </w:p>
    <w:p w14:paraId="3E4458E2" w14:textId="6BF5F370" w:rsidR="00AE12CC" w:rsidRPr="0038736B" w:rsidRDefault="00AE12CC" w:rsidP="0038736B">
      <w:pPr>
        <w:pStyle w:val="ListParagraph"/>
        <w:numPr>
          <w:ilvl w:val="0"/>
          <w:numId w:val="5"/>
        </w:numPr>
        <w:spacing w:after="0"/>
        <w:rPr>
          <w:sz w:val="24"/>
          <w:szCs w:val="24"/>
        </w:rPr>
      </w:pPr>
      <w:r w:rsidRPr="0038736B">
        <w:rPr>
          <w:sz w:val="24"/>
          <w:szCs w:val="24"/>
        </w:rPr>
        <w:t>If there were only 2</w:t>
      </w:r>
      <w:r w:rsidR="00541654">
        <w:rPr>
          <w:sz w:val="24"/>
          <w:szCs w:val="24"/>
        </w:rPr>
        <w:t xml:space="preserve"> or </w:t>
      </w:r>
      <w:r w:rsidRPr="0038736B">
        <w:rPr>
          <w:sz w:val="24"/>
          <w:szCs w:val="24"/>
        </w:rPr>
        <w:t xml:space="preserve">3 </w:t>
      </w:r>
      <w:r w:rsidR="0038736B" w:rsidRPr="0038736B">
        <w:rPr>
          <w:sz w:val="24"/>
          <w:szCs w:val="24"/>
        </w:rPr>
        <w:t xml:space="preserve">studies, </w:t>
      </w:r>
      <w:r w:rsidR="00B6737A">
        <w:rPr>
          <w:sz w:val="24"/>
          <w:szCs w:val="24"/>
        </w:rPr>
        <w:t xml:space="preserve">we propose to </w:t>
      </w:r>
      <w:r w:rsidR="0038736B" w:rsidRPr="0038736B">
        <w:rPr>
          <w:sz w:val="24"/>
          <w:szCs w:val="24"/>
        </w:rPr>
        <w:t xml:space="preserve">use the </w:t>
      </w:r>
      <w:r w:rsidR="0038736B" w:rsidRPr="00541654">
        <w:rPr>
          <w:i/>
          <w:iCs/>
          <w:sz w:val="24"/>
          <w:szCs w:val="24"/>
        </w:rPr>
        <w:t xml:space="preserve">highest </w:t>
      </w:r>
      <w:r w:rsidR="00B6737A" w:rsidRPr="00541654">
        <w:rPr>
          <w:i/>
          <w:iCs/>
          <w:sz w:val="24"/>
          <w:szCs w:val="24"/>
        </w:rPr>
        <w:t>study median</w:t>
      </w:r>
      <w:r w:rsidR="00B6737A">
        <w:rPr>
          <w:sz w:val="24"/>
          <w:szCs w:val="24"/>
        </w:rPr>
        <w:t xml:space="preserve"> ef</w:t>
      </w:r>
      <w:r w:rsidR="0038736B" w:rsidRPr="0038736B">
        <w:rPr>
          <w:sz w:val="24"/>
          <w:szCs w:val="24"/>
        </w:rPr>
        <w:t xml:space="preserve">fluent EMC </w:t>
      </w:r>
      <w:r w:rsidR="00B6737A">
        <w:rPr>
          <w:sz w:val="24"/>
          <w:szCs w:val="24"/>
        </w:rPr>
        <w:t xml:space="preserve">value </w:t>
      </w:r>
      <w:r w:rsidR="0038736B" w:rsidRPr="0038736B">
        <w:rPr>
          <w:sz w:val="24"/>
          <w:szCs w:val="24"/>
        </w:rPr>
        <w:t xml:space="preserve">for TN and TP </w:t>
      </w:r>
      <w:r w:rsidR="00B6737A">
        <w:rPr>
          <w:sz w:val="24"/>
          <w:szCs w:val="24"/>
        </w:rPr>
        <w:t xml:space="preserve">assignments </w:t>
      </w:r>
      <w:r w:rsidR="0038736B" w:rsidRPr="0038736B">
        <w:rPr>
          <w:sz w:val="24"/>
          <w:szCs w:val="24"/>
        </w:rPr>
        <w:t xml:space="preserve">to encourage more studies. If 4+ studies, </w:t>
      </w:r>
      <w:r w:rsidR="00B6737A">
        <w:rPr>
          <w:sz w:val="24"/>
          <w:szCs w:val="24"/>
        </w:rPr>
        <w:t xml:space="preserve">we would </w:t>
      </w:r>
      <w:r w:rsidR="0038736B" w:rsidRPr="0038736B">
        <w:rPr>
          <w:sz w:val="24"/>
          <w:szCs w:val="24"/>
        </w:rPr>
        <w:t xml:space="preserve">use the </w:t>
      </w:r>
      <w:r w:rsidR="0038736B" w:rsidRPr="00541654">
        <w:rPr>
          <w:i/>
          <w:iCs/>
          <w:sz w:val="24"/>
          <w:szCs w:val="24"/>
        </w:rPr>
        <w:t xml:space="preserve">median </w:t>
      </w:r>
      <w:r w:rsidR="00B6737A" w:rsidRPr="00541654">
        <w:rPr>
          <w:i/>
          <w:iCs/>
          <w:sz w:val="24"/>
          <w:szCs w:val="24"/>
        </w:rPr>
        <w:t>of all stud</w:t>
      </w:r>
      <w:r w:rsidR="009C6D0F" w:rsidRPr="00541654">
        <w:rPr>
          <w:i/>
          <w:iCs/>
          <w:sz w:val="24"/>
          <w:szCs w:val="24"/>
        </w:rPr>
        <w:t>y medians</w:t>
      </w:r>
      <w:r w:rsidR="009C6D0F">
        <w:rPr>
          <w:sz w:val="24"/>
          <w:szCs w:val="24"/>
        </w:rPr>
        <w:t>.</w:t>
      </w:r>
    </w:p>
    <w:p w14:paraId="24C51AD3" w14:textId="6EFE3439" w:rsidR="0038736B" w:rsidRDefault="0038736B" w:rsidP="0038736B">
      <w:pPr>
        <w:pStyle w:val="ListParagraph"/>
        <w:numPr>
          <w:ilvl w:val="0"/>
          <w:numId w:val="5"/>
        </w:numPr>
        <w:spacing w:after="0"/>
        <w:rPr>
          <w:sz w:val="24"/>
          <w:szCs w:val="24"/>
        </w:rPr>
      </w:pPr>
      <w:r w:rsidRPr="0038736B">
        <w:rPr>
          <w:sz w:val="24"/>
          <w:szCs w:val="24"/>
        </w:rPr>
        <w:t>Green roof and DIS don’t have sufficient data</w:t>
      </w:r>
      <w:r w:rsidR="0027166E">
        <w:rPr>
          <w:sz w:val="24"/>
          <w:szCs w:val="24"/>
        </w:rPr>
        <w:t>, so still using old EMCs.</w:t>
      </w:r>
    </w:p>
    <w:p w14:paraId="1959D8D1" w14:textId="4D019F36" w:rsidR="009E2760" w:rsidRDefault="0027166E" w:rsidP="0038736B">
      <w:pPr>
        <w:pStyle w:val="ListParagraph"/>
        <w:numPr>
          <w:ilvl w:val="0"/>
          <w:numId w:val="5"/>
        </w:numPr>
        <w:spacing w:after="0"/>
        <w:rPr>
          <w:sz w:val="24"/>
          <w:szCs w:val="24"/>
        </w:rPr>
      </w:pPr>
      <w:r>
        <w:rPr>
          <w:sz w:val="24"/>
          <w:szCs w:val="24"/>
        </w:rPr>
        <w:t xml:space="preserve">Excluded FWIs from document because there wasn’t enough data that passed screening. </w:t>
      </w:r>
      <w:r w:rsidR="00EA58B2">
        <w:rPr>
          <w:sz w:val="24"/>
          <w:szCs w:val="24"/>
        </w:rPr>
        <w:t xml:space="preserve">Doesn’t know of many folks installing FWIs </w:t>
      </w:r>
      <w:r w:rsidR="00F17AE6">
        <w:rPr>
          <w:sz w:val="24"/>
          <w:szCs w:val="24"/>
        </w:rPr>
        <w:t>for monitoring or credit. Really want to update design requirements. Not sure who’s studying them.</w:t>
      </w:r>
    </w:p>
    <w:p w14:paraId="13F0066C" w14:textId="77777777" w:rsidR="00F17AE6" w:rsidRDefault="00F17AE6" w:rsidP="00F17AE6">
      <w:pPr>
        <w:spacing w:after="0"/>
        <w:rPr>
          <w:sz w:val="24"/>
          <w:szCs w:val="24"/>
        </w:rPr>
      </w:pPr>
    </w:p>
    <w:p w14:paraId="5233F5FC" w14:textId="065E480E" w:rsidR="00AB195F" w:rsidRDefault="00F17AE6" w:rsidP="00F17AE6">
      <w:pPr>
        <w:spacing w:after="0"/>
        <w:rPr>
          <w:sz w:val="24"/>
          <w:szCs w:val="24"/>
        </w:rPr>
      </w:pPr>
      <w:r>
        <w:rPr>
          <w:sz w:val="24"/>
          <w:szCs w:val="24"/>
        </w:rPr>
        <w:t xml:space="preserve">Mike Burchell: </w:t>
      </w:r>
      <w:r w:rsidR="00361049">
        <w:rPr>
          <w:sz w:val="24"/>
          <w:szCs w:val="24"/>
        </w:rPr>
        <w:t>Ha</w:t>
      </w:r>
      <w:r w:rsidR="00541654">
        <w:rPr>
          <w:sz w:val="24"/>
          <w:szCs w:val="24"/>
        </w:rPr>
        <w:t>ve</w:t>
      </w:r>
      <w:r w:rsidR="00361049">
        <w:rPr>
          <w:sz w:val="24"/>
          <w:szCs w:val="24"/>
        </w:rPr>
        <w:t xml:space="preserve"> a student, Molly, studying several of these now. </w:t>
      </w:r>
      <w:r>
        <w:rPr>
          <w:sz w:val="24"/>
          <w:szCs w:val="24"/>
        </w:rPr>
        <w:t xml:space="preserve">The only way you’ll see nutrient treatment in FWIs is if you force the water through them. </w:t>
      </w:r>
      <w:r w:rsidR="00FE4DA4">
        <w:rPr>
          <w:sz w:val="24"/>
          <w:szCs w:val="24"/>
        </w:rPr>
        <w:t xml:space="preserve">Molly </w:t>
      </w:r>
      <w:r>
        <w:rPr>
          <w:sz w:val="24"/>
          <w:szCs w:val="24"/>
        </w:rPr>
        <w:t xml:space="preserve">has the outlet ringed with FWIs so that they </w:t>
      </w:r>
      <w:proofErr w:type="gramStart"/>
      <w:r>
        <w:rPr>
          <w:sz w:val="24"/>
          <w:szCs w:val="24"/>
        </w:rPr>
        <w:t>have to</w:t>
      </w:r>
      <w:proofErr w:type="gramEnd"/>
      <w:r>
        <w:rPr>
          <w:sz w:val="24"/>
          <w:szCs w:val="24"/>
        </w:rPr>
        <w:t xml:space="preserve"> go through. One challenge of studying</w:t>
      </w:r>
      <w:r w:rsidR="00541654">
        <w:rPr>
          <w:sz w:val="24"/>
          <w:szCs w:val="24"/>
        </w:rPr>
        <w:t xml:space="preserve"> - h</w:t>
      </w:r>
      <w:r>
        <w:rPr>
          <w:sz w:val="24"/>
          <w:szCs w:val="24"/>
        </w:rPr>
        <w:t xml:space="preserve">ard to have a control scenario. Also, these need a couple growing seasons to get established. </w:t>
      </w:r>
      <w:r w:rsidR="00AB195F">
        <w:rPr>
          <w:sz w:val="24"/>
          <w:szCs w:val="24"/>
        </w:rPr>
        <w:t xml:space="preserve">Also, you can see nutrients leaching from the </w:t>
      </w:r>
      <w:r w:rsidR="00FE4DA4">
        <w:rPr>
          <w:sz w:val="24"/>
          <w:szCs w:val="24"/>
        </w:rPr>
        <w:t xml:space="preserve">starter fertilizer in the </w:t>
      </w:r>
      <w:r w:rsidR="00AB195F">
        <w:rPr>
          <w:sz w:val="24"/>
          <w:szCs w:val="24"/>
        </w:rPr>
        <w:t xml:space="preserve">plugs within the mats </w:t>
      </w:r>
      <w:r w:rsidR="00FE4DA4">
        <w:rPr>
          <w:sz w:val="24"/>
          <w:szCs w:val="24"/>
        </w:rPr>
        <w:t>during</w:t>
      </w:r>
      <w:r w:rsidR="00AB195F">
        <w:rPr>
          <w:sz w:val="24"/>
          <w:szCs w:val="24"/>
        </w:rPr>
        <w:t xml:space="preserve"> the first couple years! Finally – there </w:t>
      </w:r>
      <w:proofErr w:type="gramStart"/>
      <w:r w:rsidR="00AB195F">
        <w:rPr>
          <w:sz w:val="24"/>
          <w:szCs w:val="24"/>
        </w:rPr>
        <w:t>has to</w:t>
      </w:r>
      <w:proofErr w:type="gramEnd"/>
      <w:r w:rsidR="00AB195F">
        <w:rPr>
          <w:sz w:val="24"/>
          <w:szCs w:val="24"/>
        </w:rPr>
        <w:t xml:space="preserve"> be influent stormwater concentrations at a </w:t>
      </w:r>
      <w:r w:rsidR="00541654">
        <w:rPr>
          <w:sz w:val="24"/>
          <w:szCs w:val="24"/>
        </w:rPr>
        <w:t xml:space="preserve">sufficiently high </w:t>
      </w:r>
      <w:r w:rsidR="00AB195F">
        <w:rPr>
          <w:sz w:val="24"/>
          <w:szCs w:val="24"/>
        </w:rPr>
        <w:t>level where you’d see treatment</w:t>
      </w:r>
      <w:r w:rsidR="00541654">
        <w:rPr>
          <w:sz w:val="24"/>
          <w:szCs w:val="24"/>
        </w:rPr>
        <w:t xml:space="preserve"> statistically</w:t>
      </w:r>
      <w:r w:rsidR="00AB195F">
        <w:rPr>
          <w:sz w:val="24"/>
          <w:szCs w:val="24"/>
        </w:rPr>
        <w:t>.</w:t>
      </w:r>
      <w:r w:rsidR="001E0178">
        <w:rPr>
          <w:sz w:val="24"/>
          <w:szCs w:val="24"/>
        </w:rPr>
        <w:t xml:space="preserve"> </w:t>
      </w:r>
    </w:p>
    <w:p w14:paraId="3B6D61DE" w14:textId="6E5061C7" w:rsidR="00F14253" w:rsidRDefault="00F14253" w:rsidP="00F17AE6">
      <w:pPr>
        <w:spacing w:after="0"/>
        <w:rPr>
          <w:sz w:val="24"/>
          <w:szCs w:val="24"/>
        </w:rPr>
      </w:pPr>
    </w:p>
    <w:p w14:paraId="1CC41139" w14:textId="65BF6D7D" w:rsidR="00F14253" w:rsidRDefault="00F14253" w:rsidP="00541654">
      <w:pPr>
        <w:spacing w:after="0"/>
        <w:ind w:left="720"/>
        <w:rPr>
          <w:sz w:val="24"/>
          <w:szCs w:val="24"/>
        </w:rPr>
      </w:pPr>
      <w:r>
        <w:rPr>
          <w:sz w:val="24"/>
          <w:szCs w:val="24"/>
        </w:rPr>
        <w:t>Trish: The FWIs we’ve studied are new</w:t>
      </w:r>
      <w:r w:rsidR="00102215">
        <w:rPr>
          <w:sz w:val="24"/>
          <w:szCs w:val="24"/>
        </w:rPr>
        <w:t>ly built ones in new developments</w:t>
      </w:r>
      <w:r>
        <w:rPr>
          <w:sz w:val="24"/>
          <w:szCs w:val="24"/>
        </w:rPr>
        <w:t xml:space="preserve">. Maybe we need to be studying more established </w:t>
      </w:r>
      <w:r w:rsidR="00102215">
        <w:rPr>
          <w:sz w:val="24"/>
          <w:szCs w:val="24"/>
        </w:rPr>
        <w:t>FWIs in established developments.</w:t>
      </w:r>
    </w:p>
    <w:p w14:paraId="7BD83CEF" w14:textId="31A68593" w:rsidR="00102215" w:rsidRDefault="00102215" w:rsidP="00F17AE6">
      <w:pPr>
        <w:spacing w:after="0"/>
        <w:rPr>
          <w:sz w:val="24"/>
          <w:szCs w:val="24"/>
        </w:rPr>
      </w:pPr>
    </w:p>
    <w:p w14:paraId="227060A7" w14:textId="34AA9603" w:rsidR="00C76808" w:rsidRPr="00C76808" w:rsidRDefault="00541654" w:rsidP="00C76808">
      <w:pPr>
        <w:spacing w:after="0"/>
        <w:rPr>
          <w:sz w:val="24"/>
          <w:szCs w:val="24"/>
        </w:rPr>
      </w:pPr>
      <w:r>
        <w:rPr>
          <w:sz w:val="24"/>
          <w:szCs w:val="24"/>
        </w:rPr>
        <w:t xml:space="preserve">Existing </w:t>
      </w:r>
      <w:r w:rsidR="00C76808">
        <w:rPr>
          <w:sz w:val="24"/>
          <w:szCs w:val="24"/>
        </w:rPr>
        <w:t xml:space="preserve">SCMs that are already approved: </w:t>
      </w:r>
      <w:r w:rsidR="00C76808" w:rsidRPr="00C76808">
        <w:rPr>
          <w:sz w:val="24"/>
          <w:szCs w:val="24"/>
        </w:rPr>
        <w:t>StormFilter – waiting for EMC data</w:t>
      </w:r>
      <w:r>
        <w:rPr>
          <w:sz w:val="24"/>
          <w:szCs w:val="24"/>
        </w:rPr>
        <w:t xml:space="preserve"> from proprietor.</w:t>
      </w:r>
    </w:p>
    <w:p w14:paraId="30A7F763" w14:textId="490E7A9A" w:rsidR="00C76808" w:rsidRDefault="00C76808" w:rsidP="00C76808">
      <w:pPr>
        <w:spacing w:after="0"/>
        <w:rPr>
          <w:sz w:val="24"/>
          <w:szCs w:val="24"/>
        </w:rPr>
      </w:pPr>
    </w:p>
    <w:p w14:paraId="4B823E36" w14:textId="228E5905" w:rsidR="00C76808" w:rsidRDefault="009418EA" w:rsidP="00C76808">
      <w:pPr>
        <w:spacing w:after="0"/>
        <w:rPr>
          <w:sz w:val="24"/>
          <w:szCs w:val="24"/>
        </w:rPr>
      </w:pPr>
      <w:r>
        <w:rPr>
          <w:sz w:val="24"/>
          <w:szCs w:val="24"/>
        </w:rPr>
        <w:t xml:space="preserve">Trish: </w:t>
      </w:r>
      <w:r w:rsidR="009C6D0F">
        <w:rPr>
          <w:sz w:val="24"/>
          <w:szCs w:val="24"/>
        </w:rPr>
        <w:t>Per the subcommittee, we propose</w:t>
      </w:r>
      <w:r w:rsidR="00F4326C">
        <w:rPr>
          <w:sz w:val="24"/>
          <w:szCs w:val="24"/>
        </w:rPr>
        <w:t xml:space="preserve"> a screening threshold for influents so that </w:t>
      </w:r>
      <w:r w:rsidR="009C6D0F">
        <w:rPr>
          <w:sz w:val="24"/>
          <w:szCs w:val="24"/>
        </w:rPr>
        <w:t>studies with</w:t>
      </w:r>
      <w:r w:rsidR="00F4326C">
        <w:rPr>
          <w:sz w:val="24"/>
          <w:szCs w:val="24"/>
        </w:rPr>
        <w:t xml:space="preserve"> excessively clean</w:t>
      </w:r>
      <w:r w:rsidR="009C6D0F" w:rsidRPr="009C6D0F">
        <w:rPr>
          <w:sz w:val="24"/>
          <w:szCs w:val="24"/>
        </w:rPr>
        <w:t xml:space="preserve"> </w:t>
      </w:r>
      <w:r w:rsidR="009C6D0F">
        <w:rPr>
          <w:sz w:val="24"/>
          <w:szCs w:val="24"/>
        </w:rPr>
        <w:t>influents are not used</w:t>
      </w:r>
      <w:r w:rsidR="00F4326C">
        <w:rPr>
          <w:sz w:val="24"/>
          <w:szCs w:val="24"/>
        </w:rPr>
        <w:t xml:space="preserve">. </w:t>
      </w:r>
      <w:r w:rsidR="009C6D0F">
        <w:rPr>
          <w:sz w:val="24"/>
          <w:szCs w:val="24"/>
        </w:rPr>
        <w:t>From</w:t>
      </w:r>
      <w:r w:rsidR="00F4326C">
        <w:rPr>
          <w:sz w:val="24"/>
          <w:szCs w:val="24"/>
        </w:rPr>
        <w:t xml:space="preserve"> 100+ studies </w:t>
      </w:r>
      <w:r w:rsidR="009C6D0F">
        <w:rPr>
          <w:sz w:val="24"/>
          <w:szCs w:val="24"/>
        </w:rPr>
        <w:t xml:space="preserve">in hand, we’ve calculated </w:t>
      </w:r>
      <w:r w:rsidR="00F4326C">
        <w:rPr>
          <w:sz w:val="24"/>
          <w:szCs w:val="24"/>
        </w:rPr>
        <w:lastRenderedPageBreak/>
        <w:t>median influent</w:t>
      </w:r>
      <w:r w:rsidR="009C6D0F">
        <w:rPr>
          <w:sz w:val="24"/>
          <w:szCs w:val="24"/>
        </w:rPr>
        <w:t xml:space="preserve"> N and P values and are proposing the </w:t>
      </w:r>
      <w:r w:rsidR="00450B2F">
        <w:rPr>
          <w:sz w:val="24"/>
          <w:szCs w:val="24"/>
        </w:rPr>
        <w:t>12.5</w:t>
      </w:r>
      <w:r w:rsidR="00450B2F" w:rsidRPr="00450B2F">
        <w:rPr>
          <w:sz w:val="24"/>
          <w:szCs w:val="24"/>
          <w:vertAlign w:val="superscript"/>
        </w:rPr>
        <w:t>th</w:t>
      </w:r>
      <w:r w:rsidR="00450B2F">
        <w:rPr>
          <w:sz w:val="24"/>
          <w:szCs w:val="24"/>
        </w:rPr>
        <w:t xml:space="preserve"> percentile</w:t>
      </w:r>
      <w:r w:rsidR="009C6D0F">
        <w:rPr>
          <w:sz w:val="24"/>
          <w:szCs w:val="24"/>
        </w:rPr>
        <w:t xml:space="preserve"> as the screening threshold for study influent medians</w:t>
      </w:r>
      <w:r w:rsidR="00450B2F">
        <w:rPr>
          <w:sz w:val="24"/>
          <w:szCs w:val="24"/>
        </w:rPr>
        <w:t xml:space="preserve">. </w:t>
      </w:r>
      <w:r w:rsidR="00240577">
        <w:rPr>
          <w:sz w:val="24"/>
          <w:szCs w:val="24"/>
        </w:rPr>
        <w:t xml:space="preserve">Every time we reissue this document, we will check the influents we get for screening values. </w:t>
      </w:r>
      <w:r w:rsidR="009C6D0F">
        <w:rPr>
          <w:sz w:val="24"/>
          <w:szCs w:val="24"/>
        </w:rPr>
        <w:t>At this point the 12.5</w:t>
      </w:r>
      <w:r w:rsidR="009C6D0F" w:rsidRPr="009C6D0F">
        <w:rPr>
          <w:sz w:val="24"/>
          <w:szCs w:val="24"/>
          <w:vertAlign w:val="superscript"/>
        </w:rPr>
        <w:t>th</w:t>
      </w:r>
      <w:r w:rsidR="009C6D0F">
        <w:rPr>
          <w:sz w:val="24"/>
          <w:szCs w:val="24"/>
        </w:rPr>
        <w:t xml:space="preserve">% values are </w:t>
      </w:r>
      <w:proofErr w:type="gramStart"/>
      <w:r w:rsidR="009C6D0F">
        <w:rPr>
          <w:sz w:val="24"/>
          <w:szCs w:val="24"/>
        </w:rPr>
        <w:t>pretty stable</w:t>
      </w:r>
      <w:proofErr w:type="gramEnd"/>
      <w:r w:rsidR="009C6D0F">
        <w:rPr>
          <w:sz w:val="24"/>
          <w:szCs w:val="24"/>
        </w:rPr>
        <w:t xml:space="preserve">. </w:t>
      </w:r>
      <w:r w:rsidR="00240577">
        <w:rPr>
          <w:sz w:val="24"/>
          <w:szCs w:val="24"/>
        </w:rPr>
        <w:t>When I take out half a dozen studies, I don’t see a change in screening values.</w:t>
      </w:r>
      <w:r w:rsidR="00450B2F">
        <w:rPr>
          <w:sz w:val="24"/>
          <w:szCs w:val="24"/>
        </w:rPr>
        <w:t xml:space="preserve"> </w:t>
      </w:r>
    </w:p>
    <w:p w14:paraId="14F8BFEF" w14:textId="25E7F803" w:rsidR="00240577" w:rsidRDefault="00240577" w:rsidP="00C76808">
      <w:pPr>
        <w:spacing w:after="0"/>
        <w:rPr>
          <w:sz w:val="24"/>
          <w:szCs w:val="24"/>
        </w:rPr>
      </w:pPr>
    </w:p>
    <w:p w14:paraId="1CD5A107" w14:textId="46C675D4" w:rsidR="00781DF2" w:rsidRDefault="00F8354A" w:rsidP="00C76808">
      <w:pPr>
        <w:spacing w:after="0"/>
        <w:rPr>
          <w:sz w:val="24"/>
          <w:szCs w:val="24"/>
        </w:rPr>
      </w:pPr>
      <w:r>
        <w:rPr>
          <w:sz w:val="24"/>
          <w:szCs w:val="24"/>
        </w:rPr>
        <w:t xml:space="preserve">Sally: </w:t>
      </w:r>
      <w:r w:rsidR="00781DF2">
        <w:rPr>
          <w:sz w:val="24"/>
          <w:szCs w:val="24"/>
        </w:rPr>
        <w:t>I</w:t>
      </w:r>
      <w:r w:rsidR="00781DF2" w:rsidRPr="00781DF2">
        <w:rPr>
          <w:sz w:val="24"/>
          <w:szCs w:val="24"/>
        </w:rPr>
        <w:t xml:space="preserve">s the </w:t>
      </w:r>
      <w:proofErr w:type="gramStart"/>
      <w:r w:rsidR="00781DF2" w:rsidRPr="00781DF2">
        <w:rPr>
          <w:sz w:val="24"/>
          <w:szCs w:val="24"/>
        </w:rPr>
        <w:t>5 year</w:t>
      </w:r>
      <w:proofErr w:type="gramEnd"/>
      <w:r w:rsidR="00781DF2" w:rsidRPr="00781DF2">
        <w:rPr>
          <w:sz w:val="24"/>
          <w:szCs w:val="24"/>
        </w:rPr>
        <w:t xml:space="preserve"> screening </w:t>
      </w:r>
      <w:r w:rsidR="00B72A76">
        <w:rPr>
          <w:sz w:val="24"/>
          <w:szCs w:val="24"/>
        </w:rPr>
        <w:t xml:space="preserve">threshold adjustment </w:t>
      </w:r>
      <w:r w:rsidR="00781DF2" w:rsidRPr="00781DF2">
        <w:rPr>
          <w:sz w:val="24"/>
          <w:szCs w:val="24"/>
        </w:rPr>
        <w:t xml:space="preserve">frequency for influents also used for effluent values? </w:t>
      </w:r>
    </w:p>
    <w:p w14:paraId="7A1563E4" w14:textId="08DB969D" w:rsidR="00F8354A" w:rsidRDefault="00F8354A" w:rsidP="00541654">
      <w:pPr>
        <w:spacing w:after="0"/>
        <w:ind w:left="720"/>
        <w:rPr>
          <w:sz w:val="24"/>
          <w:szCs w:val="24"/>
        </w:rPr>
      </w:pPr>
      <w:r>
        <w:rPr>
          <w:sz w:val="24"/>
          <w:szCs w:val="24"/>
        </w:rPr>
        <w:t>Trish: Every 5 years</w:t>
      </w:r>
      <w:r w:rsidR="00781DF2">
        <w:rPr>
          <w:sz w:val="24"/>
          <w:szCs w:val="24"/>
        </w:rPr>
        <w:t xml:space="preserve"> is a minimum, or sooner when triggered by other processes</w:t>
      </w:r>
      <w:r w:rsidR="0005699C">
        <w:rPr>
          <w:sz w:val="24"/>
          <w:szCs w:val="24"/>
        </w:rPr>
        <w:t>.</w:t>
      </w:r>
    </w:p>
    <w:p w14:paraId="4AB5211B" w14:textId="10B12FB8" w:rsidR="006655F5" w:rsidRDefault="006655F5" w:rsidP="00541654">
      <w:pPr>
        <w:spacing w:after="0"/>
        <w:ind w:left="720"/>
        <w:rPr>
          <w:sz w:val="24"/>
          <w:szCs w:val="24"/>
        </w:rPr>
      </w:pPr>
      <w:r>
        <w:rPr>
          <w:sz w:val="24"/>
          <w:szCs w:val="24"/>
        </w:rPr>
        <w:t>Sally: Would like to make the case for not changing things when we don’t need to. New data and practices can show us that things are different. But if there’s</w:t>
      </w:r>
      <w:r w:rsidR="009C6D0F">
        <w:rPr>
          <w:sz w:val="24"/>
          <w:szCs w:val="24"/>
        </w:rPr>
        <w:t xml:space="preserve"> say</w:t>
      </w:r>
      <w:r>
        <w:rPr>
          <w:sz w:val="24"/>
          <w:szCs w:val="24"/>
        </w:rPr>
        <w:t xml:space="preserve"> a </w:t>
      </w:r>
      <w:r w:rsidR="0005699C">
        <w:rPr>
          <w:sz w:val="24"/>
          <w:szCs w:val="24"/>
        </w:rPr>
        <w:t>&lt;</w:t>
      </w:r>
      <w:r>
        <w:rPr>
          <w:sz w:val="24"/>
          <w:szCs w:val="24"/>
        </w:rPr>
        <w:t>5% change</w:t>
      </w:r>
      <w:r w:rsidR="009C6D0F">
        <w:rPr>
          <w:sz w:val="24"/>
          <w:szCs w:val="24"/>
        </w:rPr>
        <w:t xml:space="preserve"> in the value</w:t>
      </w:r>
      <w:r>
        <w:rPr>
          <w:sz w:val="24"/>
          <w:szCs w:val="24"/>
        </w:rPr>
        <w:t xml:space="preserve">, I </w:t>
      </w:r>
      <w:proofErr w:type="gramStart"/>
      <w:r>
        <w:rPr>
          <w:sz w:val="24"/>
          <w:szCs w:val="24"/>
        </w:rPr>
        <w:t>would suggest</w:t>
      </w:r>
      <w:proofErr w:type="gramEnd"/>
      <w:r>
        <w:rPr>
          <w:sz w:val="24"/>
          <w:szCs w:val="24"/>
        </w:rPr>
        <w:t xml:space="preserve"> we don’t change the EMC. </w:t>
      </w:r>
      <w:r w:rsidR="009C6D0F">
        <w:rPr>
          <w:sz w:val="24"/>
          <w:szCs w:val="24"/>
        </w:rPr>
        <w:t xml:space="preserve">Also, </w:t>
      </w:r>
      <w:r>
        <w:rPr>
          <w:sz w:val="24"/>
          <w:szCs w:val="24"/>
        </w:rPr>
        <w:t xml:space="preserve">I think there should be a statement that SCMs will continue to get the credit they were approved under, even if the data changes. </w:t>
      </w:r>
    </w:p>
    <w:p w14:paraId="564E9DAD" w14:textId="7F514FF4" w:rsidR="00D82D2A" w:rsidRDefault="00D82D2A" w:rsidP="00541654">
      <w:pPr>
        <w:spacing w:after="0"/>
        <w:ind w:left="720"/>
        <w:rPr>
          <w:sz w:val="24"/>
          <w:szCs w:val="24"/>
        </w:rPr>
      </w:pPr>
      <w:r>
        <w:rPr>
          <w:sz w:val="24"/>
          <w:szCs w:val="24"/>
        </w:rPr>
        <w:t xml:space="preserve">Trish: Our policy is that everything that’s </w:t>
      </w:r>
      <w:r w:rsidR="002228AD">
        <w:rPr>
          <w:sz w:val="24"/>
          <w:szCs w:val="24"/>
        </w:rPr>
        <w:t>permitted retains</w:t>
      </w:r>
      <w:r>
        <w:rPr>
          <w:sz w:val="24"/>
          <w:szCs w:val="24"/>
        </w:rPr>
        <w:t xml:space="preserve"> the credit </w:t>
      </w:r>
      <w:r w:rsidR="002228AD">
        <w:rPr>
          <w:sz w:val="24"/>
          <w:szCs w:val="24"/>
        </w:rPr>
        <w:t>it was approved with; none of this is retroactive</w:t>
      </w:r>
      <w:r>
        <w:rPr>
          <w:sz w:val="24"/>
          <w:szCs w:val="24"/>
        </w:rPr>
        <w:t>.</w:t>
      </w:r>
      <w:r w:rsidR="004A0B0E">
        <w:rPr>
          <w:sz w:val="24"/>
          <w:szCs w:val="24"/>
        </w:rPr>
        <w:t xml:space="preserve"> This should be</w:t>
      </w:r>
      <w:r w:rsidR="002228AD">
        <w:rPr>
          <w:sz w:val="24"/>
          <w:szCs w:val="24"/>
        </w:rPr>
        <w:t xml:space="preserve"> stated</w:t>
      </w:r>
      <w:r w:rsidR="004A0B0E">
        <w:rPr>
          <w:sz w:val="24"/>
          <w:szCs w:val="24"/>
        </w:rPr>
        <w:t xml:space="preserve"> in the document.</w:t>
      </w:r>
      <w:r>
        <w:rPr>
          <w:sz w:val="24"/>
          <w:szCs w:val="24"/>
        </w:rPr>
        <w:t xml:space="preserve"> </w:t>
      </w:r>
    </w:p>
    <w:p w14:paraId="43BBE99E" w14:textId="77777777" w:rsidR="002228AD" w:rsidRDefault="002228AD" w:rsidP="00C76808">
      <w:pPr>
        <w:spacing w:after="0"/>
        <w:rPr>
          <w:sz w:val="24"/>
          <w:szCs w:val="24"/>
        </w:rPr>
      </w:pPr>
    </w:p>
    <w:p w14:paraId="6076828F" w14:textId="58C614ED" w:rsidR="00D82D2A" w:rsidRDefault="00D82D2A" w:rsidP="00C76808">
      <w:pPr>
        <w:spacing w:after="0"/>
        <w:rPr>
          <w:sz w:val="24"/>
          <w:szCs w:val="24"/>
        </w:rPr>
      </w:pPr>
      <w:r>
        <w:rPr>
          <w:sz w:val="24"/>
          <w:szCs w:val="24"/>
        </w:rPr>
        <w:t xml:space="preserve">Sally: </w:t>
      </w:r>
      <w:r w:rsidR="004A0B0E">
        <w:rPr>
          <w:sz w:val="24"/>
          <w:szCs w:val="24"/>
        </w:rPr>
        <w:t>W</w:t>
      </w:r>
      <w:r>
        <w:rPr>
          <w:sz w:val="24"/>
          <w:szCs w:val="24"/>
        </w:rPr>
        <w:t xml:space="preserve">hen a development </w:t>
      </w:r>
      <w:r w:rsidR="002228AD">
        <w:rPr>
          <w:sz w:val="24"/>
          <w:szCs w:val="24"/>
        </w:rPr>
        <w:t>adds</w:t>
      </w:r>
      <w:r>
        <w:rPr>
          <w:sz w:val="24"/>
          <w:szCs w:val="24"/>
        </w:rPr>
        <w:t xml:space="preserve"> new impervious</w:t>
      </w:r>
      <w:r w:rsidR="002228AD">
        <w:rPr>
          <w:sz w:val="24"/>
          <w:szCs w:val="24"/>
        </w:rPr>
        <w:t xml:space="preserve"> (draining to an existing SCM)</w:t>
      </w:r>
      <w:r>
        <w:rPr>
          <w:sz w:val="24"/>
          <w:szCs w:val="24"/>
        </w:rPr>
        <w:t>, do we allow them to recalculate</w:t>
      </w:r>
      <w:r w:rsidR="004A0B0E">
        <w:rPr>
          <w:sz w:val="24"/>
          <w:szCs w:val="24"/>
        </w:rPr>
        <w:t xml:space="preserve"> </w:t>
      </w:r>
      <w:r w:rsidR="002228AD">
        <w:rPr>
          <w:sz w:val="24"/>
          <w:szCs w:val="24"/>
        </w:rPr>
        <w:t xml:space="preserve">the existing </w:t>
      </w:r>
      <w:r w:rsidR="004A0B0E">
        <w:rPr>
          <w:sz w:val="24"/>
          <w:szCs w:val="24"/>
        </w:rPr>
        <w:t>SCM</w:t>
      </w:r>
      <w:r w:rsidR="002228AD">
        <w:rPr>
          <w:sz w:val="24"/>
          <w:szCs w:val="24"/>
        </w:rPr>
        <w:t>’s</w:t>
      </w:r>
      <w:r w:rsidR="004A0B0E">
        <w:rPr>
          <w:sz w:val="24"/>
          <w:szCs w:val="24"/>
        </w:rPr>
        <w:t xml:space="preserve"> </w:t>
      </w:r>
      <w:r w:rsidR="002228AD">
        <w:rPr>
          <w:sz w:val="24"/>
          <w:szCs w:val="24"/>
        </w:rPr>
        <w:t>credit based on</w:t>
      </w:r>
      <w:r w:rsidR="004A0B0E">
        <w:rPr>
          <w:sz w:val="24"/>
          <w:szCs w:val="24"/>
        </w:rPr>
        <w:t xml:space="preserve"> the new value</w:t>
      </w:r>
      <w:r>
        <w:rPr>
          <w:sz w:val="24"/>
          <w:szCs w:val="24"/>
        </w:rPr>
        <w:t>?</w:t>
      </w:r>
    </w:p>
    <w:p w14:paraId="75458ED9" w14:textId="18AB731B" w:rsidR="007B7173" w:rsidRDefault="00D82D2A" w:rsidP="00541654">
      <w:pPr>
        <w:spacing w:after="0"/>
        <w:ind w:left="720"/>
        <w:rPr>
          <w:sz w:val="24"/>
          <w:szCs w:val="24"/>
        </w:rPr>
      </w:pPr>
      <w:r>
        <w:rPr>
          <w:sz w:val="24"/>
          <w:szCs w:val="24"/>
        </w:rPr>
        <w:t xml:space="preserve">Trish: This isn’t covered in this document, but </w:t>
      </w:r>
      <w:r w:rsidR="000F23CB">
        <w:rPr>
          <w:sz w:val="24"/>
          <w:szCs w:val="24"/>
        </w:rPr>
        <w:t>we do in the nutrient catalog. This</w:t>
      </w:r>
      <w:r w:rsidR="006154AD">
        <w:rPr>
          <w:sz w:val="24"/>
          <w:szCs w:val="24"/>
        </w:rPr>
        <w:t xml:space="preserve"> would be a good thin</w:t>
      </w:r>
      <w:r w:rsidR="002228AD">
        <w:rPr>
          <w:sz w:val="24"/>
          <w:szCs w:val="24"/>
        </w:rPr>
        <w:t>g</w:t>
      </w:r>
      <w:r w:rsidR="006154AD">
        <w:rPr>
          <w:sz w:val="24"/>
          <w:szCs w:val="24"/>
        </w:rPr>
        <w:t xml:space="preserve"> to have further discussion on - i</w:t>
      </w:r>
      <w:r w:rsidR="007B7173">
        <w:rPr>
          <w:sz w:val="24"/>
          <w:szCs w:val="24"/>
        </w:rPr>
        <w:t xml:space="preserve">f you’re resizing or retrofitting a practice, but you already have buy-downs, do you recalculate for the whole </w:t>
      </w:r>
      <w:r w:rsidR="002228AD">
        <w:rPr>
          <w:sz w:val="24"/>
          <w:szCs w:val="24"/>
        </w:rPr>
        <w:t>catchment</w:t>
      </w:r>
      <w:r w:rsidR="007B7173">
        <w:rPr>
          <w:sz w:val="24"/>
          <w:szCs w:val="24"/>
        </w:rPr>
        <w:t xml:space="preserve"> and project site?</w:t>
      </w:r>
    </w:p>
    <w:p w14:paraId="62B17D6A" w14:textId="4E254856" w:rsidR="009A71BD" w:rsidRDefault="009A71BD" w:rsidP="00C76808">
      <w:pPr>
        <w:spacing w:after="0"/>
        <w:rPr>
          <w:sz w:val="24"/>
          <w:szCs w:val="24"/>
        </w:rPr>
      </w:pPr>
    </w:p>
    <w:p w14:paraId="0754FC9D" w14:textId="7E3D92D9" w:rsidR="009A71BD" w:rsidRDefault="007F6BC8" w:rsidP="00C76808">
      <w:pPr>
        <w:spacing w:after="0"/>
        <w:rPr>
          <w:sz w:val="24"/>
          <w:szCs w:val="24"/>
        </w:rPr>
      </w:pPr>
      <w:r>
        <w:rPr>
          <w:sz w:val="24"/>
          <w:szCs w:val="24"/>
        </w:rPr>
        <w:t xml:space="preserve">Trish: </w:t>
      </w:r>
      <w:r w:rsidR="009A71BD">
        <w:rPr>
          <w:sz w:val="24"/>
          <w:szCs w:val="24"/>
        </w:rPr>
        <w:t>We wanted to ensure max consistency, so didn’t make distinction</w:t>
      </w:r>
      <w:r w:rsidR="002228AD">
        <w:rPr>
          <w:sz w:val="24"/>
          <w:szCs w:val="24"/>
        </w:rPr>
        <w:t>s</w:t>
      </w:r>
      <w:r w:rsidR="009A71BD">
        <w:rPr>
          <w:sz w:val="24"/>
          <w:szCs w:val="24"/>
        </w:rPr>
        <w:t xml:space="preserve"> </w:t>
      </w:r>
      <w:r w:rsidR="002228AD">
        <w:rPr>
          <w:sz w:val="24"/>
          <w:szCs w:val="24"/>
        </w:rPr>
        <w:t xml:space="preserve">in requirements </w:t>
      </w:r>
      <w:r w:rsidR="009A71BD">
        <w:rPr>
          <w:sz w:val="24"/>
          <w:szCs w:val="24"/>
        </w:rPr>
        <w:t>between proprietary SCMs and non-proprietary</w:t>
      </w:r>
      <w:r w:rsidR="002228AD">
        <w:rPr>
          <w:sz w:val="24"/>
          <w:szCs w:val="24"/>
        </w:rPr>
        <w:t xml:space="preserve"> (and dropped the current number of studies distinction)</w:t>
      </w:r>
      <w:r w:rsidR="009A71BD">
        <w:rPr>
          <w:sz w:val="24"/>
          <w:szCs w:val="24"/>
        </w:rPr>
        <w:t xml:space="preserve">. </w:t>
      </w:r>
    </w:p>
    <w:p w14:paraId="1B37987A" w14:textId="77777777" w:rsidR="002228AD" w:rsidRDefault="002228AD" w:rsidP="00C76808">
      <w:pPr>
        <w:spacing w:after="0"/>
        <w:rPr>
          <w:sz w:val="24"/>
          <w:szCs w:val="24"/>
        </w:rPr>
      </w:pPr>
    </w:p>
    <w:p w14:paraId="4F7A86F6" w14:textId="212FF0C7" w:rsidR="009A71BD" w:rsidRDefault="002228AD" w:rsidP="00C76808">
      <w:pPr>
        <w:spacing w:after="0"/>
        <w:rPr>
          <w:sz w:val="24"/>
          <w:szCs w:val="24"/>
        </w:rPr>
      </w:pPr>
      <w:r>
        <w:rPr>
          <w:sz w:val="24"/>
          <w:szCs w:val="24"/>
        </w:rPr>
        <w:t xml:space="preserve">Trish: </w:t>
      </w:r>
      <w:r w:rsidR="009A71BD">
        <w:rPr>
          <w:sz w:val="24"/>
          <w:szCs w:val="24"/>
        </w:rPr>
        <w:t xml:space="preserve">We had minimal guidance about evaluating TSS performance. I added </w:t>
      </w:r>
      <w:r>
        <w:rPr>
          <w:sz w:val="24"/>
          <w:szCs w:val="24"/>
        </w:rPr>
        <w:t xml:space="preserve">the standard </w:t>
      </w:r>
      <w:r w:rsidR="009A71BD">
        <w:rPr>
          <w:sz w:val="24"/>
          <w:szCs w:val="24"/>
        </w:rPr>
        <w:t xml:space="preserve">that </w:t>
      </w:r>
      <w:r w:rsidR="005835C1">
        <w:rPr>
          <w:sz w:val="24"/>
          <w:szCs w:val="24"/>
        </w:rPr>
        <w:t>a</w:t>
      </w:r>
      <w:r w:rsidR="004B51D1">
        <w:rPr>
          <w:sz w:val="24"/>
          <w:szCs w:val="24"/>
        </w:rPr>
        <w:t xml:space="preserve">ll installations’ median </w:t>
      </w:r>
      <w:r>
        <w:rPr>
          <w:sz w:val="24"/>
          <w:szCs w:val="24"/>
        </w:rPr>
        <w:t xml:space="preserve">influent </w:t>
      </w:r>
      <w:r w:rsidR="004B51D1">
        <w:rPr>
          <w:sz w:val="24"/>
          <w:szCs w:val="24"/>
        </w:rPr>
        <w:t xml:space="preserve">TSS </w:t>
      </w:r>
      <w:r>
        <w:rPr>
          <w:sz w:val="24"/>
          <w:szCs w:val="24"/>
        </w:rPr>
        <w:t xml:space="preserve">values </w:t>
      </w:r>
      <w:r w:rsidR="004B51D1">
        <w:rPr>
          <w:sz w:val="24"/>
          <w:szCs w:val="24"/>
        </w:rPr>
        <w:t xml:space="preserve">must meet screening thresholds to be </w:t>
      </w:r>
      <w:r>
        <w:rPr>
          <w:sz w:val="24"/>
          <w:szCs w:val="24"/>
        </w:rPr>
        <w:t xml:space="preserve">included in the review data for </w:t>
      </w:r>
      <w:r w:rsidR="004B51D1">
        <w:rPr>
          <w:sz w:val="24"/>
          <w:szCs w:val="24"/>
        </w:rPr>
        <w:t>primary SCM</w:t>
      </w:r>
      <w:r w:rsidRPr="002228AD">
        <w:rPr>
          <w:sz w:val="24"/>
          <w:szCs w:val="24"/>
        </w:rPr>
        <w:t xml:space="preserve"> </w:t>
      </w:r>
      <w:r>
        <w:rPr>
          <w:sz w:val="24"/>
          <w:szCs w:val="24"/>
        </w:rPr>
        <w:t>consideration</w:t>
      </w:r>
      <w:r w:rsidR="004B51D1">
        <w:rPr>
          <w:sz w:val="24"/>
          <w:szCs w:val="24"/>
        </w:rPr>
        <w:t>.</w:t>
      </w:r>
      <w:r w:rsidR="005835C1">
        <w:rPr>
          <w:sz w:val="24"/>
          <w:szCs w:val="24"/>
        </w:rPr>
        <w:t xml:space="preserve"> </w:t>
      </w:r>
    </w:p>
    <w:p w14:paraId="75D1D2BC" w14:textId="1ADB9694" w:rsidR="00A0302B" w:rsidRDefault="00A0302B" w:rsidP="00C76808">
      <w:pPr>
        <w:spacing w:after="0"/>
        <w:rPr>
          <w:sz w:val="24"/>
          <w:szCs w:val="24"/>
        </w:rPr>
      </w:pPr>
    </w:p>
    <w:p w14:paraId="752C6A67" w14:textId="77777777" w:rsidR="00541654" w:rsidRDefault="00541654" w:rsidP="00C76808">
      <w:pPr>
        <w:spacing w:after="0"/>
        <w:rPr>
          <w:sz w:val="24"/>
          <w:szCs w:val="24"/>
        </w:rPr>
      </w:pPr>
    </w:p>
    <w:p w14:paraId="6BCA81F9" w14:textId="4FB633CD" w:rsidR="001F79BB" w:rsidRPr="00B72A76" w:rsidRDefault="00620CB5" w:rsidP="001F79BB">
      <w:pPr>
        <w:spacing w:after="0"/>
        <w:rPr>
          <w:b/>
          <w:bCs/>
          <w:sz w:val="24"/>
          <w:szCs w:val="24"/>
        </w:rPr>
      </w:pPr>
      <w:r w:rsidRPr="00B72A76">
        <w:rPr>
          <w:b/>
          <w:bCs/>
          <w:sz w:val="24"/>
          <w:szCs w:val="24"/>
        </w:rPr>
        <w:t>Other Improvements</w:t>
      </w:r>
    </w:p>
    <w:p w14:paraId="0DC39901" w14:textId="180E3D0E" w:rsidR="00620CB5" w:rsidRPr="00B72A76" w:rsidRDefault="00620CB5" w:rsidP="00620CB5">
      <w:pPr>
        <w:pStyle w:val="ListParagraph"/>
        <w:numPr>
          <w:ilvl w:val="0"/>
          <w:numId w:val="3"/>
        </w:numPr>
        <w:spacing w:after="0"/>
        <w:rPr>
          <w:b/>
          <w:bCs/>
          <w:sz w:val="24"/>
          <w:szCs w:val="24"/>
        </w:rPr>
      </w:pPr>
      <w:r w:rsidRPr="00B72A76">
        <w:rPr>
          <w:b/>
          <w:bCs/>
          <w:sz w:val="24"/>
          <w:szCs w:val="24"/>
        </w:rPr>
        <w:t>Purposes clarified – document, NEST program</w:t>
      </w:r>
    </w:p>
    <w:p w14:paraId="7548F795" w14:textId="4BF935F5" w:rsidR="00620CB5" w:rsidRPr="00B72A76" w:rsidRDefault="00620CB5" w:rsidP="00620CB5">
      <w:pPr>
        <w:pStyle w:val="ListParagraph"/>
        <w:numPr>
          <w:ilvl w:val="0"/>
          <w:numId w:val="3"/>
        </w:numPr>
        <w:spacing w:after="0"/>
        <w:rPr>
          <w:b/>
          <w:bCs/>
          <w:sz w:val="24"/>
          <w:szCs w:val="24"/>
        </w:rPr>
      </w:pPr>
      <w:r w:rsidRPr="00B72A76">
        <w:rPr>
          <w:b/>
          <w:bCs/>
          <w:sz w:val="24"/>
          <w:szCs w:val="24"/>
        </w:rPr>
        <w:t>Table A-2 – Credit assignments summary</w:t>
      </w:r>
    </w:p>
    <w:p w14:paraId="6EC26C95" w14:textId="06A20778" w:rsidR="00620CB5" w:rsidRPr="00B72A76" w:rsidRDefault="00620CB5" w:rsidP="00620CB5">
      <w:pPr>
        <w:pStyle w:val="ListParagraph"/>
        <w:numPr>
          <w:ilvl w:val="0"/>
          <w:numId w:val="3"/>
        </w:numPr>
        <w:spacing w:after="0"/>
        <w:rPr>
          <w:b/>
          <w:bCs/>
          <w:sz w:val="24"/>
          <w:szCs w:val="24"/>
        </w:rPr>
      </w:pPr>
      <w:r w:rsidRPr="00B72A76">
        <w:rPr>
          <w:b/>
          <w:bCs/>
          <w:sz w:val="24"/>
          <w:szCs w:val="24"/>
        </w:rPr>
        <w:t>Table A-3 – Other Benefits</w:t>
      </w:r>
    </w:p>
    <w:p w14:paraId="1105337B" w14:textId="1944302A" w:rsidR="00620CB5" w:rsidRPr="00B72A76" w:rsidRDefault="00620CB5" w:rsidP="00620CB5">
      <w:pPr>
        <w:pStyle w:val="ListParagraph"/>
        <w:numPr>
          <w:ilvl w:val="0"/>
          <w:numId w:val="3"/>
        </w:numPr>
        <w:spacing w:after="0"/>
        <w:rPr>
          <w:b/>
          <w:bCs/>
          <w:sz w:val="24"/>
          <w:szCs w:val="24"/>
        </w:rPr>
      </w:pPr>
      <w:r w:rsidRPr="00B72A76">
        <w:rPr>
          <w:b/>
          <w:bCs/>
          <w:sz w:val="24"/>
          <w:szCs w:val="24"/>
        </w:rPr>
        <w:t>Technical foundation explanations</w:t>
      </w:r>
    </w:p>
    <w:p w14:paraId="67F88C07" w14:textId="709C7B58" w:rsidR="00620CB5" w:rsidRPr="00B72A76" w:rsidRDefault="00620CB5" w:rsidP="00620CB5">
      <w:pPr>
        <w:pStyle w:val="ListParagraph"/>
        <w:numPr>
          <w:ilvl w:val="0"/>
          <w:numId w:val="3"/>
        </w:numPr>
        <w:spacing w:after="0"/>
        <w:rPr>
          <w:b/>
          <w:bCs/>
          <w:sz w:val="24"/>
          <w:szCs w:val="24"/>
        </w:rPr>
      </w:pPr>
      <w:r w:rsidRPr="00B72A76">
        <w:rPr>
          <w:b/>
          <w:bCs/>
          <w:sz w:val="24"/>
          <w:szCs w:val="24"/>
        </w:rPr>
        <w:t>Organization, redundancies, streamlining</w:t>
      </w:r>
    </w:p>
    <w:p w14:paraId="3E34D714" w14:textId="5AE802EB" w:rsidR="00620CB5" w:rsidRDefault="00620CB5" w:rsidP="00620CB5">
      <w:pPr>
        <w:spacing w:after="0"/>
        <w:rPr>
          <w:sz w:val="24"/>
          <w:szCs w:val="24"/>
        </w:rPr>
      </w:pPr>
    </w:p>
    <w:p w14:paraId="11C4DCAC" w14:textId="15D4175B" w:rsidR="00D8063C" w:rsidRDefault="00825341" w:rsidP="00620CB5">
      <w:pPr>
        <w:spacing w:after="0"/>
        <w:rPr>
          <w:sz w:val="24"/>
          <w:szCs w:val="24"/>
        </w:rPr>
      </w:pPr>
      <w:r>
        <w:rPr>
          <w:sz w:val="24"/>
          <w:szCs w:val="24"/>
        </w:rPr>
        <w:lastRenderedPageBreak/>
        <w:t xml:space="preserve">Changes to </w:t>
      </w:r>
      <w:r w:rsidRPr="00B72A76">
        <w:rPr>
          <w:b/>
          <w:bCs/>
          <w:sz w:val="24"/>
          <w:szCs w:val="24"/>
        </w:rPr>
        <w:t xml:space="preserve">SCM </w:t>
      </w:r>
      <w:r w:rsidR="00720BB7" w:rsidRPr="00B72A76">
        <w:rPr>
          <w:b/>
          <w:bCs/>
          <w:sz w:val="24"/>
          <w:szCs w:val="24"/>
        </w:rPr>
        <w:t>C</w:t>
      </w:r>
      <w:r w:rsidRPr="00B72A76">
        <w:rPr>
          <w:b/>
          <w:bCs/>
          <w:sz w:val="24"/>
          <w:szCs w:val="24"/>
        </w:rPr>
        <w:t xml:space="preserve">redit </w:t>
      </w:r>
      <w:r w:rsidR="00720BB7" w:rsidRPr="00B72A76">
        <w:rPr>
          <w:b/>
          <w:bCs/>
          <w:sz w:val="24"/>
          <w:szCs w:val="24"/>
        </w:rPr>
        <w:t>T</w:t>
      </w:r>
      <w:r w:rsidRPr="00B72A76">
        <w:rPr>
          <w:b/>
          <w:bCs/>
          <w:sz w:val="24"/>
          <w:szCs w:val="24"/>
        </w:rPr>
        <w:t>able</w:t>
      </w:r>
      <w:r>
        <w:rPr>
          <w:sz w:val="24"/>
          <w:szCs w:val="24"/>
        </w:rPr>
        <w:t xml:space="preserve">: </w:t>
      </w:r>
      <w:r w:rsidR="00075377">
        <w:rPr>
          <w:sz w:val="24"/>
          <w:szCs w:val="24"/>
        </w:rPr>
        <w:t xml:space="preserve">Updated to show hydrologic partitioning so that </w:t>
      </w:r>
      <w:r w:rsidR="00B72A76">
        <w:rPr>
          <w:sz w:val="24"/>
          <w:szCs w:val="24"/>
        </w:rPr>
        <w:t>the constituent values are stated in the form that they directly sum</w:t>
      </w:r>
      <w:r w:rsidR="00B55C6E">
        <w:rPr>
          <w:sz w:val="24"/>
          <w:szCs w:val="24"/>
        </w:rPr>
        <w:t xml:space="preserve"> to 100%</w:t>
      </w:r>
      <w:r w:rsidR="00B72A76">
        <w:rPr>
          <w:sz w:val="24"/>
          <w:szCs w:val="24"/>
        </w:rPr>
        <w:t>.</w:t>
      </w:r>
    </w:p>
    <w:p w14:paraId="19B4E8CC" w14:textId="4C5391C8" w:rsidR="004B51DA" w:rsidRDefault="004B51DA" w:rsidP="00620CB5">
      <w:pPr>
        <w:spacing w:after="0"/>
        <w:rPr>
          <w:sz w:val="24"/>
          <w:szCs w:val="24"/>
        </w:rPr>
      </w:pPr>
    </w:p>
    <w:p w14:paraId="3D0C7DEC" w14:textId="40CE4043" w:rsidR="004B51DA" w:rsidRDefault="00720BB7" w:rsidP="00620CB5">
      <w:pPr>
        <w:spacing w:after="0"/>
        <w:rPr>
          <w:sz w:val="24"/>
          <w:szCs w:val="24"/>
        </w:rPr>
      </w:pPr>
      <w:r w:rsidRPr="00B72A76">
        <w:rPr>
          <w:b/>
          <w:bCs/>
          <w:sz w:val="24"/>
          <w:szCs w:val="24"/>
        </w:rPr>
        <w:t>Other SCM Benefits Table</w:t>
      </w:r>
      <w:r>
        <w:rPr>
          <w:sz w:val="24"/>
          <w:szCs w:val="24"/>
        </w:rPr>
        <w:t xml:space="preserve"> has been expanded to include maintenance cost/effort, carbon sequestration, </w:t>
      </w:r>
      <w:r w:rsidR="004D12D0">
        <w:rPr>
          <w:sz w:val="24"/>
          <w:szCs w:val="24"/>
        </w:rPr>
        <w:t xml:space="preserve">and a column for multiple uses that </w:t>
      </w:r>
      <w:r w:rsidR="00C97040">
        <w:rPr>
          <w:sz w:val="24"/>
          <w:szCs w:val="24"/>
        </w:rPr>
        <w:t xml:space="preserve">lists all the other things that SCMs can provide (aesthetics, recreation, education, biodiversity, urban forestry, heat island reduction, erosion, etc.) This table is to be used as guidance </w:t>
      </w:r>
      <w:r w:rsidR="00143B23">
        <w:rPr>
          <w:sz w:val="24"/>
          <w:szCs w:val="24"/>
        </w:rPr>
        <w:t>when considering where to site SCMs.</w:t>
      </w:r>
    </w:p>
    <w:p w14:paraId="43841006" w14:textId="3C678D2C" w:rsidR="00143B23" w:rsidRDefault="00143B23" w:rsidP="00620CB5">
      <w:pPr>
        <w:spacing w:after="0"/>
        <w:rPr>
          <w:sz w:val="24"/>
          <w:szCs w:val="24"/>
        </w:rPr>
      </w:pPr>
    </w:p>
    <w:p w14:paraId="169B0D22" w14:textId="665BEC35" w:rsidR="00AA63CF" w:rsidRDefault="00143B23" w:rsidP="00620CB5">
      <w:pPr>
        <w:spacing w:after="0"/>
        <w:rPr>
          <w:sz w:val="24"/>
          <w:szCs w:val="24"/>
        </w:rPr>
      </w:pPr>
      <w:r>
        <w:rPr>
          <w:sz w:val="24"/>
          <w:szCs w:val="24"/>
        </w:rPr>
        <w:t>Sally: I would advocate for replacing %TN and TP removal</w:t>
      </w:r>
      <w:r w:rsidR="00134919">
        <w:rPr>
          <w:sz w:val="24"/>
          <w:szCs w:val="24"/>
        </w:rPr>
        <w:t xml:space="preserve"> </w:t>
      </w:r>
      <w:r w:rsidR="007F6BC8">
        <w:rPr>
          <w:sz w:val="24"/>
          <w:szCs w:val="24"/>
        </w:rPr>
        <w:t xml:space="preserve">columns </w:t>
      </w:r>
      <w:r w:rsidR="00134919">
        <w:rPr>
          <w:sz w:val="24"/>
          <w:szCs w:val="24"/>
        </w:rPr>
        <w:t xml:space="preserve">with High, </w:t>
      </w:r>
      <w:proofErr w:type="gramStart"/>
      <w:r w:rsidR="00134919">
        <w:rPr>
          <w:sz w:val="24"/>
          <w:szCs w:val="24"/>
        </w:rPr>
        <w:t>Medium</w:t>
      </w:r>
      <w:proofErr w:type="gramEnd"/>
      <w:r w:rsidR="00134919">
        <w:rPr>
          <w:sz w:val="24"/>
          <w:szCs w:val="24"/>
        </w:rPr>
        <w:t xml:space="preserve"> and Low – because to get at effectiveness, you have to also include hydrologic fate. If this was a qualitative suitability rating, </w:t>
      </w:r>
      <w:r w:rsidR="0094013C">
        <w:rPr>
          <w:sz w:val="24"/>
          <w:szCs w:val="24"/>
        </w:rPr>
        <w:t xml:space="preserve">this whole table could be </w:t>
      </w:r>
      <w:r w:rsidR="00AA63CF">
        <w:rPr>
          <w:sz w:val="24"/>
          <w:szCs w:val="24"/>
        </w:rPr>
        <w:t>a helpful reference for folks new in their career or for less-expert readers.</w:t>
      </w:r>
    </w:p>
    <w:p w14:paraId="01A84459" w14:textId="77777777" w:rsidR="00AA63CF" w:rsidRDefault="00AA63CF" w:rsidP="00620CB5">
      <w:pPr>
        <w:spacing w:after="0"/>
        <w:rPr>
          <w:sz w:val="24"/>
          <w:szCs w:val="24"/>
        </w:rPr>
      </w:pPr>
    </w:p>
    <w:p w14:paraId="6B9FA666" w14:textId="571F2CEB" w:rsidR="00143B23" w:rsidRDefault="00AA63CF" w:rsidP="00620CB5">
      <w:pPr>
        <w:spacing w:after="0"/>
        <w:rPr>
          <w:sz w:val="24"/>
          <w:szCs w:val="24"/>
        </w:rPr>
      </w:pPr>
      <w:r>
        <w:rPr>
          <w:sz w:val="24"/>
          <w:szCs w:val="24"/>
        </w:rPr>
        <w:t xml:space="preserve">Jennifer </w:t>
      </w:r>
      <w:proofErr w:type="spellStart"/>
      <w:r>
        <w:rPr>
          <w:sz w:val="24"/>
          <w:szCs w:val="24"/>
        </w:rPr>
        <w:t>Buzun</w:t>
      </w:r>
      <w:proofErr w:type="spellEnd"/>
      <w:r>
        <w:rPr>
          <w:sz w:val="24"/>
          <w:szCs w:val="24"/>
        </w:rPr>
        <w:t xml:space="preserve">: </w:t>
      </w:r>
      <w:r w:rsidR="00FA3C5F">
        <w:rPr>
          <w:sz w:val="24"/>
          <w:szCs w:val="24"/>
        </w:rPr>
        <w:t xml:space="preserve">I would recommend putting all </w:t>
      </w:r>
      <w:r w:rsidR="00B72A76">
        <w:rPr>
          <w:sz w:val="24"/>
          <w:szCs w:val="24"/>
        </w:rPr>
        <w:t>this summary info on one page</w:t>
      </w:r>
      <w:r w:rsidR="00FA3C5F">
        <w:rPr>
          <w:sz w:val="24"/>
          <w:szCs w:val="24"/>
        </w:rPr>
        <w:t>, but make it landscape and 11x17.</w:t>
      </w:r>
      <w:r w:rsidR="003B45B6">
        <w:rPr>
          <w:sz w:val="24"/>
          <w:szCs w:val="24"/>
        </w:rPr>
        <w:t xml:space="preserve"> </w:t>
      </w:r>
      <w:r w:rsidR="00FA3C5F">
        <w:rPr>
          <w:sz w:val="24"/>
          <w:szCs w:val="24"/>
        </w:rPr>
        <w:t>Trish: I agree – I like it all on one page.</w:t>
      </w:r>
      <w:r w:rsidR="00134919">
        <w:rPr>
          <w:sz w:val="24"/>
          <w:szCs w:val="24"/>
        </w:rPr>
        <w:t xml:space="preserve"> </w:t>
      </w:r>
    </w:p>
    <w:p w14:paraId="69E4F4C2" w14:textId="5B2914EA" w:rsidR="00D8063C" w:rsidRDefault="00D8063C" w:rsidP="00620CB5">
      <w:pPr>
        <w:spacing w:after="0"/>
        <w:rPr>
          <w:sz w:val="24"/>
          <w:szCs w:val="24"/>
        </w:rPr>
      </w:pPr>
    </w:p>
    <w:p w14:paraId="52144001" w14:textId="12E8C0CF" w:rsidR="003B45B6" w:rsidRDefault="0033224A" w:rsidP="00620CB5">
      <w:pPr>
        <w:spacing w:after="0"/>
        <w:rPr>
          <w:sz w:val="24"/>
          <w:szCs w:val="24"/>
        </w:rPr>
      </w:pPr>
      <w:r w:rsidRPr="001B619F">
        <w:rPr>
          <w:sz w:val="24"/>
          <w:szCs w:val="24"/>
        </w:rPr>
        <w:t xml:space="preserve">Trish: </w:t>
      </w:r>
      <w:r w:rsidR="001B619F">
        <w:rPr>
          <w:sz w:val="24"/>
          <w:szCs w:val="24"/>
        </w:rPr>
        <w:t xml:space="preserve">Lastly, I reworked and added clarifications to </w:t>
      </w:r>
      <w:proofErr w:type="gramStart"/>
      <w:r w:rsidR="001B619F">
        <w:rPr>
          <w:sz w:val="24"/>
          <w:szCs w:val="24"/>
        </w:rPr>
        <w:t>a number of</w:t>
      </w:r>
      <w:proofErr w:type="gramEnd"/>
      <w:r w:rsidR="001B619F">
        <w:rPr>
          <w:sz w:val="24"/>
          <w:szCs w:val="24"/>
        </w:rPr>
        <w:t xml:space="preserve"> other existing technical foundation elements of the document</w:t>
      </w:r>
      <w:r w:rsidR="00F93476" w:rsidRPr="001B619F">
        <w:rPr>
          <w:sz w:val="24"/>
          <w:szCs w:val="24"/>
        </w:rPr>
        <w:t xml:space="preserve">, including </w:t>
      </w:r>
      <w:r w:rsidR="001B619F">
        <w:rPr>
          <w:sz w:val="24"/>
          <w:szCs w:val="24"/>
        </w:rPr>
        <w:t xml:space="preserve">the performance criteria for determining primary vs secondary SCMs, how the TSS assessment is applied, more detail on the </w:t>
      </w:r>
      <w:r w:rsidR="00F93476" w:rsidRPr="001B619F">
        <w:rPr>
          <w:sz w:val="24"/>
          <w:szCs w:val="24"/>
        </w:rPr>
        <w:t xml:space="preserve">design storm and </w:t>
      </w:r>
      <w:r w:rsidR="001B619F">
        <w:rPr>
          <w:sz w:val="24"/>
          <w:szCs w:val="24"/>
        </w:rPr>
        <w:t xml:space="preserve">determining </w:t>
      </w:r>
      <w:r w:rsidR="00F93476" w:rsidRPr="001B619F">
        <w:rPr>
          <w:sz w:val="24"/>
          <w:szCs w:val="24"/>
        </w:rPr>
        <w:t>percent siz</w:t>
      </w:r>
      <w:r w:rsidR="001B619F">
        <w:rPr>
          <w:sz w:val="24"/>
          <w:szCs w:val="24"/>
        </w:rPr>
        <w:t>ing, and the description of the process for determining nutrient data screening and the general decision set for assigning nutrient EMCs</w:t>
      </w:r>
      <w:r w:rsidR="00F93476" w:rsidRPr="001B619F">
        <w:rPr>
          <w:sz w:val="24"/>
          <w:szCs w:val="24"/>
        </w:rPr>
        <w:t>.</w:t>
      </w:r>
      <w:r w:rsidR="00A64132">
        <w:rPr>
          <w:sz w:val="24"/>
          <w:szCs w:val="24"/>
        </w:rPr>
        <w:t xml:space="preserve"> Also cleaned up a lot of repetitive elements, grouped similar SCM content that was addressed in several places.</w:t>
      </w:r>
    </w:p>
    <w:p w14:paraId="5222C6DC" w14:textId="0AFE9B44" w:rsidR="00F93476" w:rsidRDefault="00F93476" w:rsidP="00620CB5">
      <w:pPr>
        <w:spacing w:after="0"/>
        <w:rPr>
          <w:sz w:val="24"/>
          <w:szCs w:val="24"/>
        </w:rPr>
      </w:pPr>
    </w:p>
    <w:p w14:paraId="64972D68" w14:textId="77A5F620" w:rsidR="00323F81" w:rsidRDefault="00323F81" w:rsidP="00620CB5">
      <w:pPr>
        <w:spacing w:after="0"/>
        <w:rPr>
          <w:sz w:val="24"/>
          <w:szCs w:val="24"/>
        </w:rPr>
      </w:pPr>
      <w:r>
        <w:rPr>
          <w:sz w:val="24"/>
          <w:szCs w:val="24"/>
        </w:rPr>
        <w:t>Andy</w:t>
      </w:r>
      <w:r w:rsidR="001C1EF0">
        <w:rPr>
          <w:sz w:val="24"/>
          <w:szCs w:val="24"/>
        </w:rPr>
        <w:t>:</w:t>
      </w:r>
      <w:r>
        <w:rPr>
          <w:sz w:val="24"/>
          <w:szCs w:val="24"/>
        </w:rPr>
        <w:t xml:space="preserve"> Have you looked at whether there is any conflict with Gen Stat 133-3? Local governments must follow this on public land to ensure competitive b</w:t>
      </w:r>
      <w:r w:rsidR="00A171D4">
        <w:rPr>
          <w:sz w:val="24"/>
          <w:szCs w:val="24"/>
        </w:rPr>
        <w:t>idding</w:t>
      </w:r>
      <w:r>
        <w:rPr>
          <w:sz w:val="24"/>
          <w:szCs w:val="24"/>
        </w:rPr>
        <w:t xml:space="preserve">. Make sure </w:t>
      </w:r>
      <w:r w:rsidR="001C1EF0">
        <w:rPr>
          <w:sz w:val="24"/>
          <w:szCs w:val="24"/>
        </w:rPr>
        <w:t xml:space="preserve">there’s no conflict </w:t>
      </w:r>
      <w:r w:rsidR="00A171D4">
        <w:rPr>
          <w:sz w:val="24"/>
          <w:szCs w:val="24"/>
        </w:rPr>
        <w:t xml:space="preserve">when installing proprietary </w:t>
      </w:r>
      <w:proofErr w:type="gramStart"/>
      <w:r w:rsidR="00A171D4">
        <w:rPr>
          <w:sz w:val="24"/>
          <w:szCs w:val="24"/>
        </w:rPr>
        <w:t xml:space="preserve">practices, </w:t>
      </w:r>
      <w:r w:rsidR="001C1EF0">
        <w:rPr>
          <w:sz w:val="24"/>
          <w:szCs w:val="24"/>
        </w:rPr>
        <w:t>and</w:t>
      </w:r>
      <w:proofErr w:type="gramEnd"/>
      <w:r w:rsidR="001C1EF0">
        <w:rPr>
          <w:sz w:val="24"/>
          <w:szCs w:val="24"/>
        </w:rPr>
        <w:t xml:space="preserve"> include guidance on how to follow this statute.</w:t>
      </w:r>
      <w:r w:rsidR="00F93A28">
        <w:rPr>
          <w:sz w:val="24"/>
          <w:szCs w:val="24"/>
        </w:rPr>
        <w:t xml:space="preserve"> Not aware of any issue, just raising.</w:t>
      </w:r>
    </w:p>
    <w:p w14:paraId="6DCEF78D" w14:textId="37FBC57F" w:rsidR="001C1EF0" w:rsidRDefault="001C1EF0" w:rsidP="00620CB5">
      <w:pPr>
        <w:spacing w:after="0"/>
        <w:rPr>
          <w:sz w:val="24"/>
          <w:szCs w:val="24"/>
        </w:rPr>
      </w:pPr>
    </w:p>
    <w:p w14:paraId="50D47AEB" w14:textId="4BA40315" w:rsidR="001C1EF0" w:rsidRDefault="001C1EF0" w:rsidP="00620CB5">
      <w:pPr>
        <w:spacing w:after="0"/>
        <w:rPr>
          <w:sz w:val="24"/>
          <w:szCs w:val="24"/>
        </w:rPr>
      </w:pPr>
      <w:r>
        <w:rPr>
          <w:sz w:val="24"/>
          <w:szCs w:val="24"/>
        </w:rPr>
        <w:t xml:space="preserve">Sandi: </w:t>
      </w:r>
      <w:r w:rsidR="001556DB">
        <w:rPr>
          <w:sz w:val="24"/>
          <w:szCs w:val="24"/>
        </w:rPr>
        <w:t>Can you explain the process of how you evaluated the Streambank Protection rating in the Other Benefits table, and how it changed for those that changed?</w:t>
      </w:r>
    </w:p>
    <w:p w14:paraId="6E1724ED" w14:textId="20F8CDCF" w:rsidR="001556DB" w:rsidRDefault="001556DB" w:rsidP="00DB3B94">
      <w:pPr>
        <w:spacing w:after="0"/>
        <w:ind w:left="720"/>
        <w:rPr>
          <w:sz w:val="24"/>
          <w:szCs w:val="24"/>
        </w:rPr>
      </w:pPr>
      <w:r>
        <w:rPr>
          <w:sz w:val="24"/>
          <w:szCs w:val="24"/>
        </w:rPr>
        <w:t xml:space="preserve">Trish: I </w:t>
      </w:r>
      <w:r w:rsidR="00990484">
        <w:rPr>
          <w:sz w:val="24"/>
          <w:szCs w:val="24"/>
        </w:rPr>
        <w:t xml:space="preserve">followed Bill Hunt’s guidance. He based it on how you limit the time streambanks are subject to </w:t>
      </w:r>
      <w:r w:rsidR="00B22A06">
        <w:rPr>
          <w:sz w:val="24"/>
          <w:szCs w:val="24"/>
        </w:rPr>
        <w:t>bankfull</w:t>
      </w:r>
      <w:r w:rsidR="00990484">
        <w:rPr>
          <w:sz w:val="24"/>
          <w:szCs w:val="24"/>
        </w:rPr>
        <w:t xml:space="preserve"> flows</w:t>
      </w:r>
      <w:r w:rsidR="00060C46">
        <w:rPr>
          <w:sz w:val="24"/>
          <w:szCs w:val="24"/>
        </w:rPr>
        <w:t>. Fair = doesn’t make it better or worse; Poor = makes it worse.</w:t>
      </w:r>
    </w:p>
    <w:p w14:paraId="47C9BA97" w14:textId="77777777" w:rsidR="00B72A76" w:rsidRDefault="00B72A76" w:rsidP="00620CB5">
      <w:pPr>
        <w:spacing w:after="0"/>
        <w:rPr>
          <w:sz w:val="24"/>
          <w:szCs w:val="24"/>
        </w:rPr>
      </w:pPr>
    </w:p>
    <w:p w14:paraId="2CC5EC1C" w14:textId="358B9B18" w:rsidR="00060C46" w:rsidRDefault="00060C46" w:rsidP="00620CB5">
      <w:pPr>
        <w:spacing w:after="0"/>
        <w:rPr>
          <w:sz w:val="24"/>
          <w:szCs w:val="24"/>
        </w:rPr>
      </w:pPr>
      <w:r>
        <w:rPr>
          <w:sz w:val="24"/>
          <w:szCs w:val="24"/>
        </w:rPr>
        <w:t xml:space="preserve">Sandi: </w:t>
      </w:r>
      <w:proofErr w:type="spellStart"/>
      <w:r w:rsidR="00B22A06">
        <w:rPr>
          <w:sz w:val="24"/>
          <w:szCs w:val="24"/>
        </w:rPr>
        <w:t>S</w:t>
      </w:r>
      <w:r>
        <w:rPr>
          <w:sz w:val="24"/>
          <w:szCs w:val="24"/>
        </w:rPr>
        <w:t>ilva</w:t>
      </w:r>
      <w:r w:rsidR="00B72A76">
        <w:rPr>
          <w:sz w:val="24"/>
          <w:szCs w:val="24"/>
        </w:rPr>
        <w:t>C</w:t>
      </w:r>
      <w:r>
        <w:rPr>
          <w:sz w:val="24"/>
          <w:szCs w:val="24"/>
        </w:rPr>
        <w:t>ell</w:t>
      </w:r>
      <w:proofErr w:type="spellEnd"/>
      <w:r>
        <w:rPr>
          <w:sz w:val="24"/>
          <w:szCs w:val="24"/>
        </w:rPr>
        <w:t xml:space="preserve"> </w:t>
      </w:r>
      <w:r w:rsidR="00B22A06">
        <w:rPr>
          <w:sz w:val="24"/>
          <w:szCs w:val="24"/>
        </w:rPr>
        <w:t xml:space="preserve">and </w:t>
      </w:r>
      <w:proofErr w:type="spellStart"/>
      <w:r w:rsidR="00B22A06">
        <w:rPr>
          <w:sz w:val="24"/>
          <w:szCs w:val="24"/>
        </w:rPr>
        <w:t>F</w:t>
      </w:r>
      <w:r>
        <w:rPr>
          <w:sz w:val="24"/>
          <w:szCs w:val="24"/>
        </w:rPr>
        <w:t>ilterra</w:t>
      </w:r>
      <w:proofErr w:type="spellEnd"/>
      <w:r w:rsidR="00B22A06">
        <w:rPr>
          <w:sz w:val="24"/>
          <w:szCs w:val="24"/>
        </w:rPr>
        <w:t xml:space="preserve"> </w:t>
      </w:r>
      <w:r>
        <w:rPr>
          <w:sz w:val="24"/>
          <w:szCs w:val="24"/>
        </w:rPr>
        <w:t>function similarly but have different ratings.</w:t>
      </w:r>
      <w:r w:rsidR="00B22A06">
        <w:rPr>
          <w:sz w:val="24"/>
          <w:szCs w:val="24"/>
        </w:rPr>
        <w:t xml:space="preserve"> Why, </w:t>
      </w:r>
      <w:proofErr w:type="gramStart"/>
      <w:r w:rsidR="00B22A06">
        <w:rPr>
          <w:sz w:val="24"/>
          <w:szCs w:val="24"/>
        </w:rPr>
        <w:t>what data was</w:t>
      </w:r>
      <w:proofErr w:type="gramEnd"/>
      <w:r w:rsidR="00B22A06">
        <w:rPr>
          <w:sz w:val="24"/>
          <w:szCs w:val="24"/>
        </w:rPr>
        <w:t xml:space="preserve"> used?</w:t>
      </w:r>
    </w:p>
    <w:p w14:paraId="23BBF1E6" w14:textId="0E54DC19" w:rsidR="00060C46" w:rsidRDefault="00060C46" w:rsidP="00DB3B94">
      <w:pPr>
        <w:spacing w:after="0"/>
        <w:ind w:left="720"/>
        <w:rPr>
          <w:sz w:val="24"/>
          <w:szCs w:val="24"/>
        </w:rPr>
      </w:pPr>
      <w:r>
        <w:rPr>
          <w:sz w:val="24"/>
          <w:szCs w:val="24"/>
        </w:rPr>
        <w:t xml:space="preserve">Trish: </w:t>
      </w:r>
      <w:proofErr w:type="spellStart"/>
      <w:r>
        <w:rPr>
          <w:sz w:val="24"/>
          <w:szCs w:val="24"/>
        </w:rPr>
        <w:t>Filterra</w:t>
      </w:r>
      <w:proofErr w:type="spellEnd"/>
      <w:r>
        <w:rPr>
          <w:sz w:val="24"/>
          <w:szCs w:val="24"/>
        </w:rPr>
        <w:t xml:space="preserve"> is high throughput, </w:t>
      </w:r>
      <w:proofErr w:type="spellStart"/>
      <w:r w:rsidR="00B72A76">
        <w:rPr>
          <w:sz w:val="24"/>
          <w:szCs w:val="24"/>
        </w:rPr>
        <w:t>S</w:t>
      </w:r>
      <w:r>
        <w:rPr>
          <w:sz w:val="24"/>
          <w:szCs w:val="24"/>
        </w:rPr>
        <w:t>ilva</w:t>
      </w:r>
      <w:r w:rsidR="00B72A76">
        <w:rPr>
          <w:sz w:val="24"/>
          <w:szCs w:val="24"/>
        </w:rPr>
        <w:t>C</w:t>
      </w:r>
      <w:r>
        <w:rPr>
          <w:sz w:val="24"/>
          <w:szCs w:val="24"/>
        </w:rPr>
        <w:t>ell</w:t>
      </w:r>
      <w:proofErr w:type="spellEnd"/>
      <w:r>
        <w:rPr>
          <w:sz w:val="24"/>
          <w:szCs w:val="24"/>
        </w:rPr>
        <w:t xml:space="preserve"> is more like bioretention. Would like to see the numbers Bill referenced</w:t>
      </w:r>
      <w:r w:rsidR="00842714">
        <w:rPr>
          <w:sz w:val="24"/>
          <w:szCs w:val="24"/>
        </w:rPr>
        <w:t xml:space="preserve"> – can explore.</w:t>
      </w:r>
    </w:p>
    <w:p w14:paraId="364DB531" w14:textId="5E2CD80A" w:rsidR="00060C46" w:rsidRDefault="00060C46" w:rsidP="00620CB5">
      <w:pPr>
        <w:spacing w:after="0"/>
        <w:rPr>
          <w:sz w:val="24"/>
          <w:szCs w:val="24"/>
        </w:rPr>
      </w:pPr>
    </w:p>
    <w:p w14:paraId="7968DD28" w14:textId="1354B1E8" w:rsidR="00060C46" w:rsidRDefault="00BD7B54" w:rsidP="00620CB5">
      <w:pPr>
        <w:spacing w:after="0"/>
        <w:rPr>
          <w:sz w:val="24"/>
          <w:szCs w:val="24"/>
        </w:rPr>
      </w:pPr>
      <w:r>
        <w:rPr>
          <w:sz w:val="24"/>
          <w:szCs w:val="24"/>
        </w:rPr>
        <w:lastRenderedPageBreak/>
        <w:t xml:space="preserve">Forrest: Encourages as much public outreach about these changes as possible </w:t>
      </w:r>
      <w:r w:rsidR="00F523FF">
        <w:rPr>
          <w:sz w:val="24"/>
          <w:szCs w:val="24"/>
        </w:rPr>
        <w:t xml:space="preserve">to the regulated community of </w:t>
      </w:r>
      <w:r>
        <w:rPr>
          <w:sz w:val="24"/>
          <w:szCs w:val="24"/>
        </w:rPr>
        <w:t>local governments and their consultants – to make sure folks submit good projects the first time</w:t>
      </w:r>
      <w:r w:rsidR="00162808">
        <w:t>. Even though not regulation, has weight of it.</w:t>
      </w:r>
    </w:p>
    <w:p w14:paraId="6DDC3092" w14:textId="53E96AAD" w:rsidR="00F523FF" w:rsidRDefault="00F523FF" w:rsidP="00620CB5">
      <w:pPr>
        <w:spacing w:after="0"/>
        <w:rPr>
          <w:sz w:val="24"/>
          <w:szCs w:val="24"/>
        </w:rPr>
      </w:pPr>
    </w:p>
    <w:p w14:paraId="3CAE598C" w14:textId="56CF52C7" w:rsidR="00FA2DFA" w:rsidRDefault="00FA2DFA" w:rsidP="00620CB5">
      <w:pPr>
        <w:spacing w:after="0"/>
        <w:rPr>
          <w:sz w:val="24"/>
          <w:szCs w:val="24"/>
        </w:rPr>
      </w:pPr>
      <w:r>
        <w:rPr>
          <w:sz w:val="24"/>
          <w:szCs w:val="24"/>
        </w:rPr>
        <w:t xml:space="preserve">Michael Irwin: </w:t>
      </w:r>
      <w:r w:rsidR="00974F06">
        <w:rPr>
          <w:sz w:val="24"/>
          <w:szCs w:val="24"/>
        </w:rPr>
        <w:t xml:space="preserve">How many secondary SCMs could we put together to make a primary SCM for TSS? It seems like all the devices we would use for low-impact design for TSS are secondary. </w:t>
      </w:r>
    </w:p>
    <w:p w14:paraId="6AA792E7" w14:textId="182F8CCF" w:rsidR="00096639" w:rsidRDefault="00096639" w:rsidP="00DB3B94">
      <w:pPr>
        <w:spacing w:after="0"/>
        <w:ind w:left="720"/>
        <w:rPr>
          <w:sz w:val="24"/>
          <w:szCs w:val="24"/>
        </w:rPr>
      </w:pPr>
      <w:r>
        <w:rPr>
          <w:sz w:val="24"/>
          <w:szCs w:val="24"/>
        </w:rPr>
        <w:t xml:space="preserve">Trish: We will have to get input from DEMLR on this. Part of low-impact design is preventing creation of impervious runoff to begin </w:t>
      </w:r>
      <w:proofErr w:type="gramStart"/>
      <w:r>
        <w:rPr>
          <w:sz w:val="24"/>
          <w:szCs w:val="24"/>
        </w:rPr>
        <w:t>with, or</w:t>
      </w:r>
      <w:proofErr w:type="gramEnd"/>
      <w:r>
        <w:rPr>
          <w:sz w:val="24"/>
          <w:szCs w:val="24"/>
        </w:rPr>
        <w:t xml:space="preserve"> </w:t>
      </w:r>
      <w:r w:rsidR="00E105E7">
        <w:rPr>
          <w:sz w:val="24"/>
          <w:szCs w:val="24"/>
        </w:rPr>
        <w:t>catching it right away. The data we have on DIS is just from rooftops, not the larger approach of not having curb and gutter.</w:t>
      </w:r>
    </w:p>
    <w:p w14:paraId="7339A47B" w14:textId="07CB2834" w:rsidR="00E105E7" w:rsidRDefault="00E105E7" w:rsidP="00DB3B94">
      <w:pPr>
        <w:spacing w:after="0"/>
        <w:ind w:left="720"/>
        <w:rPr>
          <w:sz w:val="24"/>
          <w:szCs w:val="24"/>
        </w:rPr>
      </w:pPr>
      <w:r>
        <w:rPr>
          <w:sz w:val="24"/>
          <w:szCs w:val="24"/>
        </w:rPr>
        <w:t>Michael: Engineers have contacted me about using DIS for roadways and parking lots.</w:t>
      </w:r>
    </w:p>
    <w:p w14:paraId="04274338" w14:textId="77777777" w:rsidR="003B45B6" w:rsidRPr="00620CB5" w:rsidRDefault="003B45B6" w:rsidP="00620CB5">
      <w:pPr>
        <w:spacing w:after="0"/>
        <w:rPr>
          <w:sz w:val="24"/>
          <w:szCs w:val="24"/>
        </w:rPr>
      </w:pPr>
    </w:p>
    <w:p w14:paraId="4B32E3DC" w14:textId="77777777" w:rsidR="00561B49" w:rsidRDefault="00561B49" w:rsidP="00620CB5">
      <w:pPr>
        <w:spacing w:after="0"/>
        <w:rPr>
          <w:b/>
          <w:bCs/>
          <w:sz w:val="24"/>
          <w:szCs w:val="24"/>
        </w:rPr>
      </w:pPr>
    </w:p>
    <w:p w14:paraId="57DFAA6E" w14:textId="3C274FF3" w:rsidR="00620CB5" w:rsidRPr="00D8063C" w:rsidRDefault="00620CB5" w:rsidP="00620CB5">
      <w:pPr>
        <w:spacing w:after="0"/>
        <w:rPr>
          <w:b/>
          <w:bCs/>
          <w:sz w:val="24"/>
          <w:szCs w:val="24"/>
        </w:rPr>
      </w:pPr>
      <w:r w:rsidRPr="00D8063C">
        <w:rPr>
          <w:b/>
          <w:bCs/>
          <w:sz w:val="24"/>
          <w:szCs w:val="24"/>
        </w:rPr>
        <w:t>DWR Updates</w:t>
      </w:r>
    </w:p>
    <w:p w14:paraId="7F93370E" w14:textId="2BB3044F" w:rsidR="009F7D6D" w:rsidRPr="007B3397" w:rsidRDefault="007B3397" w:rsidP="008E5914">
      <w:pPr>
        <w:rPr>
          <w:sz w:val="24"/>
          <w:szCs w:val="24"/>
        </w:rPr>
      </w:pPr>
      <w:r w:rsidRPr="007B3397">
        <w:rPr>
          <w:b/>
          <w:bCs/>
          <w:sz w:val="24"/>
          <w:szCs w:val="24"/>
        </w:rPr>
        <w:t xml:space="preserve">Falls Nutrient Strategy - </w:t>
      </w:r>
      <w:r w:rsidR="009F7D6D" w:rsidRPr="007B3397">
        <w:rPr>
          <w:b/>
          <w:bCs/>
          <w:sz w:val="24"/>
          <w:szCs w:val="24"/>
        </w:rPr>
        <w:t>J</w:t>
      </w:r>
      <w:r w:rsidR="00DE0949" w:rsidRPr="007B3397">
        <w:rPr>
          <w:b/>
          <w:bCs/>
          <w:sz w:val="24"/>
          <w:szCs w:val="24"/>
        </w:rPr>
        <w:t>ohn Huisman:</w:t>
      </w:r>
      <w:r w:rsidR="00DE0949" w:rsidRPr="009F7D6D">
        <w:rPr>
          <w:sz w:val="24"/>
          <w:szCs w:val="24"/>
        </w:rPr>
        <w:t xml:space="preserve"> </w:t>
      </w:r>
      <w:r w:rsidR="009F7D6D" w:rsidRPr="008E5914">
        <w:rPr>
          <w:rFonts w:eastAsia="Times New Roman"/>
        </w:rPr>
        <w:t xml:space="preserve">Just had EMC approval of </w:t>
      </w:r>
      <w:r w:rsidR="008E5914">
        <w:rPr>
          <w:rFonts w:eastAsia="Times New Roman"/>
        </w:rPr>
        <w:t>Existing Development</w:t>
      </w:r>
      <w:r w:rsidR="009F7D6D" w:rsidRPr="008E5914">
        <w:rPr>
          <w:rFonts w:eastAsia="Times New Roman"/>
        </w:rPr>
        <w:t xml:space="preserve"> programs, which was </w:t>
      </w:r>
      <w:r>
        <w:rPr>
          <w:rFonts w:eastAsia="Times New Roman"/>
        </w:rPr>
        <w:t xml:space="preserve">the </w:t>
      </w:r>
      <w:r w:rsidR="009F7D6D" w:rsidRPr="008E5914">
        <w:rPr>
          <w:rFonts w:eastAsia="Times New Roman"/>
        </w:rPr>
        <w:t>IAIA for UNRBA and Roxboro</w:t>
      </w:r>
      <w:r>
        <w:rPr>
          <w:rFonts w:eastAsia="Times New Roman"/>
        </w:rPr>
        <w:t xml:space="preserve"> as the lone individual program</w:t>
      </w:r>
      <w:r w:rsidR="009F7D6D" w:rsidRPr="008E5914">
        <w:rPr>
          <w:rFonts w:eastAsia="Times New Roman"/>
        </w:rPr>
        <w:t xml:space="preserve">. </w:t>
      </w:r>
      <w:r>
        <w:rPr>
          <w:rFonts w:eastAsia="Times New Roman"/>
        </w:rPr>
        <w:t>They were s</w:t>
      </w:r>
      <w:r w:rsidR="009F7D6D" w:rsidRPr="008E5914">
        <w:rPr>
          <w:rFonts w:eastAsia="Times New Roman"/>
        </w:rPr>
        <w:t xml:space="preserve">ubmitted July 2021 and </w:t>
      </w:r>
      <w:r>
        <w:rPr>
          <w:rFonts w:eastAsia="Times New Roman"/>
        </w:rPr>
        <w:t xml:space="preserve">local governments </w:t>
      </w:r>
      <w:r w:rsidR="009F7D6D" w:rsidRPr="008E5914">
        <w:rPr>
          <w:rFonts w:eastAsia="Times New Roman"/>
        </w:rPr>
        <w:t xml:space="preserve">began implementation then, </w:t>
      </w:r>
      <w:r>
        <w:rPr>
          <w:rFonts w:eastAsia="Times New Roman"/>
        </w:rPr>
        <w:t xml:space="preserve">September EMC </w:t>
      </w:r>
      <w:r w:rsidR="009F7D6D" w:rsidRPr="008E5914">
        <w:rPr>
          <w:rFonts w:eastAsia="Times New Roman"/>
        </w:rPr>
        <w:t>just approved</w:t>
      </w:r>
      <w:r>
        <w:rPr>
          <w:rFonts w:eastAsia="Times New Roman"/>
        </w:rPr>
        <w:t xml:space="preserve"> them</w:t>
      </w:r>
      <w:r w:rsidR="009F7D6D" w:rsidRPr="008E5914">
        <w:rPr>
          <w:rFonts w:eastAsia="Times New Roman"/>
        </w:rPr>
        <w:t>. Excited about IAIA, innovative collaboration. First annual reports coming in now.</w:t>
      </w:r>
    </w:p>
    <w:p w14:paraId="4DB405FA" w14:textId="54633A2E" w:rsidR="009F7D6D" w:rsidRPr="008E5914" w:rsidRDefault="009F7D6D" w:rsidP="008E5914">
      <w:pPr>
        <w:rPr>
          <w:rFonts w:eastAsia="Times New Roman"/>
        </w:rPr>
      </w:pPr>
      <w:r w:rsidRPr="008E5914">
        <w:rPr>
          <w:rFonts w:eastAsia="Times New Roman"/>
        </w:rPr>
        <w:t xml:space="preserve">UNRBA </w:t>
      </w:r>
      <w:r w:rsidR="008E5914">
        <w:rPr>
          <w:rFonts w:eastAsia="Times New Roman"/>
        </w:rPr>
        <w:t xml:space="preserve">is </w:t>
      </w:r>
      <w:r w:rsidRPr="008E5914">
        <w:rPr>
          <w:rFonts w:eastAsia="Times New Roman"/>
        </w:rPr>
        <w:t>wrapping up watershed model, lake models, Bayesian statistical model to tie quality to uses. All will wrap end 2023, coincide with Collaboratory report</w:t>
      </w:r>
      <w:r w:rsidR="001358BF">
        <w:rPr>
          <w:rFonts w:eastAsia="Times New Roman"/>
        </w:rPr>
        <w:t>, w</w:t>
      </w:r>
      <w:r w:rsidRPr="008E5914">
        <w:rPr>
          <w:rFonts w:eastAsia="Times New Roman"/>
        </w:rPr>
        <w:t xml:space="preserve">hereupon EMC will begin </w:t>
      </w:r>
      <w:r w:rsidR="007B3397">
        <w:rPr>
          <w:rFonts w:eastAsia="Times New Roman"/>
        </w:rPr>
        <w:t xml:space="preserve">Falls rules readoption </w:t>
      </w:r>
      <w:r w:rsidRPr="008E5914">
        <w:rPr>
          <w:rFonts w:eastAsia="Times New Roman"/>
        </w:rPr>
        <w:t xml:space="preserve">rulemaking. </w:t>
      </w:r>
    </w:p>
    <w:p w14:paraId="60AF4760" w14:textId="472AABC3" w:rsidR="007B3397" w:rsidRDefault="009F7D6D" w:rsidP="001358BF">
      <w:pPr>
        <w:rPr>
          <w:rFonts w:eastAsia="Times New Roman"/>
        </w:rPr>
      </w:pPr>
      <w:r w:rsidRPr="007B3397">
        <w:rPr>
          <w:rFonts w:eastAsia="Times New Roman"/>
          <w:b/>
          <w:bCs/>
        </w:rPr>
        <w:t>Neuse/Tar</w:t>
      </w:r>
      <w:r w:rsidR="007B3397" w:rsidRPr="007B3397">
        <w:rPr>
          <w:rFonts w:eastAsia="Times New Roman"/>
          <w:b/>
          <w:bCs/>
        </w:rPr>
        <w:t xml:space="preserve"> – Trish:</w:t>
      </w:r>
      <w:r w:rsidR="001358BF">
        <w:rPr>
          <w:rFonts w:eastAsia="Times New Roman"/>
        </w:rPr>
        <w:t xml:space="preserve"> </w:t>
      </w:r>
      <w:r w:rsidRPr="001358BF">
        <w:rPr>
          <w:rFonts w:eastAsia="Times New Roman"/>
        </w:rPr>
        <w:t>New D</w:t>
      </w:r>
      <w:r w:rsidR="001358BF">
        <w:rPr>
          <w:rFonts w:eastAsia="Times New Roman"/>
        </w:rPr>
        <w:t>evelopment</w:t>
      </w:r>
      <w:r w:rsidRPr="001358BF">
        <w:rPr>
          <w:rFonts w:eastAsia="Times New Roman"/>
        </w:rPr>
        <w:t xml:space="preserve"> – </w:t>
      </w:r>
      <w:r w:rsidR="007B3397">
        <w:rPr>
          <w:rFonts w:eastAsia="Times New Roman"/>
        </w:rPr>
        <w:t xml:space="preserve">September </w:t>
      </w:r>
      <w:r w:rsidRPr="001358BF">
        <w:rPr>
          <w:rFonts w:eastAsia="Times New Roman"/>
        </w:rPr>
        <w:t xml:space="preserve">EMC approved 13 of 19 initial cohort 1 programs </w:t>
      </w:r>
      <w:r w:rsidR="007B3397">
        <w:rPr>
          <w:rFonts w:eastAsia="Times New Roman"/>
        </w:rPr>
        <w:t xml:space="preserve">(subject to original N/T rules) </w:t>
      </w:r>
      <w:r w:rsidRPr="001358BF">
        <w:rPr>
          <w:rFonts w:eastAsia="Times New Roman"/>
        </w:rPr>
        <w:t xml:space="preserve">under new rule. Other 6 </w:t>
      </w:r>
      <w:r w:rsidR="001358BF">
        <w:rPr>
          <w:rFonts w:eastAsia="Times New Roman"/>
        </w:rPr>
        <w:t xml:space="preserve">will be </w:t>
      </w:r>
      <w:r w:rsidRPr="001358BF">
        <w:rPr>
          <w:rFonts w:eastAsia="Times New Roman"/>
        </w:rPr>
        <w:t xml:space="preserve">resolved over next 6 months. </w:t>
      </w:r>
      <w:r w:rsidR="007B3397">
        <w:rPr>
          <w:rFonts w:eastAsia="Times New Roman"/>
        </w:rPr>
        <w:t xml:space="preserve">Now reviewing remaining 4 Cohort 1’s and all Cohort 2’s (newly subject to N/T rules). Next </w:t>
      </w:r>
      <w:proofErr w:type="spellStart"/>
      <w:r w:rsidR="007B3397">
        <w:rPr>
          <w:rFonts w:eastAsia="Times New Roman"/>
        </w:rPr>
        <w:t>reuest</w:t>
      </w:r>
      <w:proofErr w:type="spellEnd"/>
      <w:r w:rsidR="007B3397">
        <w:rPr>
          <w:rFonts w:eastAsia="Times New Roman"/>
        </w:rPr>
        <w:t xml:space="preserve"> to EMC probably March 2023.</w:t>
      </w:r>
    </w:p>
    <w:p w14:paraId="0501B28B" w14:textId="000542E8" w:rsidR="00E800F0" w:rsidRDefault="009F7D6D" w:rsidP="001358BF">
      <w:pPr>
        <w:rPr>
          <w:rFonts w:eastAsia="Times New Roman"/>
        </w:rPr>
      </w:pPr>
      <w:r w:rsidRPr="007B3397">
        <w:rPr>
          <w:rFonts w:eastAsia="Times New Roman"/>
          <w:b/>
          <w:bCs/>
        </w:rPr>
        <w:t xml:space="preserve">SNAP </w:t>
      </w:r>
      <w:r w:rsidR="007B3397">
        <w:rPr>
          <w:rFonts w:eastAsia="Times New Roman"/>
          <w:b/>
          <w:bCs/>
        </w:rPr>
        <w:t>T</w:t>
      </w:r>
      <w:r w:rsidRPr="007B3397">
        <w:rPr>
          <w:rFonts w:eastAsia="Times New Roman"/>
          <w:b/>
          <w:bCs/>
        </w:rPr>
        <w:t>ool</w:t>
      </w:r>
      <w:r w:rsidR="001358BF">
        <w:rPr>
          <w:rFonts w:eastAsia="Times New Roman"/>
        </w:rPr>
        <w:t xml:space="preserve"> is</w:t>
      </w:r>
      <w:r w:rsidRPr="001358BF">
        <w:rPr>
          <w:rFonts w:eastAsia="Times New Roman"/>
        </w:rPr>
        <w:t xml:space="preserve"> being revised in time for the</w:t>
      </w:r>
      <w:r w:rsidR="007B3397">
        <w:rPr>
          <w:rFonts w:eastAsia="Times New Roman"/>
        </w:rPr>
        <w:t>se</w:t>
      </w:r>
      <w:r w:rsidRPr="001358BF">
        <w:rPr>
          <w:rFonts w:eastAsia="Times New Roman"/>
        </w:rPr>
        <w:t xml:space="preserve"> first approvals to</w:t>
      </w:r>
      <w:r w:rsidR="007B3397">
        <w:rPr>
          <w:rFonts w:eastAsia="Times New Roman"/>
        </w:rPr>
        <w:t xml:space="preserve"> have it available when they</w:t>
      </w:r>
      <w:r w:rsidRPr="001358BF">
        <w:rPr>
          <w:rFonts w:eastAsia="Times New Roman"/>
        </w:rPr>
        <w:t xml:space="preserve"> implement in 6 months</w:t>
      </w:r>
      <w:r w:rsidR="007B3397">
        <w:rPr>
          <w:rFonts w:eastAsia="Times New Roman"/>
        </w:rPr>
        <w:t xml:space="preserve"> from September – </w:t>
      </w:r>
      <w:r w:rsidR="002532EC">
        <w:rPr>
          <w:rFonts w:eastAsia="Times New Roman"/>
        </w:rPr>
        <w:t>April</w:t>
      </w:r>
      <w:r w:rsidR="007B3397">
        <w:rPr>
          <w:rFonts w:eastAsia="Times New Roman"/>
        </w:rPr>
        <w:t xml:space="preserve"> 2023</w:t>
      </w:r>
      <w:r w:rsidRPr="001358BF">
        <w:rPr>
          <w:rFonts w:eastAsia="Times New Roman"/>
        </w:rPr>
        <w:t xml:space="preserve">. </w:t>
      </w:r>
    </w:p>
    <w:p w14:paraId="7A8A7E07" w14:textId="68ECCDD2" w:rsidR="00E800F0" w:rsidRDefault="007B3397" w:rsidP="00E800F0">
      <w:pPr>
        <w:pStyle w:val="ListParagraph"/>
        <w:numPr>
          <w:ilvl w:val="0"/>
          <w:numId w:val="9"/>
        </w:numPr>
        <w:spacing w:after="0"/>
        <w:rPr>
          <w:sz w:val="24"/>
          <w:szCs w:val="24"/>
        </w:rPr>
      </w:pPr>
      <w:r>
        <w:rPr>
          <w:sz w:val="24"/>
          <w:szCs w:val="24"/>
        </w:rPr>
        <w:t>The</w:t>
      </w:r>
      <w:r w:rsidR="00E800F0" w:rsidRPr="00E800F0">
        <w:rPr>
          <w:sz w:val="24"/>
          <w:szCs w:val="24"/>
        </w:rPr>
        <w:t xml:space="preserve"> new SNAP tool</w:t>
      </w:r>
      <w:r>
        <w:rPr>
          <w:sz w:val="24"/>
          <w:szCs w:val="24"/>
        </w:rPr>
        <w:t xml:space="preserve"> will be</w:t>
      </w:r>
      <w:r w:rsidR="00E800F0" w:rsidRPr="00E800F0">
        <w:rPr>
          <w:sz w:val="24"/>
          <w:szCs w:val="24"/>
        </w:rPr>
        <w:t xml:space="preserve"> somewhat simplified from the current. For those needing more complicated features, </w:t>
      </w:r>
      <w:r w:rsidR="002532EC">
        <w:rPr>
          <w:sz w:val="24"/>
          <w:szCs w:val="24"/>
        </w:rPr>
        <w:t xml:space="preserve">we </w:t>
      </w:r>
      <w:r w:rsidR="00E800F0" w:rsidRPr="00E800F0">
        <w:rPr>
          <w:sz w:val="24"/>
          <w:szCs w:val="24"/>
        </w:rPr>
        <w:t xml:space="preserve">may release a special edition </w:t>
      </w:r>
      <w:r>
        <w:rPr>
          <w:sz w:val="24"/>
          <w:szCs w:val="24"/>
        </w:rPr>
        <w:t>later</w:t>
      </w:r>
      <w:r w:rsidR="00E800F0" w:rsidRPr="00E800F0">
        <w:rPr>
          <w:sz w:val="24"/>
          <w:szCs w:val="24"/>
        </w:rPr>
        <w:t>. The new simpler tool will be more like the Tar-Pam tool in complexity.</w:t>
      </w:r>
    </w:p>
    <w:p w14:paraId="0EED2A6B" w14:textId="25D3DC12" w:rsidR="00920345" w:rsidRPr="00920345" w:rsidRDefault="007B3397" w:rsidP="00920345">
      <w:pPr>
        <w:pStyle w:val="ListParagraph"/>
        <w:numPr>
          <w:ilvl w:val="0"/>
          <w:numId w:val="9"/>
        </w:numPr>
        <w:rPr>
          <w:rFonts w:eastAsia="Times New Roman"/>
        </w:rPr>
      </w:pPr>
      <w:r>
        <w:rPr>
          <w:rFonts w:eastAsia="Times New Roman"/>
        </w:rPr>
        <w:t xml:space="preserve">Schedule: </w:t>
      </w:r>
      <w:r w:rsidR="00920345" w:rsidRPr="00920345">
        <w:rPr>
          <w:rFonts w:eastAsia="Times New Roman"/>
        </w:rPr>
        <w:t xml:space="preserve">Will </w:t>
      </w:r>
      <w:r>
        <w:rPr>
          <w:rFonts w:eastAsia="Times New Roman"/>
        </w:rPr>
        <w:t>release it</w:t>
      </w:r>
      <w:r w:rsidR="00920345" w:rsidRPr="00920345">
        <w:rPr>
          <w:rFonts w:eastAsia="Times New Roman"/>
        </w:rPr>
        <w:t xml:space="preserve"> for beta review December, then</w:t>
      </w:r>
      <w:r w:rsidR="003D4B81">
        <w:rPr>
          <w:rFonts w:eastAsia="Times New Roman"/>
        </w:rPr>
        <w:t xml:space="preserve"> hold</w:t>
      </w:r>
      <w:r w:rsidR="00920345" w:rsidRPr="00920345">
        <w:rPr>
          <w:rFonts w:eastAsia="Times New Roman"/>
        </w:rPr>
        <w:t xml:space="preserve"> </w:t>
      </w:r>
      <w:r w:rsidR="003D4B81">
        <w:rPr>
          <w:rFonts w:eastAsia="Times New Roman"/>
        </w:rPr>
        <w:t>local government</w:t>
      </w:r>
      <w:r w:rsidR="00920345" w:rsidRPr="00920345">
        <w:rPr>
          <w:rFonts w:eastAsia="Times New Roman"/>
        </w:rPr>
        <w:t xml:space="preserve"> training Feb/Mar, then</w:t>
      </w:r>
      <w:r w:rsidR="003D4B81">
        <w:rPr>
          <w:rFonts w:eastAsia="Times New Roman"/>
        </w:rPr>
        <w:t xml:space="preserve"> a</w:t>
      </w:r>
      <w:r w:rsidR="00920345" w:rsidRPr="00920345">
        <w:rPr>
          <w:rFonts w:eastAsia="Times New Roman"/>
        </w:rPr>
        <w:t xml:space="preserve"> short intro </w:t>
      </w:r>
      <w:r>
        <w:rPr>
          <w:rFonts w:eastAsia="Times New Roman"/>
        </w:rPr>
        <w:t xml:space="preserve">training </w:t>
      </w:r>
      <w:r w:rsidR="00920345" w:rsidRPr="00920345">
        <w:rPr>
          <w:rFonts w:eastAsia="Times New Roman"/>
        </w:rPr>
        <w:t xml:space="preserve">for consultants. All will be recorded and put online for anytime access. </w:t>
      </w:r>
    </w:p>
    <w:p w14:paraId="20453DDD" w14:textId="5AC79F3C" w:rsidR="00E800F0" w:rsidRPr="002532EC" w:rsidRDefault="00E800F0" w:rsidP="002532EC">
      <w:pPr>
        <w:spacing w:after="0"/>
        <w:rPr>
          <w:sz w:val="24"/>
          <w:szCs w:val="24"/>
        </w:rPr>
      </w:pPr>
      <w:r w:rsidRPr="002532EC">
        <w:rPr>
          <w:sz w:val="24"/>
          <w:szCs w:val="24"/>
        </w:rPr>
        <w:t>We are also completing a state of the watershed report on the Neuse and Tar-Pamlico basins</w:t>
      </w:r>
      <w:r w:rsidR="002532EC">
        <w:rPr>
          <w:sz w:val="24"/>
          <w:szCs w:val="24"/>
        </w:rPr>
        <w:t xml:space="preserve"> per rule requirement</w:t>
      </w:r>
      <w:r w:rsidRPr="002532EC">
        <w:rPr>
          <w:sz w:val="24"/>
          <w:szCs w:val="24"/>
        </w:rPr>
        <w:t>, reviewing the last 20 years</w:t>
      </w:r>
      <w:r w:rsidR="002532EC">
        <w:rPr>
          <w:sz w:val="24"/>
          <w:szCs w:val="24"/>
        </w:rPr>
        <w:t xml:space="preserve"> of implementation, estuary status and trends, watershed changes, making adaptive recommendations. To be completed by April 2023.</w:t>
      </w:r>
    </w:p>
    <w:p w14:paraId="7CA6EF0B" w14:textId="4A95A173" w:rsidR="00135B43" w:rsidRPr="00AF4333" w:rsidRDefault="00E33683" w:rsidP="002532EC">
      <w:pPr>
        <w:spacing w:after="0"/>
        <w:rPr>
          <w:sz w:val="24"/>
          <w:szCs w:val="24"/>
        </w:rPr>
      </w:pPr>
      <w:r>
        <w:rPr>
          <w:sz w:val="24"/>
          <w:szCs w:val="24"/>
        </w:rPr>
        <w:t xml:space="preserve">Rich: </w:t>
      </w:r>
      <w:r w:rsidR="00D0440E" w:rsidRPr="00AF4333">
        <w:rPr>
          <w:sz w:val="24"/>
          <w:szCs w:val="24"/>
        </w:rPr>
        <w:t xml:space="preserve">This </w:t>
      </w:r>
      <w:r w:rsidR="00AF4333">
        <w:rPr>
          <w:sz w:val="24"/>
          <w:szCs w:val="24"/>
        </w:rPr>
        <w:t xml:space="preserve">20-year </w:t>
      </w:r>
      <w:r w:rsidR="00D0440E" w:rsidRPr="00AF4333">
        <w:rPr>
          <w:sz w:val="24"/>
          <w:szCs w:val="24"/>
        </w:rPr>
        <w:t xml:space="preserve">report is </w:t>
      </w:r>
      <w:r w:rsidR="002532EC">
        <w:rPr>
          <w:sz w:val="24"/>
          <w:szCs w:val="24"/>
        </w:rPr>
        <w:t>to the Director/</w:t>
      </w:r>
      <w:proofErr w:type="gramStart"/>
      <w:r w:rsidR="002532EC">
        <w:rPr>
          <w:sz w:val="24"/>
          <w:szCs w:val="24"/>
        </w:rPr>
        <w:t>ourselves</w:t>
      </w:r>
      <w:proofErr w:type="gramEnd"/>
      <w:r w:rsidRPr="00AF4333">
        <w:rPr>
          <w:sz w:val="24"/>
          <w:szCs w:val="24"/>
        </w:rPr>
        <w:t>, but we will engage with stakeholders and share it out when it’s done.</w:t>
      </w:r>
    </w:p>
    <w:p w14:paraId="4D88DA9C" w14:textId="695FA7AB" w:rsidR="00E33683" w:rsidRDefault="00E33683" w:rsidP="00620CB5">
      <w:pPr>
        <w:spacing w:after="0"/>
        <w:rPr>
          <w:sz w:val="24"/>
          <w:szCs w:val="24"/>
        </w:rPr>
      </w:pPr>
    </w:p>
    <w:p w14:paraId="15B044BC" w14:textId="28F4CCE4" w:rsidR="002532EC" w:rsidRPr="002532EC" w:rsidRDefault="002532EC" w:rsidP="00620CB5">
      <w:pPr>
        <w:spacing w:after="0"/>
        <w:rPr>
          <w:b/>
          <w:bCs/>
          <w:sz w:val="24"/>
          <w:szCs w:val="24"/>
        </w:rPr>
      </w:pPr>
      <w:r w:rsidRPr="002532EC">
        <w:rPr>
          <w:b/>
          <w:bCs/>
          <w:sz w:val="24"/>
          <w:szCs w:val="24"/>
        </w:rPr>
        <w:lastRenderedPageBreak/>
        <w:t>High Rock Nutrient Strategy – Rich:</w:t>
      </w:r>
    </w:p>
    <w:p w14:paraId="1F3DB96C" w14:textId="4B9F71D8" w:rsidR="0094324F" w:rsidRPr="00AF4333" w:rsidRDefault="00E33683" w:rsidP="00AF4333">
      <w:pPr>
        <w:pStyle w:val="ListParagraph"/>
        <w:numPr>
          <w:ilvl w:val="0"/>
          <w:numId w:val="8"/>
        </w:numPr>
        <w:spacing w:after="0"/>
        <w:rPr>
          <w:sz w:val="24"/>
          <w:szCs w:val="24"/>
        </w:rPr>
      </w:pPr>
      <w:r w:rsidRPr="00AF4333">
        <w:rPr>
          <w:sz w:val="24"/>
          <w:szCs w:val="24"/>
        </w:rPr>
        <w:t xml:space="preserve">We have launched the High Rock Lake </w:t>
      </w:r>
      <w:r w:rsidR="002532EC">
        <w:rPr>
          <w:sz w:val="24"/>
          <w:szCs w:val="24"/>
        </w:rPr>
        <w:t>NMS rulemaking</w:t>
      </w:r>
      <w:r w:rsidRPr="00AF4333">
        <w:rPr>
          <w:sz w:val="24"/>
          <w:szCs w:val="24"/>
        </w:rPr>
        <w:t xml:space="preserve"> stakeholder process</w:t>
      </w:r>
      <w:r w:rsidR="00C92945" w:rsidRPr="00AF4333">
        <w:rPr>
          <w:sz w:val="24"/>
          <w:szCs w:val="24"/>
        </w:rPr>
        <w:t xml:space="preserve">. </w:t>
      </w:r>
      <w:r w:rsidR="0094324F" w:rsidRPr="00AF4333">
        <w:rPr>
          <w:sz w:val="24"/>
          <w:szCs w:val="24"/>
        </w:rPr>
        <w:t xml:space="preserve">This will be a </w:t>
      </w:r>
      <w:proofErr w:type="gramStart"/>
      <w:r w:rsidR="0094324F" w:rsidRPr="00AF4333">
        <w:rPr>
          <w:sz w:val="24"/>
          <w:szCs w:val="24"/>
        </w:rPr>
        <w:t>15-18 month</w:t>
      </w:r>
      <w:proofErr w:type="gramEnd"/>
      <w:r w:rsidR="0094324F" w:rsidRPr="00AF4333">
        <w:rPr>
          <w:sz w:val="24"/>
          <w:szCs w:val="24"/>
        </w:rPr>
        <w:t xml:space="preserve"> process including a hiatus where we draft rule text and take it back to stakeholders. The wrap-up will be a report including the </w:t>
      </w:r>
      <w:r w:rsidR="00F63F54" w:rsidRPr="00AF4333">
        <w:rPr>
          <w:sz w:val="24"/>
          <w:szCs w:val="24"/>
        </w:rPr>
        <w:t xml:space="preserve">input from stakeholders. This is different from previous nutrient strategy developments – hopefully </w:t>
      </w:r>
      <w:r w:rsidR="003A5C7B" w:rsidRPr="00AF4333">
        <w:rPr>
          <w:sz w:val="24"/>
          <w:szCs w:val="24"/>
        </w:rPr>
        <w:t>mashing up the best parts of previous ones. T</w:t>
      </w:r>
      <w:r w:rsidR="00F63F54" w:rsidRPr="00AF4333">
        <w:rPr>
          <w:sz w:val="24"/>
          <w:szCs w:val="24"/>
        </w:rPr>
        <w:t>here will be periodic all-stakeholder meetings and a steering committee of stakeholders with experience, and technical advisory groups by subject.</w:t>
      </w:r>
      <w:r w:rsidR="003A5C7B" w:rsidRPr="00AF4333">
        <w:rPr>
          <w:sz w:val="24"/>
          <w:szCs w:val="24"/>
        </w:rPr>
        <w:t xml:space="preserve"> Joey Hester is leading all this. </w:t>
      </w:r>
    </w:p>
    <w:p w14:paraId="6277392B" w14:textId="0D41564D" w:rsidR="00E33683" w:rsidRDefault="003A5C7B" w:rsidP="00AF4333">
      <w:pPr>
        <w:pStyle w:val="ListParagraph"/>
        <w:numPr>
          <w:ilvl w:val="0"/>
          <w:numId w:val="8"/>
        </w:numPr>
        <w:spacing w:after="0"/>
        <w:rPr>
          <w:sz w:val="24"/>
          <w:szCs w:val="24"/>
        </w:rPr>
      </w:pPr>
      <w:r w:rsidRPr="00AF4333">
        <w:rPr>
          <w:sz w:val="24"/>
          <w:szCs w:val="24"/>
        </w:rPr>
        <w:t>Independently t</w:t>
      </w:r>
      <w:r w:rsidR="00BF31BE" w:rsidRPr="00AF4333">
        <w:rPr>
          <w:sz w:val="24"/>
          <w:szCs w:val="24"/>
        </w:rPr>
        <w:t xml:space="preserve">he 35 geomean </w:t>
      </w:r>
      <w:proofErr w:type="spellStart"/>
      <w:r w:rsidR="00BF31BE" w:rsidRPr="00AF4333">
        <w:rPr>
          <w:sz w:val="24"/>
          <w:szCs w:val="24"/>
        </w:rPr>
        <w:t>chla</w:t>
      </w:r>
      <w:proofErr w:type="spellEnd"/>
      <w:r w:rsidR="00BF31BE" w:rsidRPr="00AF4333">
        <w:rPr>
          <w:sz w:val="24"/>
          <w:szCs w:val="24"/>
        </w:rPr>
        <w:t xml:space="preserve"> standard </w:t>
      </w:r>
      <w:r w:rsidR="002532EC">
        <w:rPr>
          <w:sz w:val="24"/>
          <w:szCs w:val="24"/>
        </w:rPr>
        <w:t xml:space="preserve">was </w:t>
      </w:r>
      <w:r w:rsidR="00BF31BE" w:rsidRPr="00AF4333">
        <w:rPr>
          <w:sz w:val="24"/>
          <w:szCs w:val="24"/>
        </w:rPr>
        <w:t>a</w:t>
      </w:r>
      <w:r w:rsidR="00C92945" w:rsidRPr="00AF4333">
        <w:rPr>
          <w:sz w:val="24"/>
          <w:szCs w:val="24"/>
        </w:rPr>
        <w:t xml:space="preserve">pproved by </w:t>
      </w:r>
      <w:r w:rsidR="002532EC">
        <w:rPr>
          <w:sz w:val="24"/>
          <w:szCs w:val="24"/>
        </w:rPr>
        <w:t xml:space="preserve">July </w:t>
      </w:r>
      <w:r w:rsidR="00C92945" w:rsidRPr="00AF4333">
        <w:rPr>
          <w:sz w:val="24"/>
          <w:szCs w:val="24"/>
        </w:rPr>
        <w:t>EMC</w:t>
      </w:r>
      <w:r w:rsidR="002532EC">
        <w:rPr>
          <w:sz w:val="24"/>
          <w:szCs w:val="24"/>
        </w:rPr>
        <w:t xml:space="preserve"> and August </w:t>
      </w:r>
      <w:r w:rsidR="00C92945" w:rsidRPr="00AF4333">
        <w:rPr>
          <w:sz w:val="24"/>
          <w:szCs w:val="24"/>
        </w:rPr>
        <w:t>RRC, just need</w:t>
      </w:r>
      <w:r w:rsidR="002532EC">
        <w:rPr>
          <w:sz w:val="24"/>
          <w:szCs w:val="24"/>
        </w:rPr>
        <w:t>s</w:t>
      </w:r>
      <w:r w:rsidR="00C92945" w:rsidRPr="00AF4333">
        <w:rPr>
          <w:sz w:val="24"/>
          <w:szCs w:val="24"/>
        </w:rPr>
        <w:t xml:space="preserve"> </w:t>
      </w:r>
      <w:r w:rsidR="00BF31BE" w:rsidRPr="00AF4333">
        <w:rPr>
          <w:sz w:val="24"/>
          <w:szCs w:val="24"/>
        </w:rPr>
        <w:t>EPA approval</w:t>
      </w:r>
      <w:r w:rsidR="002532EC">
        <w:rPr>
          <w:sz w:val="24"/>
          <w:szCs w:val="24"/>
        </w:rPr>
        <w:t xml:space="preserve"> at this point to go into effect. However, the lake nutrient reduction needs are sufficiently similar under both current and newly adopted standards that we can commence the regulatory needs discussions now and plug in the numbers when they are settled.</w:t>
      </w:r>
    </w:p>
    <w:p w14:paraId="1E9875E8" w14:textId="3FC3FB0C" w:rsidR="00C20B23" w:rsidRDefault="00C20B23" w:rsidP="00C20B23">
      <w:pPr>
        <w:spacing w:after="0"/>
        <w:rPr>
          <w:sz w:val="24"/>
          <w:szCs w:val="24"/>
        </w:rPr>
      </w:pPr>
    </w:p>
    <w:p w14:paraId="164051AB" w14:textId="77777777" w:rsidR="00C20B23" w:rsidRDefault="00C20B23" w:rsidP="00DB3B94">
      <w:pPr>
        <w:spacing w:after="0"/>
        <w:ind w:left="360"/>
        <w:rPr>
          <w:sz w:val="24"/>
          <w:szCs w:val="24"/>
        </w:rPr>
      </w:pPr>
      <w:r>
        <w:rPr>
          <w:sz w:val="24"/>
          <w:szCs w:val="24"/>
        </w:rPr>
        <w:t xml:space="preserve">Mike Burchell: For High Rock, will there be any focus on looking at how wastewater dischargers contribute? </w:t>
      </w:r>
    </w:p>
    <w:p w14:paraId="3C89D368" w14:textId="77777777" w:rsidR="00C20B23" w:rsidRDefault="00C20B23" w:rsidP="00DB3B94">
      <w:pPr>
        <w:spacing w:after="0"/>
        <w:ind w:left="360"/>
        <w:rPr>
          <w:sz w:val="24"/>
          <w:szCs w:val="24"/>
        </w:rPr>
      </w:pPr>
      <w:r>
        <w:rPr>
          <w:sz w:val="24"/>
          <w:szCs w:val="24"/>
        </w:rPr>
        <w:t xml:space="preserve">Rich: Yes, as </w:t>
      </w:r>
      <w:proofErr w:type="gramStart"/>
      <w:r>
        <w:rPr>
          <w:sz w:val="24"/>
          <w:szCs w:val="24"/>
        </w:rPr>
        <w:t>usual</w:t>
      </w:r>
      <w:proofErr w:type="gramEnd"/>
      <w:r>
        <w:rPr>
          <w:sz w:val="24"/>
          <w:szCs w:val="24"/>
        </w:rPr>
        <w:t xml:space="preserve"> point sources </w:t>
      </w:r>
      <w:proofErr w:type="gramStart"/>
      <w:r>
        <w:rPr>
          <w:sz w:val="24"/>
          <w:szCs w:val="24"/>
        </w:rPr>
        <w:t>have to</w:t>
      </w:r>
      <w:proofErr w:type="gramEnd"/>
      <w:r>
        <w:rPr>
          <w:sz w:val="24"/>
          <w:szCs w:val="24"/>
        </w:rPr>
        <w:t xml:space="preserve"> figure into the strategy. We have been engaged with the Association, who proposed a strategy in a white paper in 2018. </w:t>
      </w:r>
    </w:p>
    <w:p w14:paraId="0E8015CD" w14:textId="77777777" w:rsidR="00C20B23" w:rsidRDefault="00C20B23" w:rsidP="00DB3B94">
      <w:pPr>
        <w:spacing w:after="0"/>
        <w:ind w:left="360"/>
        <w:rPr>
          <w:sz w:val="24"/>
          <w:szCs w:val="24"/>
        </w:rPr>
      </w:pPr>
      <w:r>
        <w:rPr>
          <w:sz w:val="24"/>
          <w:szCs w:val="24"/>
        </w:rPr>
        <w:t xml:space="preserve">Mike: Minor dischargers, less than 1 MGD, often don’t have very stringent nutrient criteria for their permits – particularly for package plants, which are pumping out nitrate. I would suggest that someone </w:t>
      </w:r>
      <w:proofErr w:type="gramStart"/>
      <w:r>
        <w:rPr>
          <w:sz w:val="24"/>
          <w:szCs w:val="24"/>
        </w:rPr>
        <w:t>take a look</w:t>
      </w:r>
      <w:proofErr w:type="gramEnd"/>
      <w:r>
        <w:rPr>
          <w:sz w:val="24"/>
          <w:szCs w:val="24"/>
        </w:rPr>
        <w:t xml:space="preserve"> at that. I don’t know how significant that source is, but that seems important to establish. If it’s important, might need advanced treatment technology in those areas. </w:t>
      </w:r>
    </w:p>
    <w:p w14:paraId="02E0C621" w14:textId="4B2640D3" w:rsidR="00BF31BE" w:rsidRDefault="00BF31BE" w:rsidP="00620CB5">
      <w:pPr>
        <w:spacing w:after="0"/>
        <w:rPr>
          <w:sz w:val="24"/>
          <w:szCs w:val="24"/>
        </w:rPr>
      </w:pPr>
    </w:p>
    <w:p w14:paraId="1591CDA0" w14:textId="103A3D97" w:rsidR="002532EC" w:rsidRPr="002532EC" w:rsidRDefault="002532EC" w:rsidP="00620CB5">
      <w:pPr>
        <w:spacing w:after="0"/>
        <w:rPr>
          <w:b/>
          <w:bCs/>
          <w:sz w:val="24"/>
          <w:szCs w:val="24"/>
        </w:rPr>
      </w:pPr>
      <w:r w:rsidRPr="002532EC">
        <w:rPr>
          <w:b/>
          <w:bCs/>
          <w:sz w:val="24"/>
          <w:szCs w:val="24"/>
        </w:rPr>
        <w:t>Jordan Nutrient Strategy - Rich:</w:t>
      </w:r>
    </w:p>
    <w:p w14:paraId="1FD4E7AC" w14:textId="5EDF82CD" w:rsidR="00CC06D2" w:rsidRPr="00AF4333" w:rsidRDefault="003A5C7B" w:rsidP="00AF4333">
      <w:pPr>
        <w:pStyle w:val="ListParagraph"/>
        <w:numPr>
          <w:ilvl w:val="0"/>
          <w:numId w:val="8"/>
        </w:numPr>
        <w:spacing w:after="0"/>
        <w:rPr>
          <w:sz w:val="24"/>
          <w:szCs w:val="24"/>
        </w:rPr>
      </w:pPr>
      <w:r w:rsidRPr="00AF4333">
        <w:rPr>
          <w:sz w:val="24"/>
          <w:szCs w:val="24"/>
        </w:rPr>
        <w:t xml:space="preserve">We are still in the process of hiring a replacement for </w:t>
      </w:r>
      <w:r w:rsidR="002532EC">
        <w:rPr>
          <w:sz w:val="24"/>
          <w:szCs w:val="24"/>
        </w:rPr>
        <w:t>depa</w:t>
      </w:r>
      <w:r w:rsidR="00C20B23">
        <w:rPr>
          <w:sz w:val="24"/>
          <w:szCs w:val="24"/>
        </w:rPr>
        <w:t xml:space="preserve">rted </w:t>
      </w:r>
      <w:r w:rsidRPr="00AF4333">
        <w:rPr>
          <w:sz w:val="24"/>
          <w:szCs w:val="24"/>
        </w:rPr>
        <w:t xml:space="preserve">nutrient strategy coordinator Patrick Beggs. </w:t>
      </w:r>
      <w:r w:rsidR="00C20B23">
        <w:rPr>
          <w:sz w:val="24"/>
          <w:szCs w:val="24"/>
        </w:rPr>
        <w:t xml:space="preserve">At the same time, the bigger delay has to do with the lake model. </w:t>
      </w:r>
      <w:r w:rsidRPr="00AF4333">
        <w:rPr>
          <w:sz w:val="24"/>
          <w:szCs w:val="24"/>
        </w:rPr>
        <w:t>T</w:t>
      </w:r>
      <w:r w:rsidR="00461876" w:rsidRPr="00AF4333">
        <w:rPr>
          <w:sz w:val="24"/>
          <w:szCs w:val="24"/>
        </w:rPr>
        <w:t xml:space="preserve">he lake model was </w:t>
      </w:r>
      <w:r w:rsidR="00C20B23">
        <w:rPr>
          <w:sz w:val="24"/>
          <w:szCs w:val="24"/>
        </w:rPr>
        <w:t>mandated by the General Assembly and given</w:t>
      </w:r>
      <w:r w:rsidR="00461876" w:rsidRPr="00AF4333">
        <w:rPr>
          <w:sz w:val="24"/>
          <w:szCs w:val="24"/>
        </w:rPr>
        <w:t xml:space="preserve"> one year</w:t>
      </w:r>
      <w:r w:rsidR="00C20B23">
        <w:rPr>
          <w:sz w:val="24"/>
          <w:szCs w:val="24"/>
        </w:rPr>
        <w:t xml:space="preserve"> to complete</w:t>
      </w:r>
      <w:r w:rsidR="00461876" w:rsidRPr="00AF4333">
        <w:rPr>
          <w:sz w:val="24"/>
          <w:szCs w:val="24"/>
        </w:rPr>
        <w:t xml:space="preserve">, but for regulatory purposes more refinements </w:t>
      </w:r>
      <w:r w:rsidR="00C20B23">
        <w:rPr>
          <w:sz w:val="24"/>
          <w:szCs w:val="24"/>
        </w:rPr>
        <w:t xml:space="preserve">were </w:t>
      </w:r>
      <w:r w:rsidR="00461876" w:rsidRPr="00AF4333">
        <w:rPr>
          <w:sz w:val="24"/>
          <w:szCs w:val="24"/>
        </w:rPr>
        <w:t>need</w:t>
      </w:r>
      <w:r w:rsidR="00C20B23">
        <w:rPr>
          <w:sz w:val="24"/>
          <w:szCs w:val="24"/>
        </w:rPr>
        <w:t>ed. A round of refinements was</w:t>
      </w:r>
      <w:r w:rsidR="00885FDD" w:rsidRPr="00AF4333">
        <w:rPr>
          <w:sz w:val="24"/>
          <w:szCs w:val="24"/>
        </w:rPr>
        <w:t xml:space="preserve"> completed by Jim Bowen</w:t>
      </w:r>
      <w:r w:rsidR="00C20B23">
        <w:rPr>
          <w:sz w:val="24"/>
          <w:szCs w:val="24"/>
        </w:rPr>
        <w:t xml:space="preserve">, and we are now on a follow-on contract that runs until </w:t>
      </w:r>
      <w:r w:rsidR="00885FDD" w:rsidRPr="00AF4333">
        <w:rPr>
          <w:sz w:val="24"/>
          <w:szCs w:val="24"/>
        </w:rPr>
        <w:t xml:space="preserve">summer 2023 to finish </w:t>
      </w:r>
      <w:r w:rsidR="00C20B23">
        <w:rPr>
          <w:sz w:val="24"/>
          <w:szCs w:val="24"/>
        </w:rPr>
        <w:t>it</w:t>
      </w:r>
      <w:r w:rsidR="00885FDD" w:rsidRPr="00AF4333">
        <w:rPr>
          <w:sz w:val="24"/>
          <w:szCs w:val="24"/>
        </w:rPr>
        <w:t xml:space="preserve">. </w:t>
      </w:r>
      <w:r w:rsidR="00C20B23">
        <w:rPr>
          <w:sz w:val="24"/>
          <w:szCs w:val="24"/>
        </w:rPr>
        <w:t>A product</w:t>
      </w:r>
      <w:r w:rsidR="00885FDD" w:rsidRPr="00AF4333">
        <w:rPr>
          <w:sz w:val="24"/>
          <w:szCs w:val="24"/>
        </w:rPr>
        <w:t xml:space="preserve"> will be shared in spring </w:t>
      </w:r>
      <w:proofErr w:type="gramStart"/>
      <w:r w:rsidR="00885FDD" w:rsidRPr="00AF4333">
        <w:rPr>
          <w:sz w:val="24"/>
          <w:szCs w:val="24"/>
        </w:rPr>
        <w:t>2023, and</w:t>
      </w:r>
      <w:proofErr w:type="gramEnd"/>
      <w:r w:rsidR="00885FDD" w:rsidRPr="00AF4333">
        <w:rPr>
          <w:sz w:val="24"/>
          <w:szCs w:val="24"/>
        </w:rPr>
        <w:t xml:space="preserve"> released for external review </w:t>
      </w:r>
      <w:r w:rsidR="00C20B23">
        <w:rPr>
          <w:sz w:val="24"/>
          <w:szCs w:val="24"/>
        </w:rPr>
        <w:t xml:space="preserve">then </w:t>
      </w:r>
      <w:r w:rsidR="00885FDD" w:rsidRPr="00AF4333">
        <w:rPr>
          <w:sz w:val="24"/>
          <w:szCs w:val="24"/>
        </w:rPr>
        <w:t xml:space="preserve">through summer 2023. </w:t>
      </w:r>
      <w:r w:rsidR="00CC06D2" w:rsidRPr="00AF4333">
        <w:rPr>
          <w:sz w:val="24"/>
          <w:szCs w:val="24"/>
        </w:rPr>
        <w:t xml:space="preserve">Stakeholder process will start </w:t>
      </w:r>
      <w:r w:rsidR="00C20B23">
        <w:rPr>
          <w:sz w:val="24"/>
          <w:szCs w:val="24"/>
        </w:rPr>
        <w:t>somewhere in that</w:t>
      </w:r>
      <w:r w:rsidR="00CC06D2" w:rsidRPr="00AF4333">
        <w:rPr>
          <w:sz w:val="24"/>
          <w:szCs w:val="24"/>
        </w:rPr>
        <w:t xml:space="preserve"> timeframe. </w:t>
      </w:r>
    </w:p>
    <w:p w14:paraId="51DA9DC9" w14:textId="590A2956" w:rsidR="00E33683" w:rsidRPr="00AF4333" w:rsidRDefault="00CC06D2" w:rsidP="00AF4333">
      <w:pPr>
        <w:pStyle w:val="ListParagraph"/>
        <w:numPr>
          <w:ilvl w:val="0"/>
          <w:numId w:val="8"/>
        </w:numPr>
        <w:spacing w:after="0"/>
        <w:rPr>
          <w:sz w:val="24"/>
          <w:szCs w:val="24"/>
        </w:rPr>
      </w:pPr>
      <w:r w:rsidRPr="00AF4333">
        <w:rPr>
          <w:sz w:val="24"/>
          <w:szCs w:val="24"/>
        </w:rPr>
        <w:t xml:space="preserve">The Dispute Settlement Center is facilitating </w:t>
      </w:r>
      <w:r w:rsidR="00C20B23">
        <w:rPr>
          <w:sz w:val="24"/>
          <w:szCs w:val="24"/>
        </w:rPr>
        <w:t>the Jordan</w:t>
      </w:r>
      <w:r w:rsidRPr="00AF4333">
        <w:rPr>
          <w:sz w:val="24"/>
          <w:szCs w:val="24"/>
        </w:rPr>
        <w:t xml:space="preserve"> process as well as High Rock.</w:t>
      </w:r>
    </w:p>
    <w:p w14:paraId="5416CF98" w14:textId="0A26D230" w:rsidR="00E33683" w:rsidRDefault="00E33683" w:rsidP="00620CB5">
      <w:pPr>
        <w:spacing w:after="0"/>
        <w:rPr>
          <w:sz w:val="24"/>
          <w:szCs w:val="24"/>
        </w:rPr>
      </w:pPr>
    </w:p>
    <w:p w14:paraId="459FD256" w14:textId="69D68687" w:rsidR="00C20B23" w:rsidRPr="00C20B23" w:rsidRDefault="00C20B23" w:rsidP="00C20B23">
      <w:pPr>
        <w:spacing w:after="0"/>
        <w:rPr>
          <w:b/>
          <w:bCs/>
          <w:sz w:val="24"/>
          <w:szCs w:val="24"/>
        </w:rPr>
      </w:pPr>
      <w:r w:rsidRPr="00C20B23">
        <w:rPr>
          <w:b/>
          <w:bCs/>
          <w:sz w:val="24"/>
          <w:szCs w:val="24"/>
        </w:rPr>
        <w:t>NCDP Process – Rich:</w:t>
      </w:r>
    </w:p>
    <w:p w14:paraId="0E5A385C" w14:textId="79DB363C" w:rsidR="00E33683" w:rsidRPr="00AF4333" w:rsidRDefault="00014701" w:rsidP="00AF4333">
      <w:pPr>
        <w:pStyle w:val="ListParagraph"/>
        <w:numPr>
          <w:ilvl w:val="0"/>
          <w:numId w:val="8"/>
        </w:numPr>
        <w:spacing w:after="0"/>
        <w:rPr>
          <w:sz w:val="24"/>
          <w:szCs w:val="24"/>
        </w:rPr>
      </w:pPr>
      <w:r w:rsidRPr="00AF4333">
        <w:rPr>
          <w:sz w:val="24"/>
          <w:szCs w:val="24"/>
        </w:rPr>
        <w:t xml:space="preserve">After High Rock approval, they have moved on to Albemarle Sound. They are focusing on a clarity standard </w:t>
      </w:r>
      <w:r w:rsidR="00BD08A3" w:rsidRPr="00AF4333">
        <w:rPr>
          <w:sz w:val="24"/>
          <w:szCs w:val="24"/>
        </w:rPr>
        <w:t>(for protection of SAV) with</w:t>
      </w:r>
      <w:r w:rsidRPr="00AF4333">
        <w:rPr>
          <w:sz w:val="24"/>
          <w:szCs w:val="24"/>
        </w:rPr>
        <w:t xml:space="preserve"> the SAC researchers</w:t>
      </w:r>
      <w:r w:rsidR="00C20B23">
        <w:rPr>
          <w:sz w:val="24"/>
          <w:szCs w:val="24"/>
        </w:rPr>
        <w:t>, that effort is progressing well</w:t>
      </w:r>
      <w:r w:rsidRPr="00AF4333">
        <w:rPr>
          <w:sz w:val="24"/>
          <w:szCs w:val="24"/>
        </w:rPr>
        <w:t xml:space="preserve">. </w:t>
      </w:r>
      <w:r w:rsidR="00BD08A3" w:rsidRPr="00AF4333">
        <w:rPr>
          <w:sz w:val="24"/>
          <w:szCs w:val="24"/>
        </w:rPr>
        <w:t>Th</w:t>
      </w:r>
      <w:r w:rsidR="00ED5950" w:rsidRPr="00AF4333">
        <w:rPr>
          <w:sz w:val="24"/>
          <w:szCs w:val="24"/>
        </w:rPr>
        <w:t>e intent is to move on to the mid-lower Cape Fear after that for the flowing stream pilot.</w:t>
      </w:r>
    </w:p>
    <w:p w14:paraId="62DAD957" w14:textId="00D0CF87" w:rsidR="0028579A" w:rsidRDefault="0028579A" w:rsidP="00620CB5">
      <w:pPr>
        <w:spacing w:after="0"/>
        <w:rPr>
          <w:sz w:val="24"/>
          <w:szCs w:val="24"/>
        </w:rPr>
      </w:pPr>
    </w:p>
    <w:p w14:paraId="3CF6309E" w14:textId="77777777" w:rsidR="00D8063C" w:rsidRPr="00620CB5" w:rsidRDefault="00D8063C" w:rsidP="00620CB5">
      <w:pPr>
        <w:spacing w:after="0"/>
        <w:rPr>
          <w:sz w:val="24"/>
          <w:szCs w:val="24"/>
        </w:rPr>
      </w:pPr>
    </w:p>
    <w:p w14:paraId="1FDAA088" w14:textId="13522146" w:rsidR="00F20156" w:rsidRDefault="00620CB5" w:rsidP="00F20156">
      <w:pPr>
        <w:spacing w:after="0"/>
        <w:rPr>
          <w:b/>
          <w:bCs/>
          <w:sz w:val="24"/>
          <w:szCs w:val="24"/>
        </w:rPr>
      </w:pPr>
      <w:r w:rsidRPr="00D8063C">
        <w:rPr>
          <w:b/>
          <w:bCs/>
          <w:sz w:val="24"/>
          <w:szCs w:val="24"/>
        </w:rPr>
        <w:t>Member Updates</w:t>
      </w:r>
      <w:r w:rsidRPr="00D8063C">
        <w:rPr>
          <w:b/>
          <w:bCs/>
          <w:sz w:val="24"/>
          <w:szCs w:val="24"/>
        </w:rPr>
        <w:tab/>
      </w:r>
    </w:p>
    <w:p w14:paraId="50D34821" w14:textId="446E8B4F" w:rsidR="009B380E" w:rsidRDefault="00A71AC8" w:rsidP="00F20156">
      <w:pPr>
        <w:spacing w:after="0"/>
        <w:rPr>
          <w:sz w:val="24"/>
          <w:szCs w:val="24"/>
        </w:rPr>
      </w:pPr>
      <w:r>
        <w:rPr>
          <w:sz w:val="24"/>
          <w:szCs w:val="24"/>
        </w:rPr>
        <w:t>Many thanks to Trish from all members!</w:t>
      </w:r>
    </w:p>
    <w:p w14:paraId="6BDE8439" w14:textId="77777777" w:rsidR="001A0809" w:rsidRDefault="001A0809" w:rsidP="00F20156">
      <w:pPr>
        <w:spacing w:after="0"/>
        <w:rPr>
          <w:sz w:val="24"/>
          <w:szCs w:val="24"/>
        </w:rPr>
      </w:pPr>
    </w:p>
    <w:p w14:paraId="5FE3202D" w14:textId="6147657F" w:rsidR="00A71AC8" w:rsidRDefault="00ED7691" w:rsidP="00F20156">
      <w:pPr>
        <w:spacing w:after="0"/>
        <w:rPr>
          <w:sz w:val="24"/>
          <w:szCs w:val="24"/>
        </w:rPr>
      </w:pPr>
      <w:r>
        <w:rPr>
          <w:sz w:val="24"/>
          <w:szCs w:val="24"/>
        </w:rPr>
        <w:t xml:space="preserve">Westall: Thanks John Huisman and all UNRBA members for </w:t>
      </w:r>
      <w:r w:rsidR="008E5F8E">
        <w:rPr>
          <w:sz w:val="24"/>
          <w:szCs w:val="24"/>
        </w:rPr>
        <w:t>their help getting the IAIA to where it is</w:t>
      </w:r>
      <w:r w:rsidR="002D0513">
        <w:rPr>
          <w:sz w:val="24"/>
          <w:szCs w:val="24"/>
        </w:rPr>
        <w:t>.</w:t>
      </w:r>
    </w:p>
    <w:p w14:paraId="2E831A7E" w14:textId="769C2A76" w:rsidR="001C4D0B" w:rsidRDefault="001C4D0B" w:rsidP="00F20156">
      <w:pPr>
        <w:spacing w:after="0"/>
        <w:rPr>
          <w:sz w:val="24"/>
          <w:szCs w:val="24"/>
        </w:rPr>
      </w:pPr>
    </w:p>
    <w:p w14:paraId="6015F723" w14:textId="268A74D5" w:rsidR="001C4D0B" w:rsidRDefault="001C4D0B" w:rsidP="00F20156">
      <w:pPr>
        <w:spacing w:after="0"/>
        <w:rPr>
          <w:sz w:val="24"/>
          <w:szCs w:val="24"/>
        </w:rPr>
      </w:pPr>
      <w:r>
        <w:rPr>
          <w:sz w:val="24"/>
          <w:szCs w:val="24"/>
        </w:rPr>
        <w:t xml:space="preserve">Andy McDaniel: </w:t>
      </w:r>
      <w:proofErr w:type="gramStart"/>
      <w:r w:rsidR="00291A7C">
        <w:rPr>
          <w:sz w:val="24"/>
          <w:szCs w:val="24"/>
        </w:rPr>
        <w:t>Thanks</w:t>
      </w:r>
      <w:proofErr w:type="gramEnd"/>
      <w:r w:rsidR="00291A7C">
        <w:rPr>
          <w:sz w:val="24"/>
          <w:szCs w:val="24"/>
        </w:rPr>
        <w:t xml:space="preserve"> DWR for continued openness to </w:t>
      </w:r>
      <w:r w:rsidR="0081214A">
        <w:rPr>
          <w:sz w:val="24"/>
          <w:szCs w:val="24"/>
        </w:rPr>
        <w:t>alternative/One Water efforts through IAIA, Jordan Lake One Water, and nascent efforts in High Rock.</w:t>
      </w:r>
    </w:p>
    <w:p w14:paraId="28B0CC26" w14:textId="21948D32" w:rsidR="0081214A" w:rsidRDefault="0081214A" w:rsidP="00F20156">
      <w:pPr>
        <w:spacing w:after="0"/>
        <w:rPr>
          <w:sz w:val="24"/>
          <w:szCs w:val="24"/>
        </w:rPr>
      </w:pPr>
    </w:p>
    <w:p w14:paraId="5AF98444" w14:textId="39379208" w:rsidR="0081214A" w:rsidRDefault="0081214A" w:rsidP="00F20156">
      <w:pPr>
        <w:spacing w:after="0"/>
        <w:rPr>
          <w:sz w:val="24"/>
          <w:szCs w:val="24"/>
        </w:rPr>
      </w:pPr>
      <w:r>
        <w:rPr>
          <w:sz w:val="24"/>
          <w:szCs w:val="24"/>
        </w:rPr>
        <w:t xml:space="preserve">Mike Burchell: </w:t>
      </w:r>
      <w:r w:rsidR="00D212FE">
        <w:rPr>
          <w:sz w:val="24"/>
          <w:szCs w:val="24"/>
        </w:rPr>
        <w:t xml:space="preserve">Proposal </w:t>
      </w:r>
      <w:r w:rsidR="002D0513">
        <w:rPr>
          <w:sz w:val="24"/>
          <w:szCs w:val="24"/>
        </w:rPr>
        <w:t xml:space="preserve">in </w:t>
      </w:r>
      <w:r w:rsidR="00D212FE">
        <w:rPr>
          <w:sz w:val="24"/>
          <w:szCs w:val="24"/>
        </w:rPr>
        <w:t>to WRRI to evaluate multi-step alter</w:t>
      </w:r>
      <w:r w:rsidR="002D0513">
        <w:rPr>
          <w:sz w:val="24"/>
          <w:szCs w:val="24"/>
        </w:rPr>
        <w:t>n</w:t>
      </w:r>
      <w:r w:rsidR="00D212FE">
        <w:rPr>
          <w:sz w:val="24"/>
          <w:szCs w:val="24"/>
        </w:rPr>
        <w:t>ative to wastewater treatment and polishing using duckweed and biochar and with wetland plants and aeration</w:t>
      </w:r>
      <w:r w:rsidR="00A41433">
        <w:rPr>
          <w:sz w:val="24"/>
          <w:szCs w:val="24"/>
        </w:rPr>
        <w:t xml:space="preserve">. Trying </w:t>
      </w:r>
      <w:r w:rsidR="007D1660">
        <w:rPr>
          <w:sz w:val="24"/>
          <w:szCs w:val="24"/>
        </w:rPr>
        <w:t>to</w:t>
      </w:r>
      <w:r w:rsidR="00A41433">
        <w:rPr>
          <w:sz w:val="24"/>
          <w:szCs w:val="24"/>
        </w:rPr>
        <w:t xml:space="preserve"> be proactive to explore an ecological alternative if a nitrogen standard pops up, that these small WWTPs won’t be put out of business.</w:t>
      </w:r>
      <w:r>
        <w:rPr>
          <w:sz w:val="24"/>
          <w:szCs w:val="24"/>
        </w:rPr>
        <w:t xml:space="preserve"> </w:t>
      </w:r>
      <w:r w:rsidR="00677618">
        <w:rPr>
          <w:sz w:val="24"/>
          <w:szCs w:val="24"/>
        </w:rPr>
        <w:t>If get</w:t>
      </w:r>
      <w:r w:rsidR="00B64369">
        <w:rPr>
          <w:sz w:val="24"/>
          <w:szCs w:val="24"/>
        </w:rPr>
        <w:t xml:space="preserve"> proposal</w:t>
      </w:r>
      <w:r w:rsidR="00677618">
        <w:rPr>
          <w:sz w:val="24"/>
          <w:szCs w:val="24"/>
        </w:rPr>
        <w:t xml:space="preserve"> funded, will do a pilot.</w:t>
      </w:r>
    </w:p>
    <w:p w14:paraId="61695139" w14:textId="33C8B99F" w:rsidR="00677618" w:rsidRDefault="00677618" w:rsidP="00F20156">
      <w:pPr>
        <w:spacing w:after="0"/>
        <w:rPr>
          <w:sz w:val="24"/>
          <w:szCs w:val="24"/>
        </w:rPr>
      </w:pPr>
      <w:r>
        <w:rPr>
          <w:sz w:val="24"/>
          <w:szCs w:val="24"/>
        </w:rPr>
        <w:t>Andy: DOT has a biochar research project looking at sources across the state. Contact me if interested.</w:t>
      </w:r>
    </w:p>
    <w:p w14:paraId="5C54B80C" w14:textId="65D3966E" w:rsidR="008E5F8E" w:rsidRDefault="00677618" w:rsidP="00F20156">
      <w:pPr>
        <w:spacing w:after="0"/>
        <w:rPr>
          <w:sz w:val="24"/>
          <w:szCs w:val="24"/>
        </w:rPr>
      </w:pPr>
      <w:r>
        <w:rPr>
          <w:sz w:val="24"/>
          <w:szCs w:val="24"/>
        </w:rPr>
        <w:t xml:space="preserve">Mike: We plan to make our </w:t>
      </w:r>
      <w:proofErr w:type="gramStart"/>
      <w:r>
        <w:rPr>
          <w:sz w:val="24"/>
          <w:szCs w:val="24"/>
        </w:rPr>
        <w:t>own</w:t>
      </w:r>
      <w:proofErr w:type="gramEnd"/>
      <w:r>
        <w:rPr>
          <w:sz w:val="24"/>
          <w:szCs w:val="24"/>
        </w:rPr>
        <w:t xml:space="preserve"> but </w:t>
      </w:r>
      <w:r w:rsidR="00AD7AAD">
        <w:rPr>
          <w:sz w:val="24"/>
          <w:szCs w:val="24"/>
        </w:rPr>
        <w:t>this could be an emerging market</w:t>
      </w:r>
      <w:r w:rsidR="002D0513">
        <w:rPr>
          <w:sz w:val="24"/>
          <w:szCs w:val="24"/>
        </w:rPr>
        <w:t>.</w:t>
      </w:r>
    </w:p>
    <w:p w14:paraId="1D2F59C1" w14:textId="3C9300E1" w:rsidR="00AD7AAD" w:rsidRDefault="00AD7AAD" w:rsidP="00F20156">
      <w:pPr>
        <w:spacing w:after="0"/>
        <w:rPr>
          <w:sz w:val="24"/>
          <w:szCs w:val="24"/>
        </w:rPr>
      </w:pPr>
    </w:p>
    <w:p w14:paraId="6E958151" w14:textId="2110FCB0" w:rsidR="00AD7AAD" w:rsidRDefault="00AD7AAD" w:rsidP="00F20156">
      <w:pPr>
        <w:spacing w:after="0"/>
        <w:rPr>
          <w:sz w:val="24"/>
          <w:szCs w:val="24"/>
        </w:rPr>
      </w:pPr>
      <w:r>
        <w:rPr>
          <w:sz w:val="24"/>
          <w:szCs w:val="24"/>
        </w:rPr>
        <w:t>Sandi Wilbur: Just submitted first annual IAIA report</w:t>
      </w:r>
      <w:r w:rsidR="00DF2F08">
        <w:rPr>
          <w:sz w:val="24"/>
          <w:szCs w:val="24"/>
        </w:rPr>
        <w:t xml:space="preserve">; exciting to have one of the existing development rules moving forward with a more expansive list of projects. This is helpful for me when assessing projects beyond the traditional SCMs. Looking forward to working with Jordan Lake </w:t>
      </w:r>
      <w:proofErr w:type="gramStart"/>
      <w:r w:rsidR="00DF2F08">
        <w:rPr>
          <w:sz w:val="24"/>
          <w:szCs w:val="24"/>
        </w:rPr>
        <w:t>stakeholders</w:t>
      </w:r>
      <w:proofErr w:type="gramEnd"/>
      <w:r w:rsidR="00DF2F08">
        <w:rPr>
          <w:sz w:val="24"/>
          <w:szCs w:val="24"/>
        </w:rPr>
        <w:t xml:space="preserve"> group to see what we could put together that’s similar. </w:t>
      </w:r>
    </w:p>
    <w:p w14:paraId="23BABD89" w14:textId="4E060331" w:rsidR="00C7255A" w:rsidRDefault="00C7255A" w:rsidP="00F20156">
      <w:pPr>
        <w:spacing w:after="0"/>
        <w:rPr>
          <w:sz w:val="24"/>
          <w:szCs w:val="24"/>
        </w:rPr>
      </w:pPr>
    </w:p>
    <w:p w14:paraId="57B54125" w14:textId="013ED813" w:rsidR="00C7255A" w:rsidRDefault="00C7255A" w:rsidP="00F20156">
      <w:pPr>
        <w:spacing w:after="0"/>
        <w:rPr>
          <w:sz w:val="24"/>
          <w:szCs w:val="24"/>
        </w:rPr>
      </w:pPr>
      <w:r>
        <w:rPr>
          <w:sz w:val="24"/>
          <w:szCs w:val="24"/>
        </w:rPr>
        <w:t xml:space="preserve">Sally Hoyt: Invite folks to an upcoming </w:t>
      </w:r>
      <w:r w:rsidR="006C7D64">
        <w:rPr>
          <w:sz w:val="24"/>
          <w:szCs w:val="24"/>
        </w:rPr>
        <w:t>City of Raleigh</w:t>
      </w:r>
      <w:r>
        <w:rPr>
          <w:sz w:val="24"/>
          <w:szCs w:val="24"/>
        </w:rPr>
        <w:t xml:space="preserve"> meeting </w:t>
      </w:r>
      <w:r w:rsidR="006C7D64">
        <w:rPr>
          <w:sz w:val="24"/>
          <w:szCs w:val="24"/>
        </w:rPr>
        <w:t>for the Pidgeon House Branch watershed – Weds Nov 2</w:t>
      </w:r>
      <w:r w:rsidR="006C7D64" w:rsidRPr="006C7D64">
        <w:rPr>
          <w:sz w:val="24"/>
          <w:szCs w:val="24"/>
          <w:vertAlign w:val="superscript"/>
        </w:rPr>
        <w:t>nd</w:t>
      </w:r>
      <w:r w:rsidR="006C7D64">
        <w:rPr>
          <w:sz w:val="24"/>
          <w:szCs w:val="24"/>
        </w:rPr>
        <w:t xml:space="preserve"> from 3-7pm. Location details coming!</w:t>
      </w:r>
    </w:p>
    <w:p w14:paraId="3B5B7922" w14:textId="274A421F" w:rsidR="0024217E" w:rsidRDefault="0024217E" w:rsidP="00F20156">
      <w:pPr>
        <w:spacing w:after="0"/>
        <w:rPr>
          <w:sz w:val="24"/>
          <w:szCs w:val="24"/>
        </w:rPr>
      </w:pPr>
    </w:p>
    <w:p w14:paraId="4727C59A" w14:textId="20624EA0" w:rsidR="002D0513" w:rsidRPr="00C27923" w:rsidRDefault="0024217E" w:rsidP="00F20156">
      <w:pPr>
        <w:spacing w:after="0"/>
        <w:rPr>
          <w:b/>
          <w:bCs/>
          <w:sz w:val="24"/>
          <w:szCs w:val="24"/>
        </w:rPr>
      </w:pPr>
      <w:r w:rsidRPr="00C27923">
        <w:rPr>
          <w:b/>
          <w:bCs/>
          <w:sz w:val="24"/>
          <w:szCs w:val="24"/>
        </w:rPr>
        <w:t xml:space="preserve">Updates from </w:t>
      </w:r>
      <w:r w:rsidR="00C27923">
        <w:rPr>
          <w:b/>
          <w:bCs/>
          <w:sz w:val="24"/>
          <w:szCs w:val="24"/>
        </w:rPr>
        <w:t>O</w:t>
      </w:r>
      <w:r w:rsidRPr="00C27923">
        <w:rPr>
          <w:b/>
          <w:bCs/>
          <w:sz w:val="24"/>
          <w:szCs w:val="24"/>
        </w:rPr>
        <w:t>thers</w:t>
      </w:r>
    </w:p>
    <w:p w14:paraId="06586135" w14:textId="62F409C5" w:rsidR="0024217E" w:rsidRDefault="0024217E" w:rsidP="00F20156">
      <w:pPr>
        <w:spacing w:after="0"/>
        <w:rPr>
          <w:sz w:val="24"/>
          <w:szCs w:val="24"/>
        </w:rPr>
      </w:pPr>
      <w:r>
        <w:rPr>
          <w:sz w:val="24"/>
          <w:szCs w:val="24"/>
        </w:rPr>
        <w:t xml:space="preserve">Maya: Jordan Lake One Water won a national award for Outstanding Cross-Sector Partnership given by the US Water Alliance. JLOW has also incorporated as a North Carolina nonprofit, and </w:t>
      </w:r>
      <w:r w:rsidR="00A45671">
        <w:rPr>
          <w:sz w:val="24"/>
          <w:szCs w:val="24"/>
        </w:rPr>
        <w:t xml:space="preserve">much of this year has involved creating organizational structure </w:t>
      </w:r>
      <w:r w:rsidR="00187434">
        <w:rPr>
          <w:sz w:val="24"/>
          <w:szCs w:val="24"/>
        </w:rPr>
        <w:t>that can enable the existing JLOW effort to meet some of the same goals as other groups here.</w:t>
      </w:r>
    </w:p>
    <w:p w14:paraId="709AA2D9" w14:textId="77777777" w:rsidR="008E5F8E" w:rsidRPr="009B380E" w:rsidRDefault="008E5F8E" w:rsidP="00F20156">
      <w:pPr>
        <w:spacing w:after="0"/>
        <w:rPr>
          <w:sz w:val="24"/>
          <w:szCs w:val="24"/>
        </w:rPr>
      </w:pPr>
    </w:p>
    <w:sectPr w:rsidR="008E5F8E" w:rsidRPr="009B380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5D2D3" w14:textId="77777777" w:rsidR="002228AD" w:rsidRDefault="002228AD" w:rsidP="002228AD">
      <w:pPr>
        <w:spacing w:after="0" w:line="240" w:lineRule="auto"/>
      </w:pPr>
      <w:r>
        <w:separator/>
      </w:r>
    </w:p>
  </w:endnote>
  <w:endnote w:type="continuationSeparator" w:id="0">
    <w:p w14:paraId="4B8448FB" w14:textId="77777777" w:rsidR="002228AD" w:rsidRDefault="002228AD" w:rsidP="0022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591877"/>
      <w:docPartObj>
        <w:docPartGallery w:val="Page Numbers (Bottom of Page)"/>
        <w:docPartUnique/>
      </w:docPartObj>
    </w:sdtPr>
    <w:sdtEndPr>
      <w:rPr>
        <w:noProof/>
      </w:rPr>
    </w:sdtEndPr>
    <w:sdtContent>
      <w:p w14:paraId="0F6D08AB" w14:textId="31AD5013" w:rsidR="002228AD" w:rsidRDefault="002228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5807D3" w14:textId="77777777" w:rsidR="002228AD" w:rsidRDefault="00222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C0478" w14:textId="77777777" w:rsidR="002228AD" w:rsidRDefault="002228AD" w:rsidP="002228AD">
      <w:pPr>
        <w:spacing w:after="0" w:line="240" w:lineRule="auto"/>
      </w:pPr>
      <w:r>
        <w:separator/>
      </w:r>
    </w:p>
  </w:footnote>
  <w:footnote w:type="continuationSeparator" w:id="0">
    <w:p w14:paraId="7B3317B8" w14:textId="77777777" w:rsidR="002228AD" w:rsidRDefault="002228AD" w:rsidP="00222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22678"/>
    <w:multiLevelType w:val="hybridMultilevel"/>
    <w:tmpl w:val="045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44E7F"/>
    <w:multiLevelType w:val="hybridMultilevel"/>
    <w:tmpl w:val="227C5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0C55DA"/>
    <w:multiLevelType w:val="hybridMultilevel"/>
    <w:tmpl w:val="7948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14011"/>
    <w:multiLevelType w:val="hybridMultilevel"/>
    <w:tmpl w:val="1C80B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208E9"/>
    <w:multiLevelType w:val="hybridMultilevel"/>
    <w:tmpl w:val="17E4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842EEC"/>
    <w:multiLevelType w:val="hybridMultilevel"/>
    <w:tmpl w:val="91969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602FD3"/>
    <w:multiLevelType w:val="hybridMultilevel"/>
    <w:tmpl w:val="BD38A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0628ED"/>
    <w:multiLevelType w:val="hybridMultilevel"/>
    <w:tmpl w:val="1E483242"/>
    <w:lvl w:ilvl="0" w:tplc="30E41A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3C3426"/>
    <w:multiLevelType w:val="hybridMultilevel"/>
    <w:tmpl w:val="24A07F38"/>
    <w:lvl w:ilvl="0" w:tplc="3D28776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42992964">
    <w:abstractNumId w:val="6"/>
  </w:num>
  <w:num w:numId="2" w16cid:durableId="438794729">
    <w:abstractNumId w:val="1"/>
  </w:num>
  <w:num w:numId="3" w16cid:durableId="1120762980">
    <w:abstractNumId w:val="5"/>
  </w:num>
  <w:num w:numId="4" w16cid:durableId="1759206973">
    <w:abstractNumId w:val="0"/>
  </w:num>
  <w:num w:numId="5" w16cid:durableId="642546157">
    <w:abstractNumId w:val="3"/>
  </w:num>
  <w:num w:numId="6" w16cid:durableId="2110814463">
    <w:abstractNumId w:val="7"/>
  </w:num>
  <w:num w:numId="7" w16cid:durableId="350956251">
    <w:abstractNumId w:val="8"/>
  </w:num>
  <w:num w:numId="8" w16cid:durableId="414135186">
    <w:abstractNumId w:val="2"/>
  </w:num>
  <w:num w:numId="9" w16cid:durableId="1302150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56"/>
    <w:rsid w:val="0000448F"/>
    <w:rsid w:val="00005E3D"/>
    <w:rsid w:val="00014701"/>
    <w:rsid w:val="0005699C"/>
    <w:rsid w:val="00060C46"/>
    <w:rsid w:val="00075377"/>
    <w:rsid w:val="00096639"/>
    <w:rsid w:val="000B4B43"/>
    <w:rsid w:val="000D185A"/>
    <w:rsid w:val="000D4532"/>
    <w:rsid w:val="000F23CB"/>
    <w:rsid w:val="00102215"/>
    <w:rsid w:val="00123569"/>
    <w:rsid w:val="00134919"/>
    <w:rsid w:val="001358BF"/>
    <w:rsid w:val="00135B43"/>
    <w:rsid w:val="00143B23"/>
    <w:rsid w:val="001556DB"/>
    <w:rsid w:val="00162808"/>
    <w:rsid w:val="00163EA3"/>
    <w:rsid w:val="00187434"/>
    <w:rsid w:val="001A0809"/>
    <w:rsid w:val="001B619F"/>
    <w:rsid w:val="001C1EF0"/>
    <w:rsid w:val="001C4D0B"/>
    <w:rsid w:val="001D7908"/>
    <w:rsid w:val="001E0178"/>
    <w:rsid w:val="001E4942"/>
    <w:rsid w:val="001F5A3D"/>
    <w:rsid w:val="001F79BB"/>
    <w:rsid w:val="002228AD"/>
    <w:rsid w:val="00225362"/>
    <w:rsid w:val="00227023"/>
    <w:rsid w:val="00240577"/>
    <w:rsid w:val="0024217E"/>
    <w:rsid w:val="002532EC"/>
    <w:rsid w:val="0026273D"/>
    <w:rsid w:val="0027166E"/>
    <w:rsid w:val="0028579A"/>
    <w:rsid w:val="00291A7C"/>
    <w:rsid w:val="0029652F"/>
    <w:rsid w:val="002B29F6"/>
    <w:rsid w:val="002D0513"/>
    <w:rsid w:val="00314726"/>
    <w:rsid w:val="00323F81"/>
    <w:rsid w:val="003265AA"/>
    <w:rsid w:val="0033224A"/>
    <w:rsid w:val="00361049"/>
    <w:rsid w:val="00366470"/>
    <w:rsid w:val="0038736B"/>
    <w:rsid w:val="0039775C"/>
    <w:rsid w:val="003A5C7B"/>
    <w:rsid w:val="003B45B6"/>
    <w:rsid w:val="003C2F1D"/>
    <w:rsid w:val="003C5010"/>
    <w:rsid w:val="003D4B81"/>
    <w:rsid w:val="00447C7F"/>
    <w:rsid w:val="00450B2F"/>
    <w:rsid w:val="00461876"/>
    <w:rsid w:val="004737F3"/>
    <w:rsid w:val="00493269"/>
    <w:rsid w:val="004A0B0E"/>
    <w:rsid w:val="004B2673"/>
    <w:rsid w:val="004B51D1"/>
    <w:rsid w:val="004B51DA"/>
    <w:rsid w:val="004D12D0"/>
    <w:rsid w:val="00541654"/>
    <w:rsid w:val="00561B49"/>
    <w:rsid w:val="005835C1"/>
    <w:rsid w:val="005873CB"/>
    <w:rsid w:val="00590637"/>
    <w:rsid w:val="005931BD"/>
    <w:rsid w:val="005F0E0A"/>
    <w:rsid w:val="005F2090"/>
    <w:rsid w:val="00604F1A"/>
    <w:rsid w:val="006154AD"/>
    <w:rsid w:val="00620CB5"/>
    <w:rsid w:val="006333FD"/>
    <w:rsid w:val="00643A6E"/>
    <w:rsid w:val="006461F6"/>
    <w:rsid w:val="00650866"/>
    <w:rsid w:val="00654B7C"/>
    <w:rsid w:val="00656852"/>
    <w:rsid w:val="00657BB5"/>
    <w:rsid w:val="006628C2"/>
    <w:rsid w:val="006655F5"/>
    <w:rsid w:val="00677618"/>
    <w:rsid w:val="00684402"/>
    <w:rsid w:val="006C4188"/>
    <w:rsid w:val="006C7D64"/>
    <w:rsid w:val="006E0491"/>
    <w:rsid w:val="006F32B4"/>
    <w:rsid w:val="00705BF3"/>
    <w:rsid w:val="00720BB7"/>
    <w:rsid w:val="00725578"/>
    <w:rsid w:val="00732BA0"/>
    <w:rsid w:val="00755B53"/>
    <w:rsid w:val="007714B8"/>
    <w:rsid w:val="00781DF2"/>
    <w:rsid w:val="00795FE7"/>
    <w:rsid w:val="007B3397"/>
    <w:rsid w:val="007B460D"/>
    <w:rsid w:val="007B7173"/>
    <w:rsid w:val="007D1660"/>
    <w:rsid w:val="007F6BC8"/>
    <w:rsid w:val="008054D3"/>
    <w:rsid w:val="0081214A"/>
    <w:rsid w:val="00812840"/>
    <w:rsid w:val="00813FF1"/>
    <w:rsid w:val="00825341"/>
    <w:rsid w:val="00827CD8"/>
    <w:rsid w:val="008368AB"/>
    <w:rsid w:val="00842714"/>
    <w:rsid w:val="008721AF"/>
    <w:rsid w:val="008746AD"/>
    <w:rsid w:val="00885FDD"/>
    <w:rsid w:val="00897273"/>
    <w:rsid w:val="008A5DF1"/>
    <w:rsid w:val="008E5914"/>
    <w:rsid w:val="008E5F8E"/>
    <w:rsid w:val="00920345"/>
    <w:rsid w:val="0094013C"/>
    <w:rsid w:val="009418EA"/>
    <w:rsid w:val="0094324F"/>
    <w:rsid w:val="00954288"/>
    <w:rsid w:val="009724B9"/>
    <w:rsid w:val="00974F06"/>
    <w:rsid w:val="00983F5B"/>
    <w:rsid w:val="00990484"/>
    <w:rsid w:val="009A71BD"/>
    <w:rsid w:val="009B380E"/>
    <w:rsid w:val="009B6EFD"/>
    <w:rsid w:val="009B7986"/>
    <w:rsid w:val="009C6D0F"/>
    <w:rsid w:val="009E2760"/>
    <w:rsid w:val="009F0FF3"/>
    <w:rsid w:val="009F6721"/>
    <w:rsid w:val="009F7964"/>
    <w:rsid w:val="009F7D6D"/>
    <w:rsid w:val="00A0270C"/>
    <w:rsid w:val="00A0302B"/>
    <w:rsid w:val="00A171D4"/>
    <w:rsid w:val="00A41433"/>
    <w:rsid w:val="00A45671"/>
    <w:rsid w:val="00A61613"/>
    <w:rsid w:val="00A64132"/>
    <w:rsid w:val="00A6587C"/>
    <w:rsid w:val="00A71AC8"/>
    <w:rsid w:val="00A94537"/>
    <w:rsid w:val="00AA63CF"/>
    <w:rsid w:val="00AB195F"/>
    <w:rsid w:val="00AB3AB0"/>
    <w:rsid w:val="00AC0CCA"/>
    <w:rsid w:val="00AD7AAD"/>
    <w:rsid w:val="00AE12CC"/>
    <w:rsid w:val="00AE4C8F"/>
    <w:rsid w:val="00AF4333"/>
    <w:rsid w:val="00B22A06"/>
    <w:rsid w:val="00B22E47"/>
    <w:rsid w:val="00B5321F"/>
    <w:rsid w:val="00B544F9"/>
    <w:rsid w:val="00B55C6E"/>
    <w:rsid w:val="00B64369"/>
    <w:rsid w:val="00B6737A"/>
    <w:rsid w:val="00B72A76"/>
    <w:rsid w:val="00B73DE4"/>
    <w:rsid w:val="00B825FE"/>
    <w:rsid w:val="00B93B3D"/>
    <w:rsid w:val="00BB51A9"/>
    <w:rsid w:val="00BB67B3"/>
    <w:rsid w:val="00BC28A0"/>
    <w:rsid w:val="00BD08A3"/>
    <w:rsid w:val="00BD5B57"/>
    <w:rsid w:val="00BD7B54"/>
    <w:rsid w:val="00BE0BB3"/>
    <w:rsid w:val="00BF31BE"/>
    <w:rsid w:val="00C20B23"/>
    <w:rsid w:val="00C27923"/>
    <w:rsid w:val="00C4683D"/>
    <w:rsid w:val="00C7255A"/>
    <w:rsid w:val="00C76808"/>
    <w:rsid w:val="00C92945"/>
    <w:rsid w:val="00C97040"/>
    <w:rsid w:val="00CB0E25"/>
    <w:rsid w:val="00CB3732"/>
    <w:rsid w:val="00CC06D2"/>
    <w:rsid w:val="00CC6715"/>
    <w:rsid w:val="00CD198E"/>
    <w:rsid w:val="00D0440E"/>
    <w:rsid w:val="00D212FE"/>
    <w:rsid w:val="00D21601"/>
    <w:rsid w:val="00D27ABD"/>
    <w:rsid w:val="00D33136"/>
    <w:rsid w:val="00D35686"/>
    <w:rsid w:val="00D51114"/>
    <w:rsid w:val="00D5713F"/>
    <w:rsid w:val="00D762B5"/>
    <w:rsid w:val="00D8063C"/>
    <w:rsid w:val="00D82D2A"/>
    <w:rsid w:val="00DA49E1"/>
    <w:rsid w:val="00DB3B94"/>
    <w:rsid w:val="00DC17B5"/>
    <w:rsid w:val="00DC548A"/>
    <w:rsid w:val="00DE0949"/>
    <w:rsid w:val="00DE1518"/>
    <w:rsid w:val="00DE629E"/>
    <w:rsid w:val="00DF2F08"/>
    <w:rsid w:val="00E0083D"/>
    <w:rsid w:val="00E105E7"/>
    <w:rsid w:val="00E33683"/>
    <w:rsid w:val="00E462C1"/>
    <w:rsid w:val="00E77B6A"/>
    <w:rsid w:val="00E800F0"/>
    <w:rsid w:val="00EA2F69"/>
    <w:rsid w:val="00EA58B2"/>
    <w:rsid w:val="00ED4E02"/>
    <w:rsid w:val="00ED5950"/>
    <w:rsid w:val="00ED7691"/>
    <w:rsid w:val="00F14253"/>
    <w:rsid w:val="00F17AE6"/>
    <w:rsid w:val="00F20156"/>
    <w:rsid w:val="00F3504D"/>
    <w:rsid w:val="00F4326C"/>
    <w:rsid w:val="00F44767"/>
    <w:rsid w:val="00F523FF"/>
    <w:rsid w:val="00F63F54"/>
    <w:rsid w:val="00F8354A"/>
    <w:rsid w:val="00F93476"/>
    <w:rsid w:val="00F93A28"/>
    <w:rsid w:val="00FA2DFA"/>
    <w:rsid w:val="00FA3C5F"/>
    <w:rsid w:val="00FE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099C"/>
  <w15:chartTrackingRefBased/>
  <w15:docId w15:val="{FEFD1BE4-6CBE-4E5C-A1E6-BC496C89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518"/>
    <w:pPr>
      <w:ind w:left="720"/>
      <w:contextualSpacing/>
    </w:pPr>
  </w:style>
  <w:style w:type="paragraph" w:styleId="Header">
    <w:name w:val="header"/>
    <w:basedOn w:val="Normal"/>
    <w:link w:val="HeaderChar"/>
    <w:uiPriority w:val="99"/>
    <w:unhideWhenUsed/>
    <w:rsid w:val="00222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8AD"/>
  </w:style>
  <w:style w:type="paragraph" w:styleId="Footer">
    <w:name w:val="footer"/>
    <w:basedOn w:val="Normal"/>
    <w:link w:val="FooterChar"/>
    <w:uiPriority w:val="99"/>
    <w:unhideWhenUsed/>
    <w:rsid w:val="00222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8AD"/>
  </w:style>
  <w:style w:type="table" w:styleId="TableGrid">
    <w:name w:val="Table Grid"/>
    <w:basedOn w:val="TableNormal"/>
    <w:uiPriority w:val="39"/>
    <w:rsid w:val="009F6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88724">
      <w:bodyDiv w:val="1"/>
      <w:marLeft w:val="0"/>
      <w:marRight w:val="0"/>
      <w:marTop w:val="0"/>
      <w:marBottom w:val="0"/>
      <w:divBdr>
        <w:top w:val="none" w:sz="0" w:space="0" w:color="auto"/>
        <w:left w:val="none" w:sz="0" w:space="0" w:color="auto"/>
        <w:bottom w:val="none" w:sz="0" w:space="0" w:color="auto"/>
        <w:right w:val="none" w:sz="0" w:space="0" w:color="auto"/>
      </w:divBdr>
    </w:div>
    <w:div w:id="141755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692086-0956-4e27-a7db-553103652888">
      <Terms xmlns="http://schemas.microsoft.com/office/infopath/2007/PartnerControls"/>
    </lcf76f155ced4ddcb4097134ff3c332f>
    <TaxCatchAll xmlns="f4e13d5a-792a-4bb1-8515-ea9110cfa03d"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4BAA94A1EB4048860C62B9FFB9974A" ma:contentTypeVersion="17" ma:contentTypeDescription="Create a new document." ma:contentTypeScope="" ma:versionID="44c32d4b49b5b436cc455280d9cdbfb9">
  <xsd:schema xmlns:xsd="http://www.w3.org/2001/XMLSchema" xmlns:xs="http://www.w3.org/2001/XMLSchema" xmlns:p="http://schemas.microsoft.com/office/2006/metadata/properties" xmlns:ns1="http://schemas.microsoft.com/sharepoint/v3" xmlns:ns2="f0692086-0956-4e27-a7db-553103652888" xmlns:ns3="f4e13d5a-792a-4bb1-8515-ea9110cfa03d" targetNamespace="http://schemas.microsoft.com/office/2006/metadata/properties" ma:root="true" ma:fieldsID="d5f25cc5ca620affd8839e50a4ffd3c4" ns1:_="" ns2:_="" ns3:_="">
    <xsd:import namespace="http://schemas.microsoft.com/sharepoint/v3"/>
    <xsd:import namespace="f0692086-0956-4e27-a7db-553103652888"/>
    <xsd:import namespace="f4e13d5a-792a-4bb1-8515-ea9110cfa03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692086-0956-4e27-a7db-5531036528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86ea347-274a-478e-b526-4d66f464fc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e13d5a-792a-4bb1-8515-ea9110cfa03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ecec056-2fe0-4393-9178-25f6a4d3b950}" ma:internalName="TaxCatchAll" ma:showField="CatchAllData" ma:web="f4e13d5a-792a-4bb1-8515-ea9110cfa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05DF7-CABE-402A-80BD-EE63E357CEF3}">
  <ds:schemaRefs>
    <ds:schemaRef ds:uri="http://schemas.microsoft.com/office/2006/metadata/properties"/>
    <ds:schemaRef ds:uri="http://schemas.microsoft.com/office/infopath/2007/PartnerControls"/>
    <ds:schemaRef ds:uri="f0692086-0956-4e27-a7db-553103652888"/>
    <ds:schemaRef ds:uri="f4e13d5a-792a-4bb1-8515-ea9110cfa03d"/>
    <ds:schemaRef ds:uri="http://schemas.microsoft.com/sharepoint/v3"/>
  </ds:schemaRefs>
</ds:datastoreItem>
</file>

<file path=customXml/itemProps2.xml><?xml version="1.0" encoding="utf-8"?>
<ds:datastoreItem xmlns:ds="http://schemas.openxmlformats.org/officeDocument/2006/customXml" ds:itemID="{55A75895-9170-43EA-B5E8-E69E31DCD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692086-0956-4e27-a7db-553103652888"/>
    <ds:schemaRef ds:uri="f4e13d5a-792a-4bb1-8515-ea9110cfa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F0D77B-BF1B-4207-B1DB-F78037708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9</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Gannon, Rich</dc:creator>
  <cp:keywords/>
  <dc:description/>
  <cp:lastModifiedBy>Gannon, Rich</cp:lastModifiedBy>
  <cp:revision>7</cp:revision>
  <dcterms:created xsi:type="dcterms:W3CDTF">2022-10-13T16:10:00Z</dcterms:created>
  <dcterms:modified xsi:type="dcterms:W3CDTF">2023-05-19T18:04:00Z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0x0101002F4BAA94A1EB4048860C62B9FFB9974A</vt:lpwstr>
  </property>
</Properties>
</file>