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D949" w14:textId="77777777" w:rsidR="00E0391D" w:rsidRDefault="00E0391D" w:rsidP="00E0391D">
      <w:pPr>
        <w:jc w:val="center"/>
        <w:rPr>
          <w:rFonts w:ascii="Times New Roman" w:hAnsi="Times New Roman" w:cs="Times New Roman"/>
          <w:b/>
          <w:bCs/>
          <w:i/>
          <w:iCs/>
          <w:smallCaps/>
          <w:sz w:val="32"/>
          <w:szCs w:val="32"/>
        </w:rPr>
      </w:pPr>
    </w:p>
    <w:p w14:paraId="7BAFA0C7" w14:textId="77777777" w:rsidR="0039788B" w:rsidRPr="00866CCB" w:rsidRDefault="0039788B" w:rsidP="0039788B">
      <w:pPr>
        <w:spacing w:after="0" w:line="240" w:lineRule="auto"/>
        <w:contextualSpacing/>
        <w:jc w:val="center"/>
        <w:rPr>
          <w:rFonts w:ascii="Times New Roman" w:hAnsi="Times New Roman" w:cs="Times New Roman"/>
          <w:b/>
          <w:smallCaps/>
          <w:sz w:val="28"/>
          <w:szCs w:val="28"/>
        </w:rPr>
      </w:pPr>
      <w:r w:rsidRPr="00866CCB">
        <w:rPr>
          <w:rFonts w:ascii="Times New Roman" w:hAnsi="Times New Roman" w:cs="Times New Roman"/>
          <w:b/>
          <w:smallCaps/>
          <w:sz w:val="28"/>
          <w:szCs w:val="28"/>
        </w:rPr>
        <w:t xml:space="preserve">Certificate Authorizing the Towns of </w:t>
      </w:r>
      <w:r w:rsidRPr="00B82290">
        <w:rPr>
          <w:rFonts w:ascii="Times New Roman" w:hAnsi="Times New Roman" w:cs="Times New Roman"/>
          <w:b/>
          <w:smallCaps/>
          <w:sz w:val="28"/>
          <w:szCs w:val="28"/>
        </w:rPr>
        <w:t>Cary</w:t>
      </w:r>
      <w:r w:rsidR="00772726" w:rsidRPr="00B82290">
        <w:rPr>
          <w:rFonts w:ascii="Times New Roman" w:hAnsi="Times New Roman" w:cs="Times New Roman"/>
          <w:b/>
          <w:smallCaps/>
          <w:sz w:val="28"/>
          <w:szCs w:val="28"/>
        </w:rPr>
        <w:t xml:space="preserve"> and</w:t>
      </w:r>
      <w:r w:rsidRPr="00B82290">
        <w:rPr>
          <w:rFonts w:ascii="Times New Roman" w:hAnsi="Times New Roman" w:cs="Times New Roman"/>
          <w:b/>
          <w:smallCaps/>
          <w:sz w:val="28"/>
          <w:szCs w:val="28"/>
        </w:rPr>
        <w:t xml:space="preserve"> Apex </w:t>
      </w:r>
      <w:r w:rsidRPr="00866CCB">
        <w:rPr>
          <w:rFonts w:ascii="Times New Roman" w:hAnsi="Times New Roman" w:cs="Times New Roman"/>
          <w:b/>
          <w:smallCaps/>
          <w:sz w:val="28"/>
          <w:szCs w:val="28"/>
        </w:rPr>
        <w:t>to Transfer Water From the Haw River Basin to the Neuse and Cape Fear River Basins</w:t>
      </w:r>
    </w:p>
    <w:p w14:paraId="1BB7FBA4" w14:textId="77777777" w:rsidR="0039788B" w:rsidRPr="00866CCB" w:rsidRDefault="0039788B" w:rsidP="0039788B">
      <w:pPr>
        <w:spacing w:after="0" w:line="240" w:lineRule="auto"/>
        <w:contextualSpacing/>
        <w:jc w:val="center"/>
        <w:rPr>
          <w:rFonts w:ascii="Times New Roman" w:hAnsi="Times New Roman" w:cs="Times New Roman"/>
          <w:b/>
          <w:smallCaps/>
          <w:sz w:val="28"/>
          <w:szCs w:val="28"/>
        </w:rPr>
      </w:pPr>
      <w:r w:rsidRPr="00866CCB">
        <w:rPr>
          <w:rFonts w:ascii="Times New Roman" w:hAnsi="Times New Roman" w:cs="Times New Roman"/>
          <w:b/>
          <w:smallCaps/>
          <w:sz w:val="28"/>
          <w:szCs w:val="28"/>
        </w:rPr>
        <w:t>Under the Provisions of G.S. § 143-215.22L</w:t>
      </w:r>
    </w:p>
    <w:p w14:paraId="7C3D741A" w14:textId="77777777" w:rsidR="0039788B" w:rsidRDefault="0039788B" w:rsidP="0037678C">
      <w:pPr>
        <w:spacing w:line="240" w:lineRule="auto"/>
        <w:contextualSpacing/>
        <w:rPr>
          <w:rFonts w:ascii="Times New Roman" w:hAnsi="Times New Roman" w:cs="Times New Roman"/>
          <w:sz w:val="24"/>
          <w:szCs w:val="32"/>
        </w:rPr>
      </w:pPr>
    </w:p>
    <w:p w14:paraId="5C9C0C1E" w14:textId="77777777" w:rsidR="00A40D32" w:rsidRPr="00A40D32" w:rsidRDefault="006179DD" w:rsidP="0037678C">
      <w:pPr>
        <w:spacing w:line="240" w:lineRule="auto"/>
        <w:contextualSpacing/>
        <w:rPr>
          <w:rFonts w:ascii="Times New Roman" w:hAnsi="Times New Roman" w:cs="Times New Roman"/>
          <w:sz w:val="24"/>
          <w:szCs w:val="32"/>
        </w:rPr>
      </w:pPr>
      <w:r>
        <w:rPr>
          <w:rFonts w:ascii="Times New Roman" w:hAnsi="Times New Roman" w:cs="Times New Roman"/>
          <w:sz w:val="24"/>
          <w:szCs w:val="32"/>
        </w:rPr>
        <w:t>O</w:t>
      </w:r>
      <w:r w:rsidR="00A40D32" w:rsidRPr="00A40D32">
        <w:rPr>
          <w:rFonts w:ascii="Times New Roman" w:hAnsi="Times New Roman" w:cs="Times New Roman"/>
          <w:sz w:val="24"/>
          <w:szCs w:val="32"/>
        </w:rPr>
        <w:t xml:space="preserve">n </w:t>
      </w:r>
      <w:r w:rsidR="00D817F6">
        <w:rPr>
          <w:rFonts w:ascii="Times New Roman" w:hAnsi="Times New Roman" w:cs="Times New Roman"/>
          <w:sz w:val="24"/>
          <w:szCs w:val="32"/>
        </w:rPr>
        <w:t>September</w:t>
      </w:r>
      <w:r w:rsidR="00A40D32" w:rsidRPr="00A40D32">
        <w:rPr>
          <w:rFonts w:ascii="Times New Roman" w:hAnsi="Times New Roman" w:cs="Times New Roman"/>
          <w:sz w:val="24"/>
          <w:szCs w:val="32"/>
        </w:rPr>
        <w:t xml:space="preserve"> </w:t>
      </w:r>
      <w:r>
        <w:rPr>
          <w:rFonts w:ascii="Times New Roman" w:hAnsi="Times New Roman" w:cs="Times New Roman"/>
          <w:sz w:val="24"/>
          <w:szCs w:val="32"/>
        </w:rPr>
        <w:t xml:space="preserve">30, </w:t>
      </w:r>
      <w:r w:rsidR="00A40D32" w:rsidRPr="00A40D32">
        <w:rPr>
          <w:rFonts w:ascii="Times New Roman" w:hAnsi="Times New Roman" w:cs="Times New Roman"/>
          <w:sz w:val="24"/>
          <w:szCs w:val="32"/>
        </w:rPr>
        <w:t>20</w:t>
      </w:r>
      <w:r w:rsidR="00D817F6">
        <w:rPr>
          <w:rFonts w:ascii="Times New Roman" w:hAnsi="Times New Roman" w:cs="Times New Roman"/>
          <w:sz w:val="24"/>
          <w:szCs w:val="32"/>
        </w:rPr>
        <w:t>13</w:t>
      </w:r>
      <w:r w:rsidR="00A40D32" w:rsidRPr="00A40D32">
        <w:rPr>
          <w:rFonts w:ascii="Times New Roman" w:hAnsi="Times New Roman" w:cs="Times New Roman"/>
          <w:sz w:val="24"/>
          <w:szCs w:val="32"/>
        </w:rPr>
        <w:t xml:space="preserve">, the </w:t>
      </w:r>
      <w:r w:rsidR="00D817F6">
        <w:rPr>
          <w:rFonts w:ascii="Times New Roman" w:hAnsi="Times New Roman" w:cs="Times New Roman"/>
          <w:sz w:val="24"/>
          <w:szCs w:val="32"/>
        </w:rPr>
        <w:t>Towns of Cary, Apex and Morrisville and Wake County (on behalf of the Wake County portion of Research Triangle Park)</w:t>
      </w:r>
      <w:r w:rsidR="00A40D32" w:rsidRPr="00A40D32">
        <w:rPr>
          <w:rFonts w:ascii="Times New Roman" w:hAnsi="Times New Roman" w:cs="Times New Roman"/>
          <w:sz w:val="24"/>
          <w:szCs w:val="32"/>
        </w:rPr>
        <w:t xml:space="preserve"> </w:t>
      </w:r>
      <w:r w:rsidR="00DC6CCA">
        <w:rPr>
          <w:rFonts w:ascii="Times New Roman" w:hAnsi="Times New Roman" w:cs="Times New Roman"/>
          <w:sz w:val="24"/>
          <w:szCs w:val="32"/>
        </w:rPr>
        <w:t>filed a notice of intent with</w:t>
      </w:r>
      <w:r w:rsidR="00A40D32" w:rsidRPr="00A40D32">
        <w:rPr>
          <w:rFonts w:ascii="Times New Roman" w:hAnsi="Times New Roman" w:cs="Times New Roman"/>
          <w:sz w:val="24"/>
          <w:szCs w:val="32"/>
        </w:rPr>
        <w:t xml:space="preserve"> the Environmental Management Commission (EMC) </w:t>
      </w:r>
      <w:r w:rsidR="00DC6CCA">
        <w:rPr>
          <w:rFonts w:ascii="Times New Roman" w:hAnsi="Times New Roman" w:cs="Times New Roman"/>
          <w:sz w:val="24"/>
          <w:szCs w:val="32"/>
        </w:rPr>
        <w:t>to request</w:t>
      </w:r>
      <w:r w:rsidR="00A40D32" w:rsidRPr="00A40D32">
        <w:rPr>
          <w:rFonts w:ascii="Times New Roman" w:hAnsi="Times New Roman" w:cs="Times New Roman"/>
          <w:sz w:val="24"/>
          <w:szCs w:val="32"/>
        </w:rPr>
        <w:t xml:space="preserve"> a </w:t>
      </w:r>
      <w:r w:rsidR="00F3269A">
        <w:rPr>
          <w:rFonts w:ascii="Times New Roman" w:hAnsi="Times New Roman" w:cs="Times New Roman"/>
          <w:sz w:val="24"/>
          <w:szCs w:val="32"/>
        </w:rPr>
        <w:t xml:space="preserve">modification to their jointly held </w:t>
      </w:r>
      <w:proofErr w:type="spellStart"/>
      <w:r w:rsidR="00F3269A">
        <w:rPr>
          <w:rFonts w:ascii="Times New Roman" w:hAnsi="Times New Roman" w:cs="Times New Roman"/>
          <w:sz w:val="24"/>
          <w:szCs w:val="32"/>
        </w:rPr>
        <w:t>interbasin</w:t>
      </w:r>
      <w:proofErr w:type="spellEnd"/>
      <w:r w:rsidR="00F3269A">
        <w:rPr>
          <w:rFonts w:ascii="Times New Roman" w:hAnsi="Times New Roman" w:cs="Times New Roman"/>
          <w:sz w:val="24"/>
          <w:szCs w:val="32"/>
        </w:rPr>
        <w:t xml:space="preserve"> transfer (IBT) certificate.  The IBT certificate issued by the EMC on July 12, 2001 allows for the transfer of up to 24 million gallons per day (</w:t>
      </w:r>
      <w:r w:rsidR="009F1A7C">
        <w:rPr>
          <w:rFonts w:ascii="Times New Roman" w:hAnsi="Times New Roman" w:cs="Times New Roman"/>
          <w:sz w:val="24"/>
          <w:szCs w:val="32"/>
        </w:rPr>
        <w:t>MGD</w:t>
      </w:r>
      <w:r w:rsidR="00F3269A">
        <w:rPr>
          <w:rFonts w:ascii="Times New Roman" w:hAnsi="Times New Roman" w:cs="Times New Roman"/>
          <w:sz w:val="24"/>
          <w:szCs w:val="32"/>
        </w:rPr>
        <w:t>) on a maximum day basis from the Haw River basin to the Neuse River basin.</w:t>
      </w:r>
      <w:r w:rsidR="00A40D32" w:rsidRPr="00A40D32">
        <w:rPr>
          <w:rFonts w:ascii="Times New Roman" w:hAnsi="Times New Roman" w:cs="Times New Roman"/>
          <w:sz w:val="24"/>
          <w:szCs w:val="32"/>
        </w:rPr>
        <w:t xml:space="preserve">   </w:t>
      </w:r>
    </w:p>
    <w:p w14:paraId="6989D2B5" w14:textId="77777777" w:rsidR="00A40D32" w:rsidRPr="00A40D32" w:rsidRDefault="00A40D32" w:rsidP="0037678C">
      <w:pPr>
        <w:spacing w:line="240" w:lineRule="auto"/>
        <w:contextualSpacing/>
        <w:rPr>
          <w:rFonts w:ascii="Times New Roman" w:hAnsi="Times New Roman" w:cs="Times New Roman"/>
          <w:sz w:val="24"/>
          <w:szCs w:val="32"/>
        </w:rPr>
      </w:pPr>
    </w:p>
    <w:p w14:paraId="67655499" w14:textId="77777777" w:rsidR="00A40D32" w:rsidRDefault="00F3269A" w:rsidP="0037678C">
      <w:pPr>
        <w:spacing w:line="240" w:lineRule="auto"/>
        <w:contextualSpacing/>
        <w:rPr>
          <w:rFonts w:ascii="Times New Roman" w:hAnsi="Times New Roman" w:cs="Times New Roman"/>
          <w:sz w:val="24"/>
          <w:szCs w:val="32"/>
        </w:rPr>
      </w:pPr>
      <w:r>
        <w:rPr>
          <w:rFonts w:ascii="Times New Roman" w:hAnsi="Times New Roman" w:cs="Times New Roman"/>
          <w:sz w:val="24"/>
          <w:szCs w:val="32"/>
        </w:rPr>
        <w:t>The requested modification will address:</w:t>
      </w:r>
    </w:p>
    <w:p w14:paraId="356B7289" w14:textId="77777777" w:rsidR="00F3269A" w:rsidRDefault="00F3269A" w:rsidP="0037678C">
      <w:pPr>
        <w:pStyle w:val="ListParagraph"/>
        <w:numPr>
          <w:ilvl w:val="0"/>
          <w:numId w:val="2"/>
        </w:numPr>
        <w:spacing w:line="240" w:lineRule="auto"/>
        <w:rPr>
          <w:rFonts w:ascii="Times New Roman" w:hAnsi="Times New Roman" w:cs="Times New Roman"/>
          <w:sz w:val="24"/>
          <w:szCs w:val="32"/>
        </w:rPr>
      </w:pPr>
      <w:r>
        <w:rPr>
          <w:rFonts w:ascii="Times New Roman" w:hAnsi="Times New Roman" w:cs="Times New Roman"/>
          <w:sz w:val="24"/>
          <w:szCs w:val="32"/>
        </w:rPr>
        <w:t>Recently adopted changes to G.S. 143-215.</w:t>
      </w:r>
      <w:proofErr w:type="gramStart"/>
      <w:r>
        <w:rPr>
          <w:rFonts w:ascii="Times New Roman" w:hAnsi="Times New Roman" w:cs="Times New Roman"/>
          <w:sz w:val="24"/>
          <w:szCs w:val="32"/>
        </w:rPr>
        <w:t>22L;</w:t>
      </w:r>
      <w:proofErr w:type="gramEnd"/>
    </w:p>
    <w:p w14:paraId="7615BC65" w14:textId="77777777" w:rsidR="00F3269A" w:rsidRDefault="00EB522F" w:rsidP="0037678C">
      <w:pPr>
        <w:pStyle w:val="ListParagraph"/>
        <w:numPr>
          <w:ilvl w:val="0"/>
          <w:numId w:val="2"/>
        </w:numPr>
        <w:spacing w:line="240" w:lineRule="auto"/>
        <w:rPr>
          <w:rFonts w:ascii="Times New Roman" w:hAnsi="Times New Roman" w:cs="Times New Roman"/>
          <w:sz w:val="24"/>
          <w:szCs w:val="32"/>
        </w:rPr>
      </w:pPr>
      <w:r>
        <w:rPr>
          <w:rFonts w:ascii="Times New Roman" w:hAnsi="Times New Roman" w:cs="Times New Roman"/>
          <w:sz w:val="24"/>
          <w:szCs w:val="32"/>
        </w:rPr>
        <w:t>I</w:t>
      </w:r>
      <w:r w:rsidR="006D4283">
        <w:rPr>
          <w:rFonts w:ascii="Times New Roman" w:hAnsi="Times New Roman" w:cs="Times New Roman"/>
          <w:sz w:val="24"/>
          <w:szCs w:val="32"/>
        </w:rPr>
        <w:t>nclusion of transfers to the Cape Fear River basin (consumptive uses in the southwestern portion of the Town of Apex service area), so that the modified certificate addresses transfers from the Haw River basin to both the Neuse River basin and Cape Fear River basin; and</w:t>
      </w:r>
    </w:p>
    <w:p w14:paraId="3AE96B99" w14:textId="77777777" w:rsidR="006D4283" w:rsidRPr="00F3269A" w:rsidRDefault="006D4283" w:rsidP="005B3A6E">
      <w:pPr>
        <w:pStyle w:val="ListParagraph"/>
        <w:numPr>
          <w:ilvl w:val="0"/>
          <w:numId w:val="2"/>
        </w:numPr>
        <w:spacing w:after="0" w:line="240" w:lineRule="auto"/>
        <w:rPr>
          <w:rFonts w:ascii="Times New Roman" w:hAnsi="Times New Roman" w:cs="Times New Roman"/>
          <w:sz w:val="24"/>
          <w:szCs w:val="32"/>
        </w:rPr>
      </w:pPr>
      <w:r>
        <w:rPr>
          <w:rFonts w:ascii="Times New Roman" w:hAnsi="Times New Roman" w:cs="Times New Roman"/>
          <w:sz w:val="24"/>
          <w:szCs w:val="32"/>
        </w:rPr>
        <w:t>Extension of the certificate term to cover a 30-year planning period, ensuring the modified certificate addresses IBT through 2045 (previous certificate was based on 2030 planning).</w:t>
      </w:r>
      <w:r w:rsidR="000A5AC3">
        <w:rPr>
          <w:rFonts w:ascii="Times New Roman" w:hAnsi="Times New Roman" w:cs="Times New Roman"/>
          <w:sz w:val="24"/>
          <w:szCs w:val="32"/>
        </w:rPr>
        <w:t xml:space="preserve">  The </w:t>
      </w:r>
      <w:r w:rsidR="000A5AC3" w:rsidRPr="00472174">
        <w:rPr>
          <w:rFonts w:ascii="Times New Roman" w:hAnsi="Times New Roman" w:cs="Times New Roman"/>
          <w:sz w:val="24"/>
          <w:szCs w:val="24"/>
        </w:rPr>
        <w:t xml:space="preserve">permitted transfer amount </w:t>
      </w:r>
      <w:r w:rsidR="000A5AC3">
        <w:rPr>
          <w:rFonts w:ascii="Times New Roman" w:hAnsi="Times New Roman" w:cs="Times New Roman"/>
          <w:sz w:val="24"/>
          <w:szCs w:val="24"/>
        </w:rPr>
        <w:t xml:space="preserve">shall </w:t>
      </w:r>
      <w:r w:rsidR="000A5AC3" w:rsidRPr="00472174">
        <w:rPr>
          <w:rFonts w:ascii="Times New Roman" w:hAnsi="Times New Roman" w:cs="Times New Roman"/>
          <w:sz w:val="24"/>
          <w:szCs w:val="24"/>
        </w:rPr>
        <w:t xml:space="preserve">not exceed a maximum of </w:t>
      </w:r>
      <w:r w:rsidR="000A5AC3">
        <w:rPr>
          <w:rFonts w:ascii="Times New Roman" w:hAnsi="Times New Roman" w:cs="Times New Roman"/>
          <w:sz w:val="24"/>
          <w:szCs w:val="24"/>
        </w:rPr>
        <w:t>31</w:t>
      </w:r>
      <w:r w:rsidR="000A5AC3" w:rsidRPr="00472174">
        <w:rPr>
          <w:rFonts w:ascii="Times New Roman" w:hAnsi="Times New Roman" w:cs="Times New Roman"/>
          <w:sz w:val="24"/>
          <w:szCs w:val="24"/>
        </w:rPr>
        <w:t xml:space="preserve"> million gallons per day</w:t>
      </w:r>
      <w:r w:rsidR="000A5AC3">
        <w:rPr>
          <w:rFonts w:ascii="Times New Roman" w:hAnsi="Times New Roman" w:cs="Times New Roman"/>
          <w:sz w:val="24"/>
          <w:szCs w:val="24"/>
        </w:rPr>
        <w:t xml:space="preserve"> from the Haw River Basin to the Neuse River Basin and 2 </w:t>
      </w:r>
      <w:r w:rsidR="000A5AC3" w:rsidRPr="00472174">
        <w:rPr>
          <w:rFonts w:ascii="Times New Roman" w:hAnsi="Times New Roman" w:cs="Times New Roman"/>
          <w:sz w:val="24"/>
          <w:szCs w:val="24"/>
        </w:rPr>
        <w:t>million gallons per day</w:t>
      </w:r>
      <w:r w:rsidR="000A5AC3">
        <w:rPr>
          <w:rFonts w:ascii="Times New Roman" w:hAnsi="Times New Roman" w:cs="Times New Roman"/>
          <w:sz w:val="24"/>
          <w:szCs w:val="24"/>
        </w:rPr>
        <w:t xml:space="preserve"> from the Haw River Basin to the Cape Fear River Basin, calculated as</w:t>
      </w:r>
      <w:r w:rsidR="000A5AC3" w:rsidRPr="00472174">
        <w:rPr>
          <w:rFonts w:ascii="Times New Roman" w:hAnsi="Times New Roman" w:cs="Times New Roman"/>
          <w:sz w:val="24"/>
          <w:szCs w:val="24"/>
        </w:rPr>
        <w:t xml:space="preserve"> a daily ave</w:t>
      </w:r>
      <w:r w:rsidR="000A5AC3">
        <w:rPr>
          <w:rFonts w:ascii="Times New Roman" w:hAnsi="Times New Roman" w:cs="Times New Roman"/>
          <w:sz w:val="24"/>
          <w:szCs w:val="24"/>
        </w:rPr>
        <w:t>rage of a calendar month basis.</w:t>
      </w:r>
    </w:p>
    <w:p w14:paraId="27D19EA1" w14:textId="77777777" w:rsidR="00A40D32" w:rsidRPr="00A40D32" w:rsidRDefault="00A40D32" w:rsidP="0037678C">
      <w:pPr>
        <w:spacing w:line="240" w:lineRule="auto"/>
        <w:contextualSpacing/>
        <w:rPr>
          <w:rFonts w:ascii="Times New Roman" w:hAnsi="Times New Roman" w:cs="Times New Roman"/>
          <w:sz w:val="24"/>
          <w:szCs w:val="32"/>
        </w:rPr>
      </w:pPr>
    </w:p>
    <w:p w14:paraId="2FBF5C5C" w14:textId="77777777" w:rsidR="00A40D32" w:rsidRPr="00A40D32" w:rsidRDefault="00DC6CCA" w:rsidP="0037678C">
      <w:pPr>
        <w:spacing w:line="240" w:lineRule="auto"/>
        <w:contextualSpacing/>
        <w:rPr>
          <w:rFonts w:ascii="Times New Roman" w:hAnsi="Times New Roman" w:cs="Times New Roman"/>
          <w:sz w:val="24"/>
          <w:szCs w:val="32"/>
        </w:rPr>
      </w:pPr>
      <w:r>
        <w:rPr>
          <w:rFonts w:ascii="Times New Roman" w:hAnsi="Times New Roman" w:cs="Times New Roman"/>
          <w:sz w:val="24"/>
          <w:szCs w:val="32"/>
        </w:rPr>
        <w:t>A p</w:t>
      </w:r>
      <w:r w:rsidR="00A40D32" w:rsidRPr="00A40D32">
        <w:rPr>
          <w:rFonts w:ascii="Times New Roman" w:hAnsi="Times New Roman" w:cs="Times New Roman"/>
          <w:sz w:val="24"/>
          <w:szCs w:val="32"/>
        </w:rPr>
        <w:t xml:space="preserve">ublic hearing on the Interbasin Transfer </w:t>
      </w:r>
      <w:r w:rsidR="00183FD7">
        <w:rPr>
          <w:rFonts w:ascii="Times New Roman" w:hAnsi="Times New Roman" w:cs="Times New Roman"/>
          <w:sz w:val="24"/>
          <w:szCs w:val="32"/>
        </w:rPr>
        <w:t xml:space="preserve">Certificate </w:t>
      </w:r>
      <w:r>
        <w:rPr>
          <w:rFonts w:ascii="Times New Roman" w:hAnsi="Times New Roman" w:cs="Times New Roman"/>
          <w:sz w:val="24"/>
          <w:szCs w:val="32"/>
        </w:rPr>
        <w:t>Modification</w:t>
      </w:r>
      <w:r w:rsidR="00A40D32" w:rsidRPr="00A40D32">
        <w:rPr>
          <w:rFonts w:ascii="Times New Roman" w:hAnsi="Times New Roman" w:cs="Times New Roman"/>
          <w:sz w:val="24"/>
          <w:szCs w:val="32"/>
        </w:rPr>
        <w:t xml:space="preserve"> for the </w:t>
      </w:r>
      <w:r>
        <w:rPr>
          <w:rFonts w:ascii="Times New Roman" w:hAnsi="Times New Roman" w:cs="Times New Roman"/>
          <w:sz w:val="24"/>
          <w:szCs w:val="32"/>
        </w:rPr>
        <w:t>Towns</w:t>
      </w:r>
      <w:r w:rsidR="00A40D32" w:rsidRPr="00A40D32">
        <w:rPr>
          <w:rFonts w:ascii="Times New Roman" w:hAnsi="Times New Roman" w:cs="Times New Roman"/>
          <w:sz w:val="24"/>
          <w:szCs w:val="32"/>
        </w:rPr>
        <w:t xml:space="preserve"> of </w:t>
      </w:r>
      <w:r>
        <w:rPr>
          <w:rFonts w:ascii="Times New Roman" w:hAnsi="Times New Roman" w:cs="Times New Roman"/>
          <w:sz w:val="24"/>
          <w:szCs w:val="32"/>
        </w:rPr>
        <w:t>Cary, Apex and Morrisville and Wake County</w:t>
      </w:r>
      <w:r w:rsidR="00A40D32" w:rsidRPr="00A40D32">
        <w:rPr>
          <w:rFonts w:ascii="Times New Roman" w:hAnsi="Times New Roman" w:cs="Times New Roman"/>
          <w:sz w:val="24"/>
          <w:szCs w:val="32"/>
        </w:rPr>
        <w:t xml:space="preserve"> w</w:t>
      </w:r>
      <w:r>
        <w:rPr>
          <w:rFonts w:ascii="Times New Roman" w:hAnsi="Times New Roman" w:cs="Times New Roman"/>
          <w:sz w:val="24"/>
          <w:szCs w:val="32"/>
        </w:rPr>
        <w:t>as</w:t>
      </w:r>
      <w:r w:rsidR="00A40D32" w:rsidRPr="00A40D32">
        <w:rPr>
          <w:rFonts w:ascii="Times New Roman" w:hAnsi="Times New Roman" w:cs="Times New Roman"/>
          <w:sz w:val="24"/>
          <w:szCs w:val="32"/>
        </w:rPr>
        <w:t xml:space="preserve"> held on </w:t>
      </w:r>
      <w:proofErr w:type="gramStart"/>
      <w:r>
        <w:rPr>
          <w:rFonts w:ascii="Times New Roman" w:hAnsi="Times New Roman" w:cs="Times New Roman"/>
          <w:sz w:val="24"/>
          <w:szCs w:val="32"/>
        </w:rPr>
        <w:t>January,</w:t>
      </w:r>
      <w:proofErr w:type="gramEnd"/>
      <w:r>
        <w:rPr>
          <w:rFonts w:ascii="Times New Roman" w:hAnsi="Times New Roman" w:cs="Times New Roman"/>
          <w:sz w:val="24"/>
          <w:szCs w:val="32"/>
        </w:rPr>
        <w:t xml:space="preserve"> 7, 2015</w:t>
      </w:r>
      <w:r w:rsidR="00A40D32" w:rsidRPr="00A40D32">
        <w:rPr>
          <w:rFonts w:ascii="Times New Roman" w:hAnsi="Times New Roman" w:cs="Times New Roman"/>
          <w:sz w:val="24"/>
          <w:szCs w:val="32"/>
        </w:rPr>
        <w:t xml:space="preserve"> in </w:t>
      </w:r>
      <w:r>
        <w:rPr>
          <w:rFonts w:ascii="Times New Roman" w:hAnsi="Times New Roman" w:cs="Times New Roman"/>
          <w:sz w:val="24"/>
          <w:szCs w:val="32"/>
        </w:rPr>
        <w:t>Apex</w:t>
      </w:r>
      <w:r w:rsidR="00A40D32" w:rsidRPr="00A40D32">
        <w:rPr>
          <w:rFonts w:ascii="Times New Roman" w:hAnsi="Times New Roman" w:cs="Times New Roman"/>
          <w:sz w:val="24"/>
          <w:szCs w:val="32"/>
        </w:rPr>
        <w:t xml:space="preserve"> pursuant to G.S 143-215.22</w:t>
      </w:r>
      <w:r>
        <w:rPr>
          <w:rFonts w:ascii="Times New Roman" w:hAnsi="Times New Roman" w:cs="Times New Roman"/>
          <w:sz w:val="24"/>
          <w:szCs w:val="32"/>
        </w:rPr>
        <w:t>L</w:t>
      </w:r>
      <w:r w:rsidR="00A40D32" w:rsidRPr="00A40D32">
        <w:rPr>
          <w:rFonts w:ascii="Times New Roman" w:hAnsi="Times New Roman" w:cs="Times New Roman"/>
          <w:sz w:val="24"/>
          <w:szCs w:val="32"/>
        </w:rPr>
        <w:t xml:space="preserve">. In response to the public’s requests for </w:t>
      </w:r>
      <w:r>
        <w:rPr>
          <w:rFonts w:ascii="Times New Roman" w:hAnsi="Times New Roman" w:cs="Times New Roman"/>
          <w:sz w:val="24"/>
          <w:szCs w:val="32"/>
        </w:rPr>
        <w:t xml:space="preserve">an </w:t>
      </w:r>
      <w:r w:rsidR="00A40D32" w:rsidRPr="00A40D32">
        <w:rPr>
          <w:rFonts w:ascii="Times New Roman" w:hAnsi="Times New Roman" w:cs="Times New Roman"/>
          <w:sz w:val="24"/>
          <w:szCs w:val="32"/>
        </w:rPr>
        <w:t>additional comment opportunit</w:t>
      </w:r>
      <w:r>
        <w:rPr>
          <w:rFonts w:ascii="Times New Roman" w:hAnsi="Times New Roman" w:cs="Times New Roman"/>
          <w:sz w:val="24"/>
          <w:szCs w:val="32"/>
        </w:rPr>
        <w:t>y</w:t>
      </w:r>
      <w:r w:rsidR="00A40D32" w:rsidRPr="00A40D32">
        <w:rPr>
          <w:rFonts w:ascii="Times New Roman" w:hAnsi="Times New Roman" w:cs="Times New Roman"/>
          <w:sz w:val="24"/>
          <w:szCs w:val="32"/>
        </w:rPr>
        <w:t xml:space="preserve">, </w:t>
      </w:r>
      <w:r w:rsidR="008B4C0C">
        <w:rPr>
          <w:rFonts w:ascii="Times New Roman" w:hAnsi="Times New Roman" w:cs="Times New Roman"/>
          <w:sz w:val="24"/>
          <w:szCs w:val="32"/>
        </w:rPr>
        <w:t xml:space="preserve">a second </w:t>
      </w:r>
      <w:r w:rsidR="00A40D32" w:rsidRPr="00A40D32">
        <w:rPr>
          <w:rFonts w:ascii="Times New Roman" w:hAnsi="Times New Roman" w:cs="Times New Roman"/>
          <w:sz w:val="24"/>
          <w:szCs w:val="32"/>
        </w:rPr>
        <w:t xml:space="preserve">public </w:t>
      </w:r>
      <w:r w:rsidR="008B4C0C">
        <w:rPr>
          <w:rFonts w:ascii="Times New Roman" w:hAnsi="Times New Roman" w:cs="Times New Roman"/>
          <w:sz w:val="24"/>
          <w:szCs w:val="32"/>
        </w:rPr>
        <w:t>hearing</w:t>
      </w:r>
      <w:r w:rsidR="00A40D32" w:rsidRPr="00A40D32">
        <w:rPr>
          <w:rFonts w:ascii="Times New Roman" w:hAnsi="Times New Roman" w:cs="Times New Roman"/>
          <w:sz w:val="24"/>
          <w:szCs w:val="32"/>
        </w:rPr>
        <w:t xml:space="preserve"> w</w:t>
      </w:r>
      <w:r>
        <w:rPr>
          <w:rFonts w:ascii="Times New Roman" w:hAnsi="Times New Roman" w:cs="Times New Roman"/>
          <w:sz w:val="24"/>
          <w:szCs w:val="32"/>
        </w:rPr>
        <w:t>as</w:t>
      </w:r>
      <w:r w:rsidR="00A40D32" w:rsidRPr="00A40D32">
        <w:rPr>
          <w:rFonts w:ascii="Times New Roman" w:hAnsi="Times New Roman" w:cs="Times New Roman"/>
          <w:sz w:val="24"/>
          <w:szCs w:val="32"/>
        </w:rPr>
        <w:t xml:space="preserve"> held on </w:t>
      </w:r>
      <w:r>
        <w:rPr>
          <w:rFonts w:ascii="Times New Roman" w:hAnsi="Times New Roman" w:cs="Times New Roman"/>
          <w:sz w:val="24"/>
          <w:szCs w:val="32"/>
        </w:rPr>
        <w:t>January 22, 2015</w:t>
      </w:r>
      <w:r w:rsidR="00A40D32" w:rsidRPr="00A40D32">
        <w:rPr>
          <w:rFonts w:ascii="Times New Roman" w:hAnsi="Times New Roman" w:cs="Times New Roman"/>
          <w:sz w:val="24"/>
          <w:szCs w:val="32"/>
        </w:rPr>
        <w:t xml:space="preserve"> in </w:t>
      </w:r>
      <w:r w:rsidR="00A15F3A">
        <w:rPr>
          <w:rFonts w:ascii="Times New Roman" w:hAnsi="Times New Roman" w:cs="Times New Roman"/>
          <w:sz w:val="24"/>
          <w:szCs w:val="32"/>
        </w:rPr>
        <w:t>Fayetteville</w:t>
      </w:r>
      <w:r w:rsidR="00A40D32" w:rsidRPr="00A40D32">
        <w:rPr>
          <w:rFonts w:ascii="Times New Roman" w:hAnsi="Times New Roman" w:cs="Times New Roman"/>
          <w:sz w:val="24"/>
          <w:szCs w:val="32"/>
        </w:rPr>
        <w:t xml:space="preserve">. Throughout the process, a total of </w:t>
      </w:r>
      <w:r w:rsidR="005B6C7F">
        <w:rPr>
          <w:rFonts w:ascii="Times New Roman" w:hAnsi="Times New Roman" w:cs="Times New Roman"/>
          <w:sz w:val="24"/>
          <w:szCs w:val="32"/>
        </w:rPr>
        <w:t>30</w:t>
      </w:r>
      <w:r w:rsidR="00A40D32" w:rsidRPr="00A40D32">
        <w:rPr>
          <w:rFonts w:ascii="Times New Roman" w:hAnsi="Times New Roman" w:cs="Times New Roman"/>
          <w:sz w:val="24"/>
          <w:szCs w:val="32"/>
        </w:rPr>
        <w:t xml:space="preserve"> oral comments </w:t>
      </w:r>
      <w:r w:rsidR="008B4C0C">
        <w:rPr>
          <w:rFonts w:ascii="Times New Roman" w:hAnsi="Times New Roman" w:cs="Times New Roman"/>
          <w:sz w:val="24"/>
          <w:szCs w:val="32"/>
        </w:rPr>
        <w:t>was</w:t>
      </w:r>
      <w:r w:rsidR="00A40D32" w:rsidRPr="00A40D32">
        <w:rPr>
          <w:rFonts w:ascii="Times New Roman" w:hAnsi="Times New Roman" w:cs="Times New Roman"/>
          <w:sz w:val="24"/>
          <w:szCs w:val="32"/>
        </w:rPr>
        <w:t xml:space="preserve"> received and </w:t>
      </w:r>
      <w:r w:rsidR="00311757">
        <w:rPr>
          <w:rFonts w:ascii="Times New Roman" w:hAnsi="Times New Roman" w:cs="Times New Roman"/>
          <w:sz w:val="24"/>
          <w:szCs w:val="32"/>
        </w:rPr>
        <w:t xml:space="preserve">35 </w:t>
      </w:r>
      <w:r w:rsidR="00A40D32" w:rsidRPr="00A40D32">
        <w:rPr>
          <w:rFonts w:ascii="Times New Roman" w:hAnsi="Times New Roman" w:cs="Times New Roman"/>
          <w:sz w:val="24"/>
          <w:szCs w:val="32"/>
        </w:rPr>
        <w:t>persons submitted written comments.</w:t>
      </w:r>
    </w:p>
    <w:p w14:paraId="5B46EF0A" w14:textId="77777777" w:rsidR="00A40D32" w:rsidRPr="00A40D32" w:rsidRDefault="00A40D32" w:rsidP="0037678C">
      <w:pPr>
        <w:numPr>
          <w:ilvl w:val="0"/>
          <w:numId w:val="1"/>
        </w:numPr>
        <w:spacing w:line="240" w:lineRule="auto"/>
        <w:contextualSpacing/>
        <w:rPr>
          <w:rFonts w:ascii="Times New Roman" w:hAnsi="Times New Roman" w:cs="Times New Roman"/>
          <w:sz w:val="24"/>
          <w:szCs w:val="32"/>
        </w:rPr>
      </w:pPr>
    </w:p>
    <w:p w14:paraId="4B4D469F" w14:textId="77777777" w:rsidR="00A40D32" w:rsidRDefault="00A40D32" w:rsidP="0037678C">
      <w:pPr>
        <w:spacing w:line="240" w:lineRule="auto"/>
        <w:contextualSpacing/>
        <w:rPr>
          <w:rFonts w:ascii="Times New Roman" w:hAnsi="Times New Roman" w:cs="Times New Roman"/>
          <w:sz w:val="24"/>
          <w:szCs w:val="32"/>
        </w:rPr>
      </w:pPr>
      <w:r w:rsidRPr="00A40D32">
        <w:rPr>
          <w:rFonts w:ascii="Times New Roman" w:hAnsi="Times New Roman" w:cs="Times New Roman"/>
          <w:sz w:val="24"/>
          <w:szCs w:val="32"/>
        </w:rPr>
        <w:t xml:space="preserve">The EMC </w:t>
      </w:r>
      <w:r w:rsidR="00EB522F">
        <w:rPr>
          <w:rFonts w:ascii="Times New Roman" w:hAnsi="Times New Roman" w:cs="Times New Roman"/>
          <w:sz w:val="24"/>
          <w:szCs w:val="32"/>
        </w:rPr>
        <w:t xml:space="preserve">will </w:t>
      </w:r>
      <w:r w:rsidRPr="00A40D32">
        <w:rPr>
          <w:rFonts w:ascii="Times New Roman" w:hAnsi="Times New Roman" w:cs="Times New Roman"/>
          <w:sz w:val="24"/>
          <w:szCs w:val="32"/>
        </w:rPr>
        <w:t xml:space="preserve">consider the petitioners’ request at its regular meeting on </w:t>
      </w:r>
      <w:r w:rsidR="00A15F3A">
        <w:rPr>
          <w:rFonts w:ascii="Times New Roman" w:hAnsi="Times New Roman" w:cs="Times New Roman"/>
          <w:sz w:val="24"/>
          <w:szCs w:val="32"/>
        </w:rPr>
        <w:t>March 12, 2015</w:t>
      </w:r>
      <w:r w:rsidRPr="00A40D32">
        <w:rPr>
          <w:rFonts w:ascii="Times New Roman" w:hAnsi="Times New Roman" w:cs="Times New Roman"/>
          <w:sz w:val="24"/>
          <w:szCs w:val="32"/>
        </w:rPr>
        <w:t>. According to G.S. § 143-215.</w:t>
      </w:r>
      <w:r w:rsidR="005205E9">
        <w:rPr>
          <w:rFonts w:ascii="Times New Roman" w:hAnsi="Times New Roman" w:cs="Times New Roman"/>
          <w:sz w:val="24"/>
          <w:szCs w:val="32"/>
        </w:rPr>
        <w:t>22</w:t>
      </w:r>
      <w:r w:rsidR="006179DD">
        <w:rPr>
          <w:rFonts w:ascii="Times New Roman" w:hAnsi="Times New Roman" w:cs="Times New Roman"/>
          <w:sz w:val="24"/>
          <w:szCs w:val="32"/>
        </w:rPr>
        <w:t>L</w:t>
      </w:r>
      <w:r w:rsidRPr="00A40D32">
        <w:rPr>
          <w:rFonts w:ascii="Times New Roman" w:hAnsi="Times New Roman" w:cs="Times New Roman"/>
          <w:sz w:val="24"/>
          <w:szCs w:val="32"/>
        </w:rPr>
        <w:t>(</w:t>
      </w:r>
      <w:r w:rsidR="006179DD">
        <w:rPr>
          <w:rFonts w:ascii="Times New Roman" w:hAnsi="Times New Roman" w:cs="Times New Roman"/>
          <w:sz w:val="24"/>
          <w:szCs w:val="32"/>
        </w:rPr>
        <w:t>m</w:t>
      </w:r>
      <w:r w:rsidRPr="00A40D32">
        <w:rPr>
          <w:rFonts w:ascii="Times New Roman" w:hAnsi="Times New Roman" w:cs="Times New Roman"/>
          <w:sz w:val="24"/>
          <w:szCs w:val="32"/>
        </w:rPr>
        <w:t xml:space="preserve">), the EMC shall </w:t>
      </w:r>
      <w:r w:rsidR="00475A61">
        <w:rPr>
          <w:rFonts w:ascii="Times New Roman" w:hAnsi="Times New Roman" w:cs="Times New Roman"/>
          <w:sz w:val="24"/>
          <w:szCs w:val="32"/>
        </w:rPr>
        <w:t>grant</w:t>
      </w:r>
      <w:r w:rsidRPr="00A40D32">
        <w:rPr>
          <w:rFonts w:ascii="Times New Roman" w:hAnsi="Times New Roman" w:cs="Times New Roman"/>
          <w:sz w:val="24"/>
          <w:szCs w:val="32"/>
        </w:rPr>
        <w:t xml:space="preserve"> a certificate</w:t>
      </w:r>
      <w:r w:rsidR="00475A61">
        <w:rPr>
          <w:rFonts w:ascii="Times New Roman" w:hAnsi="Times New Roman" w:cs="Times New Roman"/>
          <w:sz w:val="24"/>
          <w:szCs w:val="32"/>
        </w:rPr>
        <w:t xml:space="preserve"> modification</w:t>
      </w:r>
      <w:r w:rsidRPr="00A40D32">
        <w:rPr>
          <w:rFonts w:ascii="Times New Roman" w:hAnsi="Times New Roman" w:cs="Times New Roman"/>
          <w:sz w:val="24"/>
          <w:szCs w:val="32"/>
        </w:rPr>
        <w:t xml:space="preserve"> if the</w:t>
      </w:r>
      <w:r w:rsidR="00475A61">
        <w:rPr>
          <w:rFonts w:ascii="Times New Roman" w:hAnsi="Times New Roman" w:cs="Times New Roman"/>
          <w:sz w:val="24"/>
          <w:szCs w:val="32"/>
        </w:rPr>
        <w:t xml:space="preserve"> </w:t>
      </w:r>
      <w:r w:rsidRPr="00A40D32">
        <w:rPr>
          <w:rFonts w:ascii="Times New Roman" w:hAnsi="Times New Roman" w:cs="Times New Roman"/>
          <w:sz w:val="24"/>
          <w:szCs w:val="32"/>
        </w:rPr>
        <w:t xml:space="preserve">benefits of the proposed </w:t>
      </w:r>
      <w:r w:rsidR="00475A61">
        <w:rPr>
          <w:rFonts w:ascii="Times New Roman" w:hAnsi="Times New Roman" w:cs="Times New Roman"/>
          <w:sz w:val="24"/>
          <w:szCs w:val="32"/>
        </w:rPr>
        <w:t>modification</w:t>
      </w:r>
      <w:r w:rsidRPr="00A40D32">
        <w:rPr>
          <w:rFonts w:ascii="Times New Roman" w:hAnsi="Times New Roman" w:cs="Times New Roman"/>
          <w:sz w:val="24"/>
          <w:szCs w:val="32"/>
        </w:rPr>
        <w:t xml:space="preserve"> outweigh the detriments of the proposed </w:t>
      </w:r>
      <w:r w:rsidR="00475A61">
        <w:rPr>
          <w:rFonts w:ascii="Times New Roman" w:hAnsi="Times New Roman" w:cs="Times New Roman"/>
          <w:sz w:val="24"/>
          <w:szCs w:val="32"/>
        </w:rPr>
        <w:t>modification</w:t>
      </w:r>
      <w:r w:rsidRPr="00A40D32">
        <w:rPr>
          <w:rFonts w:ascii="Times New Roman" w:hAnsi="Times New Roman" w:cs="Times New Roman"/>
          <w:sz w:val="24"/>
          <w:szCs w:val="32"/>
        </w:rPr>
        <w:t>, and the detriments have been or will be mitigated to a reasonable degree.</w:t>
      </w:r>
    </w:p>
    <w:p w14:paraId="6E9B227E" w14:textId="77777777" w:rsidR="006179DD" w:rsidRDefault="006179DD" w:rsidP="0037678C">
      <w:pPr>
        <w:spacing w:line="240" w:lineRule="auto"/>
        <w:contextualSpacing/>
        <w:rPr>
          <w:rFonts w:ascii="Times New Roman" w:hAnsi="Times New Roman" w:cs="Times New Roman"/>
          <w:sz w:val="24"/>
          <w:szCs w:val="32"/>
        </w:rPr>
      </w:pPr>
    </w:p>
    <w:p w14:paraId="508728B8" w14:textId="77777777" w:rsidR="00895DE3" w:rsidRPr="00895DE3" w:rsidRDefault="00895DE3" w:rsidP="0037678C">
      <w:pPr>
        <w:spacing w:after="0" w:line="240" w:lineRule="auto"/>
        <w:contextualSpacing/>
        <w:rPr>
          <w:rFonts w:ascii="Times New Roman" w:hAnsi="Times New Roman" w:cs="Times New Roman"/>
          <w:sz w:val="24"/>
          <w:szCs w:val="24"/>
        </w:rPr>
      </w:pPr>
      <w:r w:rsidRPr="00895DE3">
        <w:rPr>
          <w:rFonts w:ascii="Times New Roman" w:hAnsi="Times New Roman" w:cs="Times New Roman"/>
          <w:sz w:val="24"/>
          <w:szCs w:val="24"/>
        </w:rPr>
        <w:t xml:space="preserve">The EMC may grant the </w:t>
      </w:r>
      <w:r>
        <w:rPr>
          <w:rFonts w:ascii="Times New Roman" w:hAnsi="Times New Roman" w:cs="Times New Roman"/>
          <w:sz w:val="24"/>
          <w:szCs w:val="24"/>
        </w:rPr>
        <w:t>requested modification</w:t>
      </w:r>
      <w:r w:rsidRPr="00895DE3">
        <w:rPr>
          <w:rFonts w:ascii="Times New Roman" w:hAnsi="Times New Roman" w:cs="Times New Roman"/>
          <w:sz w:val="24"/>
          <w:szCs w:val="24"/>
        </w:rPr>
        <w:t xml:space="preserve"> in whole or in part, or deny it, and may grant a </w:t>
      </w:r>
      <w:r w:rsidR="0053771F">
        <w:rPr>
          <w:rFonts w:ascii="Times New Roman" w:hAnsi="Times New Roman" w:cs="Times New Roman"/>
          <w:sz w:val="24"/>
          <w:szCs w:val="24"/>
        </w:rPr>
        <w:t>modification</w:t>
      </w:r>
      <w:r w:rsidRPr="00895DE3">
        <w:rPr>
          <w:rFonts w:ascii="Times New Roman" w:hAnsi="Times New Roman" w:cs="Times New Roman"/>
          <w:sz w:val="24"/>
          <w:szCs w:val="24"/>
        </w:rPr>
        <w:t xml:space="preserve"> with conditions, as provided in G.S. § 143-215.22</w:t>
      </w:r>
      <w:r w:rsidR="0053771F">
        <w:rPr>
          <w:rFonts w:ascii="Times New Roman" w:hAnsi="Times New Roman" w:cs="Times New Roman"/>
          <w:sz w:val="24"/>
          <w:szCs w:val="24"/>
        </w:rPr>
        <w:t>L</w:t>
      </w:r>
      <w:r w:rsidR="006179DD">
        <w:rPr>
          <w:rFonts w:ascii="Times New Roman" w:hAnsi="Times New Roman" w:cs="Times New Roman"/>
          <w:sz w:val="24"/>
          <w:szCs w:val="24"/>
        </w:rPr>
        <w:t xml:space="preserve"> </w:t>
      </w:r>
      <w:r w:rsidRPr="00895DE3">
        <w:rPr>
          <w:rFonts w:ascii="Times New Roman" w:hAnsi="Times New Roman" w:cs="Times New Roman"/>
          <w:sz w:val="24"/>
          <w:szCs w:val="24"/>
        </w:rPr>
        <w:t>(</w:t>
      </w:r>
      <w:r w:rsidR="0053771F">
        <w:rPr>
          <w:rFonts w:ascii="Times New Roman" w:hAnsi="Times New Roman" w:cs="Times New Roman"/>
          <w:sz w:val="24"/>
          <w:szCs w:val="24"/>
        </w:rPr>
        <w:t>k</w:t>
      </w:r>
      <w:r w:rsidRPr="00895DE3">
        <w:rPr>
          <w:rFonts w:ascii="Times New Roman" w:hAnsi="Times New Roman" w:cs="Times New Roman"/>
          <w:sz w:val="24"/>
          <w:szCs w:val="24"/>
        </w:rPr>
        <w:t>)</w:t>
      </w:r>
      <w:r w:rsidR="0053771F">
        <w:rPr>
          <w:rFonts w:ascii="Times New Roman" w:hAnsi="Times New Roman" w:cs="Times New Roman"/>
          <w:sz w:val="24"/>
          <w:szCs w:val="24"/>
        </w:rPr>
        <w:t>-</w:t>
      </w:r>
      <w:r w:rsidRPr="00895DE3">
        <w:rPr>
          <w:rFonts w:ascii="Times New Roman" w:hAnsi="Times New Roman" w:cs="Times New Roman"/>
          <w:sz w:val="24"/>
          <w:szCs w:val="24"/>
        </w:rPr>
        <w:t>(</w:t>
      </w:r>
      <w:r w:rsidR="0053771F">
        <w:rPr>
          <w:rFonts w:ascii="Times New Roman" w:hAnsi="Times New Roman" w:cs="Times New Roman"/>
          <w:sz w:val="24"/>
          <w:szCs w:val="24"/>
        </w:rPr>
        <w:t>m</w:t>
      </w:r>
      <w:r w:rsidRPr="00895DE3">
        <w:rPr>
          <w:rFonts w:ascii="Times New Roman" w:hAnsi="Times New Roman" w:cs="Times New Roman"/>
          <w:sz w:val="24"/>
          <w:szCs w:val="24"/>
        </w:rPr>
        <w:t>).  In making this determination, the EMC shall specifically consider:</w:t>
      </w:r>
    </w:p>
    <w:p w14:paraId="6C31F8E0" w14:textId="77777777" w:rsidR="00895DE3" w:rsidRPr="00895DE3" w:rsidRDefault="00895DE3" w:rsidP="0037678C">
      <w:pPr>
        <w:spacing w:after="0" w:line="240" w:lineRule="auto"/>
        <w:contextualSpacing/>
        <w:rPr>
          <w:rFonts w:ascii="Times New Roman" w:hAnsi="Times New Roman" w:cs="Times New Roman"/>
          <w:sz w:val="24"/>
          <w:szCs w:val="24"/>
        </w:rPr>
      </w:pPr>
    </w:p>
    <w:p w14:paraId="5425A801" w14:textId="77777777" w:rsidR="00895DE3" w:rsidRPr="00895DE3" w:rsidRDefault="00895DE3" w:rsidP="006179DD">
      <w:pPr>
        <w:tabs>
          <w:tab w:val="left" w:pos="360"/>
        </w:tabs>
        <w:spacing w:after="0" w:line="240" w:lineRule="auto"/>
        <w:contextualSpacing/>
        <w:rPr>
          <w:rFonts w:ascii="Times New Roman" w:hAnsi="Times New Roman" w:cs="Times New Roman"/>
          <w:sz w:val="24"/>
          <w:szCs w:val="24"/>
        </w:rPr>
      </w:pPr>
      <w:r w:rsidRPr="00895DE3">
        <w:rPr>
          <w:rFonts w:ascii="Times New Roman" w:hAnsi="Times New Roman" w:cs="Times New Roman"/>
          <w:sz w:val="24"/>
          <w:szCs w:val="24"/>
        </w:rPr>
        <w:tab/>
        <w:t>1.</w:t>
      </w:r>
      <w:r w:rsidRPr="00895DE3">
        <w:rPr>
          <w:rFonts w:ascii="Times New Roman" w:hAnsi="Times New Roman" w:cs="Times New Roman"/>
          <w:sz w:val="24"/>
          <w:szCs w:val="24"/>
        </w:rPr>
        <w:tab/>
        <w:t>Necessity, reasonableness, and beneficial effects of the transfer</w:t>
      </w:r>
    </w:p>
    <w:p w14:paraId="43AB074E" w14:textId="77777777" w:rsidR="00895DE3" w:rsidRPr="00895DE3" w:rsidRDefault="00895DE3" w:rsidP="006179DD">
      <w:pPr>
        <w:tabs>
          <w:tab w:val="left" w:pos="360"/>
        </w:tabs>
        <w:spacing w:after="0" w:line="240" w:lineRule="auto"/>
        <w:contextualSpacing/>
        <w:rPr>
          <w:rFonts w:ascii="Times New Roman" w:hAnsi="Times New Roman" w:cs="Times New Roman"/>
          <w:sz w:val="24"/>
          <w:szCs w:val="24"/>
        </w:rPr>
      </w:pPr>
      <w:r w:rsidRPr="00895DE3">
        <w:rPr>
          <w:rFonts w:ascii="Times New Roman" w:hAnsi="Times New Roman" w:cs="Times New Roman"/>
          <w:sz w:val="24"/>
          <w:szCs w:val="24"/>
        </w:rPr>
        <w:tab/>
        <w:t>2.</w:t>
      </w:r>
      <w:r w:rsidRPr="00895DE3">
        <w:rPr>
          <w:rFonts w:ascii="Times New Roman" w:hAnsi="Times New Roman" w:cs="Times New Roman"/>
          <w:sz w:val="24"/>
          <w:szCs w:val="24"/>
        </w:rPr>
        <w:tab/>
        <w:t>Detrimental effects on the source river basin</w:t>
      </w:r>
    </w:p>
    <w:p w14:paraId="1344061E" w14:textId="77777777" w:rsidR="00895DE3" w:rsidRPr="00895DE3" w:rsidRDefault="00895DE3" w:rsidP="006179DD">
      <w:pPr>
        <w:tabs>
          <w:tab w:val="left" w:pos="360"/>
          <w:tab w:val="left" w:pos="720"/>
        </w:tabs>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6179DD">
        <w:rPr>
          <w:rFonts w:ascii="Times New Roman" w:hAnsi="Times New Roman" w:cs="Times New Roman"/>
          <w:sz w:val="24"/>
          <w:szCs w:val="24"/>
        </w:rPr>
        <w:t>3</w:t>
      </w:r>
      <w:r w:rsidRPr="00895DE3">
        <w:rPr>
          <w:rFonts w:ascii="Times New Roman" w:hAnsi="Times New Roman" w:cs="Times New Roman"/>
          <w:sz w:val="24"/>
          <w:szCs w:val="24"/>
        </w:rPr>
        <w:t>.</w:t>
      </w:r>
      <w:r>
        <w:rPr>
          <w:rFonts w:ascii="Times New Roman" w:hAnsi="Times New Roman" w:cs="Times New Roman"/>
          <w:sz w:val="24"/>
          <w:szCs w:val="24"/>
        </w:rPr>
        <w:tab/>
      </w:r>
      <w:r w:rsidRPr="00895DE3">
        <w:rPr>
          <w:rFonts w:ascii="Times New Roman" w:hAnsi="Times New Roman" w:cs="Times New Roman"/>
          <w:sz w:val="24"/>
          <w:szCs w:val="24"/>
        </w:rPr>
        <w:t>Cumulative effects on the source major river basins of</w:t>
      </w:r>
      <w:r w:rsidR="006179DD">
        <w:rPr>
          <w:rFonts w:ascii="Times New Roman" w:hAnsi="Times New Roman" w:cs="Times New Roman"/>
          <w:sz w:val="24"/>
          <w:szCs w:val="24"/>
        </w:rPr>
        <w:t xml:space="preserve"> any current or projected water </w:t>
      </w:r>
      <w:r w:rsidRPr="00895DE3">
        <w:rPr>
          <w:rFonts w:ascii="Times New Roman" w:hAnsi="Times New Roman" w:cs="Times New Roman"/>
          <w:sz w:val="24"/>
          <w:szCs w:val="24"/>
        </w:rPr>
        <w:t>transfer or consumptive water use</w:t>
      </w:r>
    </w:p>
    <w:p w14:paraId="33AB6B04" w14:textId="77777777" w:rsidR="00895DE3" w:rsidRPr="00895DE3" w:rsidRDefault="00895DE3" w:rsidP="006179DD">
      <w:pPr>
        <w:tabs>
          <w:tab w:val="left" w:pos="360"/>
        </w:tabs>
        <w:spacing w:after="0" w:line="240" w:lineRule="auto"/>
        <w:contextualSpacing/>
        <w:rPr>
          <w:rFonts w:ascii="Times New Roman" w:hAnsi="Times New Roman" w:cs="Times New Roman"/>
          <w:sz w:val="24"/>
          <w:szCs w:val="24"/>
        </w:rPr>
      </w:pPr>
      <w:r w:rsidRPr="00895DE3">
        <w:rPr>
          <w:rFonts w:ascii="Times New Roman" w:hAnsi="Times New Roman" w:cs="Times New Roman"/>
          <w:sz w:val="24"/>
          <w:szCs w:val="24"/>
        </w:rPr>
        <w:tab/>
      </w:r>
      <w:r w:rsidR="006179DD">
        <w:rPr>
          <w:rFonts w:ascii="Times New Roman" w:hAnsi="Times New Roman" w:cs="Times New Roman"/>
          <w:sz w:val="24"/>
          <w:szCs w:val="24"/>
        </w:rPr>
        <w:t>4</w:t>
      </w:r>
      <w:r w:rsidRPr="00895DE3">
        <w:rPr>
          <w:rFonts w:ascii="Times New Roman" w:hAnsi="Times New Roman" w:cs="Times New Roman"/>
          <w:sz w:val="24"/>
          <w:szCs w:val="24"/>
        </w:rPr>
        <w:t>.</w:t>
      </w:r>
      <w:r w:rsidRPr="00895DE3">
        <w:rPr>
          <w:rFonts w:ascii="Times New Roman" w:hAnsi="Times New Roman" w:cs="Times New Roman"/>
          <w:sz w:val="24"/>
          <w:szCs w:val="24"/>
        </w:rPr>
        <w:tab/>
        <w:t>Detrimental effects on the receiving basin</w:t>
      </w:r>
    </w:p>
    <w:p w14:paraId="5235422F" w14:textId="77777777" w:rsidR="00895DE3" w:rsidRPr="00895DE3" w:rsidRDefault="006179DD" w:rsidP="006179DD">
      <w:pPr>
        <w:tabs>
          <w:tab w:val="left" w:pos="36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5</w:t>
      </w:r>
      <w:r w:rsidR="00895DE3" w:rsidRPr="00895DE3">
        <w:rPr>
          <w:rFonts w:ascii="Times New Roman" w:hAnsi="Times New Roman" w:cs="Times New Roman"/>
          <w:sz w:val="24"/>
          <w:szCs w:val="24"/>
        </w:rPr>
        <w:t>.</w:t>
      </w:r>
      <w:r w:rsidR="00895DE3" w:rsidRPr="00895DE3">
        <w:rPr>
          <w:rFonts w:ascii="Times New Roman" w:hAnsi="Times New Roman" w:cs="Times New Roman"/>
          <w:sz w:val="24"/>
          <w:szCs w:val="24"/>
        </w:rPr>
        <w:tab/>
        <w:t>Reasonable alternatives to the proposed transfer</w:t>
      </w:r>
    </w:p>
    <w:p w14:paraId="6038D4B9" w14:textId="77777777" w:rsidR="00895DE3" w:rsidRPr="00895DE3" w:rsidRDefault="006179DD" w:rsidP="006179DD">
      <w:pPr>
        <w:tabs>
          <w:tab w:val="left" w:pos="36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6</w:t>
      </w:r>
      <w:r w:rsidR="00895DE3" w:rsidRPr="00895DE3">
        <w:rPr>
          <w:rFonts w:ascii="Times New Roman" w:hAnsi="Times New Roman" w:cs="Times New Roman"/>
          <w:sz w:val="24"/>
          <w:szCs w:val="24"/>
        </w:rPr>
        <w:t>.</w:t>
      </w:r>
      <w:r w:rsidR="00895DE3" w:rsidRPr="00895DE3">
        <w:rPr>
          <w:rFonts w:ascii="Times New Roman" w:hAnsi="Times New Roman" w:cs="Times New Roman"/>
          <w:sz w:val="24"/>
          <w:szCs w:val="24"/>
        </w:rPr>
        <w:tab/>
        <w:t>Applicants’ use of impounded storage capacity</w:t>
      </w:r>
    </w:p>
    <w:p w14:paraId="7F459A44" w14:textId="77777777" w:rsidR="00895DE3" w:rsidRDefault="006179DD" w:rsidP="006179DD">
      <w:pPr>
        <w:tabs>
          <w:tab w:val="left" w:pos="360"/>
          <w:tab w:val="left" w:pos="720"/>
        </w:tabs>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7</w:t>
      </w:r>
      <w:r w:rsidR="00895DE3" w:rsidRPr="00895DE3">
        <w:rPr>
          <w:rFonts w:ascii="Times New Roman" w:hAnsi="Times New Roman" w:cs="Times New Roman"/>
          <w:sz w:val="24"/>
          <w:szCs w:val="24"/>
        </w:rPr>
        <w:t>.</w:t>
      </w:r>
      <w:r w:rsidR="00895DE3" w:rsidRPr="00895DE3">
        <w:rPr>
          <w:rFonts w:ascii="Times New Roman" w:hAnsi="Times New Roman" w:cs="Times New Roman"/>
          <w:sz w:val="24"/>
          <w:szCs w:val="24"/>
        </w:rPr>
        <w:tab/>
        <w:t xml:space="preserve">Purposes of any US Army Corps of Engineers multi-purpose reservoir relevant to the </w:t>
      </w:r>
      <w:r w:rsidR="0053771F">
        <w:rPr>
          <w:rFonts w:ascii="Times New Roman" w:hAnsi="Times New Roman" w:cs="Times New Roman"/>
          <w:sz w:val="24"/>
          <w:szCs w:val="24"/>
        </w:rPr>
        <w:t>certificate modification</w:t>
      </w:r>
    </w:p>
    <w:p w14:paraId="2C3C1379" w14:textId="77777777" w:rsidR="00B85196" w:rsidRPr="006179DD" w:rsidRDefault="006179DD" w:rsidP="006179DD">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8</w:t>
      </w:r>
      <w:r w:rsidR="00B85196" w:rsidRPr="006179DD">
        <w:rPr>
          <w:rFonts w:ascii="Times New Roman" w:hAnsi="Times New Roman" w:cs="Times New Roman"/>
          <w:sz w:val="24"/>
          <w:szCs w:val="24"/>
        </w:rPr>
        <w:t>.</w:t>
      </w:r>
      <w:r w:rsidR="00B85196" w:rsidRPr="006179DD">
        <w:rPr>
          <w:rFonts w:ascii="Times New Roman" w:hAnsi="Times New Roman" w:cs="Times New Roman"/>
          <w:sz w:val="24"/>
          <w:szCs w:val="24"/>
        </w:rPr>
        <w:tab/>
        <w:t xml:space="preserve">Whether applicants’ service area </w:t>
      </w:r>
      <w:proofErr w:type="gramStart"/>
      <w:r w:rsidR="00B85196" w:rsidRPr="006179DD">
        <w:rPr>
          <w:rFonts w:ascii="Times New Roman" w:hAnsi="Times New Roman" w:cs="Times New Roman"/>
          <w:sz w:val="24"/>
          <w:szCs w:val="24"/>
        </w:rPr>
        <w:t>is located in</w:t>
      </w:r>
      <w:proofErr w:type="gramEnd"/>
      <w:r w:rsidR="00B85196" w:rsidRPr="006179DD">
        <w:rPr>
          <w:rFonts w:ascii="Times New Roman" w:hAnsi="Times New Roman" w:cs="Times New Roman"/>
          <w:sz w:val="24"/>
          <w:szCs w:val="24"/>
        </w:rPr>
        <w:t xml:space="preserve"> both the source and receiving river basins</w:t>
      </w:r>
    </w:p>
    <w:p w14:paraId="17C3CAAC" w14:textId="77777777" w:rsidR="00895DE3" w:rsidRPr="00895DE3" w:rsidRDefault="006179DD" w:rsidP="006179DD">
      <w:pPr>
        <w:tabs>
          <w:tab w:val="left" w:pos="360"/>
          <w:tab w:val="left" w:pos="720"/>
        </w:tabs>
        <w:spacing w:after="0"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t>9</w:t>
      </w:r>
      <w:r w:rsidR="00895DE3" w:rsidRPr="00895DE3">
        <w:rPr>
          <w:rFonts w:ascii="Times New Roman" w:hAnsi="Times New Roman" w:cs="Times New Roman"/>
          <w:sz w:val="24"/>
          <w:szCs w:val="24"/>
        </w:rPr>
        <w:t>.</w:t>
      </w:r>
      <w:r w:rsidR="00895DE3" w:rsidRPr="00895DE3">
        <w:rPr>
          <w:rFonts w:ascii="Times New Roman" w:hAnsi="Times New Roman" w:cs="Times New Roman"/>
          <w:sz w:val="24"/>
          <w:szCs w:val="24"/>
        </w:rPr>
        <w:tab/>
        <w:t xml:space="preserve">Any other facts or circumstances </w:t>
      </w:r>
      <w:r w:rsidR="005B3A6E">
        <w:rPr>
          <w:rFonts w:ascii="Times New Roman" w:hAnsi="Times New Roman" w:cs="Times New Roman"/>
          <w:sz w:val="24"/>
          <w:szCs w:val="24"/>
        </w:rPr>
        <w:t>which</w:t>
      </w:r>
      <w:r w:rsidR="00895DE3" w:rsidRPr="00895DE3">
        <w:rPr>
          <w:rFonts w:ascii="Times New Roman" w:hAnsi="Times New Roman" w:cs="Times New Roman"/>
          <w:sz w:val="24"/>
          <w:szCs w:val="24"/>
        </w:rPr>
        <w:t xml:space="preserve"> are reasonably necessary to carry out the law</w:t>
      </w:r>
    </w:p>
    <w:p w14:paraId="4D42E76C" w14:textId="77777777" w:rsidR="00895DE3" w:rsidRPr="00895DE3" w:rsidRDefault="00895DE3" w:rsidP="0037678C">
      <w:pPr>
        <w:spacing w:after="0" w:line="240" w:lineRule="auto"/>
        <w:contextualSpacing/>
        <w:rPr>
          <w:rFonts w:ascii="Times New Roman" w:hAnsi="Times New Roman" w:cs="Times New Roman"/>
          <w:sz w:val="24"/>
          <w:szCs w:val="24"/>
        </w:rPr>
      </w:pPr>
    </w:p>
    <w:p w14:paraId="1AB50A41" w14:textId="77777777" w:rsidR="0039788B" w:rsidRDefault="0039788B" w:rsidP="0037678C">
      <w:pPr>
        <w:spacing w:after="0" w:line="240" w:lineRule="auto"/>
        <w:contextualSpacing/>
        <w:rPr>
          <w:rFonts w:ascii="Times New Roman" w:hAnsi="Times New Roman" w:cs="Times New Roman"/>
          <w:b/>
          <w:sz w:val="32"/>
          <w:szCs w:val="32"/>
        </w:rPr>
      </w:pPr>
    </w:p>
    <w:p w14:paraId="2E57284C" w14:textId="77777777" w:rsidR="00A61AAD" w:rsidRPr="00A61AAD" w:rsidRDefault="00A61AAD" w:rsidP="0037678C">
      <w:pPr>
        <w:spacing w:after="0" w:line="240" w:lineRule="auto"/>
        <w:contextualSpacing/>
        <w:rPr>
          <w:rFonts w:ascii="Times New Roman" w:hAnsi="Times New Roman" w:cs="Times New Roman"/>
          <w:b/>
          <w:sz w:val="32"/>
          <w:szCs w:val="32"/>
        </w:rPr>
      </w:pPr>
      <w:r w:rsidRPr="00A61AAD">
        <w:rPr>
          <w:rFonts w:ascii="Times New Roman" w:hAnsi="Times New Roman" w:cs="Times New Roman"/>
          <w:b/>
          <w:sz w:val="32"/>
          <w:szCs w:val="32"/>
        </w:rPr>
        <w:t>The Commission Finds:</w:t>
      </w:r>
    </w:p>
    <w:p w14:paraId="60B1A66D" w14:textId="77777777" w:rsidR="00A61AAD" w:rsidRPr="00A61AAD" w:rsidRDefault="00A61AAD" w:rsidP="0037678C">
      <w:pPr>
        <w:spacing w:after="0" w:line="240" w:lineRule="auto"/>
        <w:contextualSpacing/>
        <w:rPr>
          <w:rFonts w:ascii="Times New Roman" w:hAnsi="Times New Roman" w:cs="Times New Roman"/>
          <w:sz w:val="24"/>
          <w:szCs w:val="24"/>
        </w:rPr>
      </w:pPr>
    </w:p>
    <w:p w14:paraId="1A4A93FE" w14:textId="77777777" w:rsidR="00A61AAD" w:rsidRPr="00A61AAD" w:rsidRDefault="00A61AAD" w:rsidP="0037678C">
      <w:pPr>
        <w:spacing w:after="0" w:line="240" w:lineRule="auto"/>
        <w:contextualSpacing/>
        <w:rPr>
          <w:rFonts w:ascii="Times New Roman" w:hAnsi="Times New Roman" w:cs="Times New Roman"/>
          <w:sz w:val="24"/>
          <w:szCs w:val="24"/>
        </w:rPr>
      </w:pPr>
      <w:bookmarkStart w:id="0" w:name="_Toc152550390"/>
      <w:r w:rsidRPr="00A61AAD">
        <w:rPr>
          <w:rFonts w:ascii="Times New Roman" w:hAnsi="Times New Roman" w:cs="Times New Roman"/>
          <w:sz w:val="24"/>
          <w:szCs w:val="24"/>
        </w:rPr>
        <w:t>The members of the EMC reviewed and considered the complete record, which included the Hearing Officer</w:t>
      </w:r>
      <w:r w:rsidR="006179DD">
        <w:rPr>
          <w:rFonts w:ascii="Times New Roman" w:hAnsi="Times New Roman" w:cs="Times New Roman"/>
          <w:sz w:val="24"/>
          <w:szCs w:val="24"/>
        </w:rPr>
        <w:t>’</w:t>
      </w:r>
      <w:r w:rsidRPr="00A61AAD">
        <w:rPr>
          <w:rFonts w:ascii="Times New Roman" w:hAnsi="Times New Roman" w:cs="Times New Roman"/>
          <w:sz w:val="24"/>
          <w:szCs w:val="24"/>
        </w:rPr>
        <w:t xml:space="preserve">s Report, the applicants’ </w:t>
      </w:r>
      <w:r w:rsidR="00FB03D4">
        <w:rPr>
          <w:rFonts w:ascii="Times New Roman" w:hAnsi="Times New Roman" w:cs="Times New Roman"/>
          <w:sz w:val="24"/>
          <w:szCs w:val="24"/>
        </w:rPr>
        <w:t>notice of intent to modify</w:t>
      </w:r>
      <w:r w:rsidRPr="00A61AAD">
        <w:rPr>
          <w:rFonts w:ascii="Times New Roman" w:hAnsi="Times New Roman" w:cs="Times New Roman"/>
          <w:sz w:val="24"/>
          <w:szCs w:val="24"/>
        </w:rPr>
        <w:t xml:space="preserve"> the </w:t>
      </w:r>
      <w:proofErr w:type="spellStart"/>
      <w:r w:rsidRPr="00A61AAD">
        <w:rPr>
          <w:rFonts w:ascii="Times New Roman" w:hAnsi="Times New Roman" w:cs="Times New Roman"/>
          <w:sz w:val="24"/>
          <w:szCs w:val="24"/>
        </w:rPr>
        <w:t>interbasin</w:t>
      </w:r>
      <w:proofErr w:type="spellEnd"/>
      <w:r w:rsidRPr="00A61AAD">
        <w:rPr>
          <w:rFonts w:ascii="Times New Roman" w:hAnsi="Times New Roman" w:cs="Times New Roman"/>
          <w:sz w:val="24"/>
          <w:szCs w:val="24"/>
        </w:rPr>
        <w:t xml:space="preserve"> transfer</w:t>
      </w:r>
      <w:r w:rsidR="00FB03D4">
        <w:rPr>
          <w:rFonts w:ascii="Times New Roman" w:hAnsi="Times New Roman" w:cs="Times New Roman"/>
          <w:sz w:val="24"/>
          <w:szCs w:val="24"/>
        </w:rPr>
        <w:t xml:space="preserve"> certificate</w:t>
      </w:r>
      <w:r w:rsidRPr="00A61AAD">
        <w:rPr>
          <w:rFonts w:ascii="Times New Roman" w:hAnsi="Times New Roman" w:cs="Times New Roman"/>
          <w:sz w:val="24"/>
          <w:szCs w:val="24"/>
        </w:rPr>
        <w:t xml:space="preserve">, and the </w:t>
      </w:r>
      <w:r w:rsidR="00FB03D4">
        <w:rPr>
          <w:rFonts w:ascii="Times New Roman" w:hAnsi="Times New Roman" w:cs="Times New Roman"/>
          <w:sz w:val="24"/>
          <w:szCs w:val="24"/>
        </w:rPr>
        <w:t>Environmental Assessment (EA)</w:t>
      </w:r>
      <w:r w:rsidRPr="00A61AAD">
        <w:rPr>
          <w:rFonts w:ascii="Times New Roman" w:hAnsi="Times New Roman" w:cs="Times New Roman"/>
          <w:sz w:val="24"/>
          <w:szCs w:val="24"/>
        </w:rPr>
        <w:t xml:space="preserve">, including public comments on the </w:t>
      </w:r>
      <w:r w:rsidR="00FB03D4">
        <w:rPr>
          <w:rFonts w:ascii="Times New Roman" w:hAnsi="Times New Roman" w:cs="Times New Roman"/>
          <w:sz w:val="24"/>
          <w:szCs w:val="24"/>
        </w:rPr>
        <w:t>EA</w:t>
      </w:r>
      <w:r w:rsidRPr="00A61AAD">
        <w:rPr>
          <w:rFonts w:ascii="Times New Roman" w:hAnsi="Times New Roman" w:cs="Times New Roman"/>
          <w:sz w:val="24"/>
          <w:szCs w:val="24"/>
        </w:rPr>
        <w:t>.  Based on the record, the Commission makes the following findings of fact.</w:t>
      </w:r>
    </w:p>
    <w:p w14:paraId="3A1C3C6F" w14:textId="77777777" w:rsidR="004A2605" w:rsidRDefault="004A2605" w:rsidP="0037678C">
      <w:pPr>
        <w:spacing w:after="0" w:line="240" w:lineRule="auto"/>
        <w:contextualSpacing/>
        <w:jc w:val="center"/>
        <w:rPr>
          <w:rFonts w:ascii="Times New Roman" w:hAnsi="Times New Roman" w:cs="Times New Roman"/>
          <w:b/>
          <w:bCs/>
          <w:i/>
          <w:iCs/>
          <w:sz w:val="28"/>
          <w:szCs w:val="28"/>
        </w:rPr>
      </w:pPr>
      <w:bookmarkStart w:id="1" w:name="_Toc153359306"/>
    </w:p>
    <w:p w14:paraId="68473AE6" w14:textId="77777777" w:rsidR="00A61AAD" w:rsidRPr="004A2605" w:rsidRDefault="00A61AAD" w:rsidP="0037678C">
      <w:pPr>
        <w:spacing w:after="0" w:line="240" w:lineRule="auto"/>
        <w:contextualSpacing/>
        <w:jc w:val="center"/>
        <w:rPr>
          <w:rFonts w:ascii="Times New Roman" w:hAnsi="Times New Roman" w:cs="Times New Roman"/>
          <w:b/>
          <w:bCs/>
          <w:i/>
          <w:iCs/>
          <w:sz w:val="32"/>
          <w:szCs w:val="32"/>
        </w:rPr>
      </w:pPr>
      <w:r w:rsidRPr="004A2605">
        <w:rPr>
          <w:rFonts w:ascii="Times New Roman" w:hAnsi="Times New Roman" w:cs="Times New Roman"/>
          <w:b/>
          <w:bCs/>
          <w:i/>
          <w:iCs/>
          <w:sz w:val="32"/>
          <w:szCs w:val="32"/>
        </w:rPr>
        <w:t>Findings of Fact</w:t>
      </w:r>
      <w:bookmarkEnd w:id="0"/>
      <w:bookmarkEnd w:id="1"/>
    </w:p>
    <w:p w14:paraId="0FAB7BD3" w14:textId="77777777" w:rsidR="004A2605" w:rsidRPr="00A61AAD" w:rsidRDefault="004A2605" w:rsidP="0037678C">
      <w:pPr>
        <w:spacing w:after="0" w:line="240" w:lineRule="auto"/>
        <w:contextualSpacing/>
        <w:rPr>
          <w:rFonts w:ascii="Times New Roman" w:hAnsi="Times New Roman" w:cs="Times New Roman"/>
          <w:sz w:val="24"/>
          <w:szCs w:val="24"/>
        </w:rPr>
      </w:pPr>
    </w:p>
    <w:p w14:paraId="40BA0134" w14:textId="77777777" w:rsidR="00A61AAD" w:rsidRPr="00A61AAD" w:rsidRDefault="00A61AAD" w:rsidP="0037678C">
      <w:pPr>
        <w:spacing w:after="0" w:line="240" w:lineRule="auto"/>
        <w:contextualSpacing/>
        <w:rPr>
          <w:rFonts w:ascii="Times New Roman" w:hAnsi="Times New Roman" w:cs="Times New Roman"/>
          <w:b/>
          <w:bCs/>
          <w:sz w:val="24"/>
          <w:szCs w:val="24"/>
        </w:rPr>
      </w:pPr>
      <w:bookmarkStart w:id="2" w:name="_Toc152550391"/>
      <w:bookmarkStart w:id="3" w:name="_Toc153359307"/>
      <w:r w:rsidRPr="00A61AAD">
        <w:rPr>
          <w:rFonts w:ascii="Times New Roman" w:hAnsi="Times New Roman" w:cs="Times New Roman"/>
          <w:b/>
          <w:bCs/>
          <w:sz w:val="24"/>
          <w:szCs w:val="24"/>
        </w:rPr>
        <w:t>(1) Necessity, Reasonableness, and Beneficial Effects of the Transfer</w:t>
      </w:r>
      <w:bookmarkEnd w:id="2"/>
      <w:bookmarkEnd w:id="3"/>
    </w:p>
    <w:p w14:paraId="3ACD0088" w14:textId="77777777" w:rsidR="0033660E" w:rsidRDefault="0033660E" w:rsidP="00AF20BF">
      <w:pPr>
        <w:spacing w:after="0" w:line="240" w:lineRule="auto"/>
        <w:contextualSpacing/>
        <w:rPr>
          <w:rFonts w:ascii="Times New Roman" w:hAnsi="Times New Roman" w:cs="Times New Roman"/>
          <w:sz w:val="24"/>
          <w:szCs w:val="24"/>
        </w:rPr>
      </w:pPr>
      <w:r w:rsidRPr="0033660E">
        <w:rPr>
          <w:rFonts w:ascii="Times New Roman" w:hAnsi="Times New Roman" w:cs="Times New Roman"/>
          <w:sz w:val="24"/>
          <w:szCs w:val="24"/>
        </w:rPr>
        <w:t>The applicants’ current water supply is provided by the B. Everett Jordan Lake (Jordan Lake) in the Haw River basin of the Cape Fear River basin</w:t>
      </w:r>
      <w:r w:rsidR="003D70A6">
        <w:rPr>
          <w:rFonts w:ascii="Times New Roman" w:hAnsi="Times New Roman" w:cs="Times New Roman"/>
          <w:sz w:val="24"/>
          <w:szCs w:val="24"/>
        </w:rPr>
        <w:t>.</w:t>
      </w:r>
      <w:r w:rsidRPr="0033660E">
        <w:rPr>
          <w:rFonts w:ascii="Times New Roman" w:hAnsi="Times New Roman" w:cs="Times New Roman"/>
          <w:sz w:val="24"/>
          <w:szCs w:val="24"/>
        </w:rPr>
        <w:t xml:space="preserve"> </w:t>
      </w:r>
      <w:r w:rsidR="003D70A6">
        <w:rPr>
          <w:rFonts w:ascii="Times New Roman" w:hAnsi="Times New Roman" w:cs="Times New Roman"/>
          <w:sz w:val="24"/>
          <w:szCs w:val="24"/>
        </w:rPr>
        <w:t xml:space="preserve"> </w:t>
      </w:r>
      <w:r w:rsidRPr="0033660E">
        <w:rPr>
          <w:rFonts w:ascii="Times New Roman" w:hAnsi="Times New Roman" w:cs="Times New Roman"/>
          <w:sz w:val="24"/>
          <w:szCs w:val="24"/>
        </w:rPr>
        <w:t xml:space="preserve">The Towns of Apex and Cary jointly have a </w:t>
      </w:r>
      <w:r w:rsidR="0039788B">
        <w:rPr>
          <w:rFonts w:ascii="Times New Roman" w:hAnsi="Times New Roman" w:cs="Times New Roman"/>
          <w:sz w:val="24"/>
          <w:szCs w:val="24"/>
        </w:rPr>
        <w:t xml:space="preserve">Jordan Lake </w:t>
      </w:r>
      <w:r w:rsidRPr="0033660E">
        <w:rPr>
          <w:rFonts w:ascii="Times New Roman" w:hAnsi="Times New Roman" w:cs="Times New Roman"/>
          <w:sz w:val="24"/>
          <w:szCs w:val="24"/>
        </w:rPr>
        <w:t>water supply allocation</w:t>
      </w:r>
      <w:r w:rsidR="002C4753">
        <w:rPr>
          <w:rFonts w:ascii="Times New Roman" w:hAnsi="Times New Roman" w:cs="Times New Roman"/>
          <w:sz w:val="24"/>
          <w:szCs w:val="24"/>
        </w:rPr>
        <w:t xml:space="preserve"> </w:t>
      </w:r>
      <w:r w:rsidRPr="0033660E">
        <w:rPr>
          <w:rFonts w:ascii="Times New Roman" w:hAnsi="Times New Roman" w:cs="Times New Roman"/>
          <w:sz w:val="24"/>
          <w:szCs w:val="24"/>
        </w:rPr>
        <w:t xml:space="preserve">issued by the Environmental Management Commission (EMC). </w:t>
      </w:r>
      <w:r w:rsidR="003D70A6">
        <w:rPr>
          <w:rFonts w:ascii="Times New Roman" w:hAnsi="Times New Roman" w:cs="Times New Roman"/>
          <w:sz w:val="24"/>
          <w:szCs w:val="24"/>
        </w:rPr>
        <w:t>T</w:t>
      </w:r>
      <w:r w:rsidRPr="0033660E">
        <w:rPr>
          <w:rFonts w:ascii="Times New Roman" w:hAnsi="Times New Roman" w:cs="Times New Roman"/>
          <w:sz w:val="24"/>
          <w:szCs w:val="24"/>
        </w:rPr>
        <w:t xml:space="preserve">he Town of Cary administers the individual </w:t>
      </w:r>
      <w:r w:rsidR="0039788B">
        <w:rPr>
          <w:rFonts w:ascii="Times New Roman" w:hAnsi="Times New Roman" w:cs="Times New Roman"/>
          <w:sz w:val="24"/>
          <w:szCs w:val="24"/>
        </w:rPr>
        <w:t xml:space="preserve">Jordan Lake </w:t>
      </w:r>
      <w:r w:rsidRPr="0033660E">
        <w:rPr>
          <w:rFonts w:ascii="Times New Roman" w:hAnsi="Times New Roman" w:cs="Times New Roman"/>
          <w:sz w:val="24"/>
          <w:szCs w:val="24"/>
        </w:rPr>
        <w:t>water supply allocations of the Town of Morrisville and Wake County</w:t>
      </w:r>
      <w:r w:rsidRPr="00B82290">
        <w:rPr>
          <w:rFonts w:ascii="Times New Roman" w:hAnsi="Times New Roman" w:cs="Times New Roman"/>
          <w:sz w:val="24"/>
          <w:szCs w:val="24"/>
        </w:rPr>
        <w:t xml:space="preserve">. </w:t>
      </w:r>
      <w:r w:rsidR="00580528" w:rsidRPr="00B82290">
        <w:rPr>
          <w:rFonts w:ascii="Times New Roman" w:hAnsi="Times New Roman" w:cs="Times New Roman"/>
          <w:sz w:val="24"/>
          <w:szCs w:val="24"/>
        </w:rPr>
        <w:t xml:space="preserve"> Additionally, the Town of Cary owns and operates the Town of Morrisville’s water and sewer </w:t>
      </w:r>
      <w:proofErr w:type="gramStart"/>
      <w:r w:rsidR="00580528" w:rsidRPr="00B82290">
        <w:rPr>
          <w:rFonts w:ascii="Times New Roman" w:hAnsi="Times New Roman" w:cs="Times New Roman"/>
          <w:sz w:val="24"/>
          <w:szCs w:val="24"/>
        </w:rPr>
        <w:t>system, and</w:t>
      </w:r>
      <w:proofErr w:type="gramEnd"/>
      <w:r w:rsidR="00580528" w:rsidRPr="00B82290">
        <w:rPr>
          <w:rFonts w:ascii="Times New Roman" w:hAnsi="Times New Roman" w:cs="Times New Roman"/>
          <w:sz w:val="24"/>
          <w:szCs w:val="24"/>
        </w:rPr>
        <w:t xml:space="preserve"> operates and maintains </w:t>
      </w:r>
      <w:r w:rsidR="00EE7D78" w:rsidRPr="00B82290">
        <w:rPr>
          <w:rFonts w:ascii="Times New Roman" w:hAnsi="Times New Roman" w:cs="Times New Roman"/>
          <w:sz w:val="24"/>
          <w:szCs w:val="24"/>
        </w:rPr>
        <w:t>the water utility infrastructure for Wake County (for RTP South), by agreement.</w:t>
      </w:r>
      <w:r w:rsidR="00EE7D78">
        <w:rPr>
          <w:rFonts w:ascii="Times New Roman" w:hAnsi="Times New Roman" w:cs="Times New Roman"/>
          <w:sz w:val="24"/>
          <w:szCs w:val="24"/>
        </w:rPr>
        <w:t xml:space="preserve">  </w:t>
      </w:r>
      <w:r w:rsidR="0039788B" w:rsidRPr="0033660E">
        <w:rPr>
          <w:rFonts w:ascii="Times New Roman" w:hAnsi="Times New Roman" w:cs="Times New Roman"/>
          <w:sz w:val="24"/>
          <w:szCs w:val="24"/>
        </w:rPr>
        <w:t>Figure 1</w:t>
      </w:r>
      <w:r w:rsidR="0039788B">
        <w:rPr>
          <w:rFonts w:ascii="Times New Roman" w:hAnsi="Times New Roman" w:cs="Times New Roman"/>
          <w:sz w:val="24"/>
          <w:szCs w:val="24"/>
        </w:rPr>
        <w:t xml:space="preserve"> </w:t>
      </w:r>
      <w:r w:rsidR="00F2122B">
        <w:rPr>
          <w:rFonts w:ascii="Times New Roman" w:hAnsi="Times New Roman" w:cs="Times New Roman"/>
          <w:sz w:val="24"/>
          <w:szCs w:val="24"/>
        </w:rPr>
        <w:t xml:space="preserve">is a site map with facility locations and Figure 2 </w:t>
      </w:r>
      <w:r w:rsidR="0039788B">
        <w:rPr>
          <w:rFonts w:ascii="Times New Roman" w:hAnsi="Times New Roman" w:cs="Times New Roman"/>
          <w:sz w:val="24"/>
          <w:szCs w:val="24"/>
        </w:rPr>
        <w:t xml:space="preserve">summarizes the applicants’ </w:t>
      </w:r>
      <w:r w:rsidR="00FF3CDA">
        <w:rPr>
          <w:rFonts w:ascii="Times New Roman" w:hAnsi="Times New Roman" w:cs="Times New Roman"/>
          <w:sz w:val="24"/>
          <w:szCs w:val="24"/>
        </w:rPr>
        <w:t xml:space="preserve">requested </w:t>
      </w:r>
      <w:r w:rsidR="0039788B">
        <w:rPr>
          <w:rFonts w:ascii="Times New Roman" w:hAnsi="Times New Roman" w:cs="Times New Roman"/>
          <w:sz w:val="24"/>
          <w:szCs w:val="24"/>
        </w:rPr>
        <w:t>2045 projected movement of water</w:t>
      </w:r>
      <w:r w:rsidR="0039788B" w:rsidRPr="0033660E">
        <w:rPr>
          <w:rFonts w:ascii="Times New Roman" w:hAnsi="Times New Roman" w:cs="Times New Roman"/>
          <w:sz w:val="24"/>
          <w:szCs w:val="24"/>
        </w:rPr>
        <w:t>.</w:t>
      </w:r>
    </w:p>
    <w:p w14:paraId="659A36AC" w14:textId="77777777" w:rsidR="0037234C" w:rsidRDefault="0037234C" w:rsidP="00AF20BF">
      <w:pPr>
        <w:spacing w:after="0" w:line="240" w:lineRule="auto"/>
        <w:contextualSpacing/>
        <w:rPr>
          <w:rFonts w:ascii="Times New Roman" w:hAnsi="Times New Roman" w:cs="Times New Roman"/>
          <w:sz w:val="24"/>
          <w:szCs w:val="24"/>
        </w:rPr>
      </w:pPr>
    </w:p>
    <w:p w14:paraId="68305972" w14:textId="77777777" w:rsidR="00AF20BF" w:rsidRPr="00AF20BF" w:rsidRDefault="002C3ADF" w:rsidP="00AF20BF">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proposed water transfer will provide water to the rapidly growing communities of Cary, Apex, and Morrisville, as well as the Research Triangle Park</w:t>
      </w:r>
      <w:r w:rsidR="00486E6A">
        <w:rPr>
          <w:rFonts w:ascii="Times New Roman" w:hAnsi="Times New Roman" w:cs="Times New Roman"/>
          <w:sz w:val="24"/>
          <w:szCs w:val="24"/>
        </w:rPr>
        <w:t xml:space="preserve"> (RTP)</w:t>
      </w:r>
      <w:r>
        <w:rPr>
          <w:rFonts w:ascii="Times New Roman" w:hAnsi="Times New Roman" w:cs="Times New Roman"/>
          <w:sz w:val="24"/>
          <w:szCs w:val="24"/>
        </w:rPr>
        <w:t xml:space="preserve"> within Wake County.  </w:t>
      </w:r>
      <w:r w:rsidR="00AF20BF" w:rsidRPr="00AF20BF">
        <w:rPr>
          <w:rFonts w:ascii="Times New Roman" w:hAnsi="Times New Roman" w:cs="Times New Roman"/>
          <w:sz w:val="24"/>
          <w:szCs w:val="24"/>
        </w:rPr>
        <w:t xml:space="preserve">The current population served in 2015 is about 215,800 and has an estimated current average day water demand (ADD) of 24.1 </w:t>
      </w:r>
      <w:r w:rsidR="009F1A7C">
        <w:rPr>
          <w:rFonts w:ascii="Times New Roman" w:hAnsi="Times New Roman" w:cs="Times New Roman"/>
          <w:sz w:val="24"/>
          <w:szCs w:val="24"/>
        </w:rPr>
        <w:t>MGD</w:t>
      </w:r>
      <w:r w:rsidR="00AF20BF" w:rsidRPr="00AF20BF">
        <w:rPr>
          <w:rFonts w:ascii="Times New Roman" w:hAnsi="Times New Roman" w:cs="Times New Roman"/>
          <w:sz w:val="24"/>
          <w:szCs w:val="24"/>
        </w:rPr>
        <w:t xml:space="preserve">.  The 2045 projected service area population is 354,800, with an ADD of 45.1 </w:t>
      </w:r>
      <w:r w:rsidR="009F1A7C">
        <w:rPr>
          <w:rFonts w:ascii="Times New Roman" w:hAnsi="Times New Roman" w:cs="Times New Roman"/>
          <w:sz w:val="24"/>
          <w:szCs w:val="24"/>
        </w:rPr>
        <w:t>MGD</w:t>
      </w:r>
      <w:r w:rsidR="00AF20BF" w:rsidRPr="00AF20BF">
        <w:rPr>
          <w:rFonts w:ascii="Times New Roman" w:hAnsi="Times New Roman" w:cs="Times New Roman"/>
          <w:sz w:val="24"/>
          <w:szCs w:val="24"/>
        </w:rPr>
        <w:t>.</w:t>
      </w:r>
      <w:r>
        <w:rPr>
          <w:rFonts w:ascii="Times New Roman" w:hAnsi="Times New Roman" w:cs="Times New Roman"/>
          <w:sz w:val="24"/>
          <w:szCs w:val="24"/>
        </w:rPr>
        <w:t xml:space="preserve">  </w:t>
      </w:r>
    </w:p>
    <w:p w14:paraId="21E45903" w14:textId="77777777" w:rsidR="00AF20BF" w:rsidRPr="00AF20BF" w:rsidRDefault="00AF20BF" w:rsidP="00AF20BF">
      <w:pPr>
        <w:spacing w:line="240" w:lineRule="auto"/>
        <w:contextualSpacing/>
        <w:rPr>
          <w:rFonts w:ascii="Times New Roman" w:hAnsi="Times New Roman" w:cs="Times New Roman"/>
          <w:sz w:val="24"/>
          <w:szCs w:val="24"/>
        </w:rPr>
      </w:pPr>
    </w:p>
    <w:p w14:paraId="50377F76" w14:textId="77777777" w:rsidR="00AF20BF" w:rsidRPr="00AF20BF" w:rsidRDefault="00AF20BF" w:rsidP="00AF20BF">
      <w:pPr>
        <w:spacing w:line="240" w:lineRule="auto"/>
        <w:contextualSpacing/>
        <w:rPr>
          <w:rFonts w:ascii="Times New Roman" w:hAnsi="Times New Roman" w:cs="Times New Roman"/>
          <w:sz w:val="24"/>
          <w:szCs w:val="24"/>
        </w:rPr>
      </w:pPr>
      <w:proofErr w:type="gramStart"/>
      <w:r w:rsidRPr="00AF20BF">
        <w:rPr>
          <w:rFonts w:ascii="Times New Roman" w:hAnsi="Times New Roman" w:cs="Times New Roman"/>
          <w:sz w:val="24"/>
          <w:szCs w:val="24"/>
        </w:rPr>
        <w:t>The Towns of Apex, Cary, Morrisville, and Wake County (for RTP South),</w:t>
      </w:r>
      <w:proofErr w:type="gramEnd"/>
      <w:r w:rsidRPr="00AF20BF">
        <w:rPr>
          <w:rFonts w:ascii="Times New Roman" w:hAnsi="Times New Roman" w:cs="Times New Roman"/>
          <w:sz w:val="24"/>
          <w:szCs w:val="24"/>
        </w:rPr>
        <w:t xml:space="preserve"> are subject to an IBT certificate issued by the EMC in 2001.  This certificate is required by North Carolina law, because wastewater discharges and consumptive </w:t>
      </w:r>
      <w:proofErr w:type="gramStart"/>
      <w:r w:rsidRPr="00AF20BF">
        <w:rPr>
          <w:rFonts w:ascii="Times New Roman" w:hAnsi="Times New Roman" w:cs="Times New Roman"/>
          <w:sz w:val="24"/>
          <w:szCs w:val="24"/>
        </w:rPr>
        <w:t>uses</w:t>
      </w:r>
      <w:proofErr w:type="gramEnd"/>
      <w:r w:rsidR="00183FD7" w:rsidRPr="00183FD7">
        <w:rPr>
          <w:rFonts w:ascii="Times New Roman" w:hAnsi="Times New Roman" w:cs="Times New Roman"/>
          <w:sz w:val="24"/>
          <w:szCs w:val="24"/>
        </w:rPr>
        <w:t xml:space="preserve"> of surface water</w:t>
      </w:r>
      <w:r w:rsidRPr="00AF20BF">
        <w:rPr>
          <w:rFonts w:ascii="Times New Roman" w:hAnsi="Times New Roman" w:cs="Times New Roman"/>
          <w:sz w:val="24"/>
          <w:szCs w:val="24"/>
        </w:rPr>
        <w:t xml:space="preserve"> occur in receiving basins that differ from the Towns’ water supply source basin, the Haw River basin. The 2001 IBT Certificate limits transfers from the Towns’ water supply source basin, the Haw River basin (Jordan Lake), to the Neuse River basin to 24 </w:t>
      </w:r>
      <w:r w:rsidR="009F1A7C">
        <w:rPr>
          <w:rFonts w:ascii="Times New Roman" w:hAnsi="Times New Roman" w:cs="Times New Roman"/>
          <w:sz w:val="24"/>
          <w:szCs w:val="24"/>
        </w:rPr>
        <w:t>MGD</w:t>
      </w:r>
      <w:r w:rsidRPr="00AF20BF">
        <w:rPr>
          <w:rFonts w:ascii="Times New Roman" w:hAnsi="Times New Roman" w:cs="Times New Roman"/>
          <w:sz w:val="24"/>
          <w:szCs w:val="24"/>
        </w:rPr>
        <w:t xml:space="preserve"> on a maximum day basis.  </w:t>
      </w:r>
    </w:p>
    <w:p w14:paraId="7C21B49F" w14:textId="77777777" w:rsidR="00AF20BF" w:rsidRPr="00AF20BF" w:rsidRDefault="00AF20BF" w:rsidP="00AF20BF">
      <w:pPr>
        <w:spacing w:line="240" w:lineRule="auto"/>
        <w:contextualSpacing/>
        <w:rPr>
          <w:rFonts w:ascii="Times New Roman" w:hAnsi="Times New Roman" w:cs="Times New Roman"/>
          <w:sz w:val="24"/>
          <w:szCs w:val="24"/>
        </w:rPr>
      </w:pPr>
    </w:p>
    <w:p w14:paraId="341B2109" w14:textId="77777777" w:rsidR="00AF20BF" w:rsidRDefault="00AF20BF" w:rsidP="00AF20BF">
      <w:pPr>
        <w:spacing w:line="240" w:lineRule="auto"/>
        <w:contextualSpacing/>
        <w:rPr>
          <w:rFonts w:ascii="Times New Roman" w:hAnsi="Times New Roman" w:cs="Times New Roman"/>
          <w:sz w:val="24"/>
          <w:szCs w:val="24"/>
        </w:rPr>
      </w:pPr>
      <w:r w:rsidRPr="00AF20BF">
        <w:rPr>
          <w:rFonts w:ascii="Times New Roman" w:hAnsi="Times New Roman" w:cs="Times New Roman"/>
          <w:sz w:val="24"/>
          <w:szCs w:val="24"/>
        </w:rPr>
        <w:lastRenderedPageBreak/>
        <w:t xml:space="preserve">When the 2001 IBT Certificate was issued, it was projected to be sufficient for transfers through 2030.  </w:t>
      </w:r>
      <w:r>
        <w:rPr>
          <w:rFonts w:ascii="Times New Roman" w:hAnsi="Times New Roman" w:cs="Times New Roman"/>
          <w:sz w:val="24"/>
          <w:szCs w:val="24"/>
        </w:rPr>
        <w:t xml:space="preserve">However, </w:t>
      </w:r>
      <w:r w:rsidR="00CD6841">
        <w:rPr>
          <w:rFonts w:ascii="Times New Roman" w:hAnsi="Times New Roman" w:cs="Times New Roman"/>
          <w:sz w:val="24"/>
          <w:szCs w:val="24"/>
        </w:rPr>
        <w:t xml:space="preserve">based on </w:t>
      </w:r>
      <w:r>
        <w:rPr>
          <w:rFonts w:ascii="Times New Roman" w:hAnsi="Times New Roman" w:cs="Times New Roman"/>
          <w:sz w:val="24"/>
          <w:szCs w:val="24"/>
        </w:rPr>
        <w:t>more recent population growth projections and forecasts of future raw water supply needs</w:t>
      </w:r>
      <w:r w:rsidR="00CD6841">
        <w:rPr>
          <w:rFonts w:ascii="Times New Roman" w:hAnsi="Times New Roman" w:cs="Times New Roman"/>
          <w:sz w:val="24"/>
          <w:szCs w:val="24"/>
        </w:rPr>
        <w:t>, it is</w:t>
      </w:r>
      <w:r>
        <w:rPr>
          <w:rFonts w:ascii="Times New Roman" w:hAnsi="Times New Roman" w:cs="Times New Roman"/>
          <w:sz w:val="24"/>
          <w:szCs w:val="24"/>
        </w:rPr>
        <w:t xml:space="preserve"> estimate</w:t>
      </w:r>
      <w:r w:rsidR="00CD6841">
        <w:rPr>
          <w:rFonts w:ascii="Times New Roman" w:hAnsi="Times New Roman" w:cs="Times New Roman"/>
          <w:sz w:val="24"/>
          <w:szCs w:val="24"/>
        </w:rPr>
        <w:t>d that</w:t>
      </w:r>
      <w:r>
        <w:rPr>
          <w:rFonts w:ascii="Times New Roman" w:hAnsi="Times New Roman" w:cs="Times New Roman"/>
          <w:sz w:val="24"/>
          <w:szCs w:val="24"/>
        </w:rPr>
        <w:t xml:space="preserve"> the 24 </w:t>
      </w:r>
      <w:r w:rsidR="009F1A7C">
        <w:rPr>
          <w:rFonts w:ascii="Times New Roman" w:hAnsi="Times New Roman" w:cs="Times New Roman"/>
          <w:sz w:val="24"/>
          <w:szCs w:val="24"/>
        </w:rPr>
        <w:t>MGD</w:t>
      </w:r>
      <w:r>
        <w:rPr>
          <w:rFonts w:ascii="Times New Roman" w:hAnsi="Times New Roman" w:cs="Times New Roman"/>
          <w:sz w:val="24"/>
          <w:szCs w:val="24"/>
        </w:rPr>
        <w:t xml:space="preserve"> (adjusted to</w:t>
      </w:r>
      <w:r w:rsidR="00656C7F">
        <w:rPr>
          <w:rFonts w:ascii="Times New Roman" w:hAnsi="Times New Roman" w:cs="Times New Roman"/>
          <w:sz w:val="24"/>
          <w:szCs w:val="24"/>
        </w:rPr>
        <w:t xml:space="preserve"> 22 MGD representing</w:t>
      </w:r>
      <w:r>
        <w:rPr>
          <w:rFonts w:ascii="Times New Roman" w:hAnsi="Times New Roman" w:cs="Times New Roman"/>
          <w:sz w:val="24"/>
          <w:szCs w:val="24"/>
        </w:rPr>
        <w:t xml:space="preserve"> </w:t>
      </w:r>
      <w:r w:rsidR="00041D59">
        <w:rPr>
          <w:rFonts w:ascii="Times New Roman" w:hAnsi="Times New Roman" w:cs="Times New Roman"/>
          <w:sz w:val="24"/>
          <w:szCs w:val="24"/>
        </w:rPr>
        <w:t xml:space="preserve">the </w:t>
      </w:r>
      <w:r>
        <w:rPr>
          <w:rFonts w:ascii="Times New Roman" w:hAnsi="Times New Roman" w:cs="Times New Roman"/>
          <w:sz w:val="24"/>
          <w:szCs w:val="24"/>
        </w:rPr>
        <w:t xml:space="preserve">average day for a maximum month) </w:t>
      </w:r>
      <w:r w:rsidR="00A4557E">
        <w:rPr>
          <w:rFonts w:ascii="Times New Roman" w:hAnsi="Times New Roman" w:cs="Times New Roman"/>
          <w:sz w:val="24"/>
          <w:szCs w:val="24"/>
        </w:rPr>
        <w:t xml:space="preserve">IBT </w:t>
      </w:r>
      <w:r w:rsidR="00183FD7">
        <w:rPr>
          <w:rFonts w:ascii="Times New Roman" w:hAnsi="Times New Roman" w:cs="Times New Roman"/>
          <w:sz w:val="24"/>
          <w:szCs w:val="24"/>
        </w:rPr>
        <w:t xml:space="preserve">may </w:t>
      </w:r>
      <w:r w:rsidR="00A4557E">
        <w:rPr>
          <w:rFonts w:ascii="Times New Roman" w:hAnsi="Times New Roman" w:cs="Times New Roman"/>
          <w:sz w:val="24"/>
          <w:szCs w:val="24"/>
        </w:rPr>
        <w:t xml:space="preserve">be exceeded </w:t>
      </w:r>
      <w:r>
        <w:rPr>
          <w:rFonts w:ascii="Times New Roman" w:hAnsi="Times New Roman" w:cs="Times New Roman"/>
          <w:sz w:val="24"/>
          <w:szCs w:val="24"/>
        </w:rPr>
        <w:t>between 2020 and 2025 (Table 1).</w:t>
      </w:r>
      <w:r w:rsidR="006830B1">
        <w:rPr>
          <w:rFonts w:ascii="Times New Roman" w:hAnsi="Times New Roman" w:cs="Times New Roman"/>
          <w:sz w:val="24"/>
          <w:szCs w:val="24"/>
        </w:rPr>
        <w:t xml:space="preserve">  More information about the future population growth and water demand projections may be found in section 2.2 of the Environmental Assessment (EA).</w:t>
      </w:r>
    </w:p>
    <w:p w14:paraId="0FCF380E" w14:textId="77777777" w:rsidR="00460065" w:rsidRDefault="00460065" w:rsidP="004C63E3">
      <w:pPr>
        <w:spacing w:line="240" w:lineRule="auto"/>
        <w:contextualSpacing/>
        <w:rPr>
          <w:rFonts w:ascii="Times New Roman" w:hAnsi="Times New Roman" w:cs="Times New Roman"/>
          <w:b/>
          <w:sz w:val="24"/>
          <w:szCs w:val="24"/>
        </w:rPr>
      </w:pPr>
    </w:p>
    <w:p w14:paraId="1BA62623" w14:textId="77777777" w:rsidR="004C63E3" w:rsidRDefault="00AF20BF" w:rsidP="004C63E3">
      <w:pPr>
        <w:spacing w:line="240" w:lineRule="auto"/>
        <w:contextualSpacing/>
        <w:rPr>
          <w:rFonts w:ascii="Times New Roman" w:hAnsi="Times New Roman" w:cs="Times New Roman"/>
          <w:b/>
          <w:sz w:val="24"/>
          <w:szCs w:val="24"/>
        </w:rPr>
      </w:pPr>
      <w:r w:rsidRPr="00786C44">
        <w:rPr>
          <w:rFonts w:ascii="Times New Roman" w:hAnsi="Times New Roman" w:cs="Times New Roman"/>
          <w:b/>
          <w:sz w:val="24"/>
          <w:szCs w:val="24"/>
        </w:rPr>
        <w:t xml:space="preserve">Table 1. </w:t>
      </w:r>
      <w:r w:rsidR="004C63E3" w:rsidRPr="00786C44">
        <w:rPr>
          <w:rFonts w:ascii="Times New Roman" w:hAnsi="Times New Roman" w:cs="Times New Roman"/>
          <w:b/>
          <w:sz w:val="24"/>
          <w:szCs w:val="24"/>
        </w:rPr>
        <w:t xml:space="preserve">Forecast of IBT from the Haw River </w:t>
      </w:r>
      <w:r w:rsidR="00907810">
        <w:rPr>
          <w:rFonts w:ascii="Times New Roman" w:hAnsi="Times New Roman" w:cs="Times New Roman"/>
          <w:b/>
          <w:sz w:val="24"/>
          <w:szCs w:val="24"/>
        </w:rPr>
        <w:t>B</w:t>
      </w:r>
      <w:r w:rsidR="004C63E3" w:rsidRPr="00786C44">
        <w:rPr>
          <w:rFonts w:ascii="Times New Roman" w:hAnsi="Times New Roman" w:cs="Times New Roman"/>
          <w:b/>
          <w:sz w:val="24"/>
          <w:szCs w:val="24"/>
        </w:rPr>
        <w:t xml:space="preserve">asin to the </w:t>
      </w:r>
      <w:r w:rsidR="004C63E3" w:rsidRPr="00460065">
        <w:rPr>
          <w:rFonts w:ascii="Times New Roman" w:hAnsi="Times New Roman" w:cs="Times New Roman"/>
          <w:b/>
          <w:sz w:val="24"/>
          <w:szCs w:val="24"/>
        </w:rPr>
        <w:t xml:space="preserve">Neuse River Basin and Cape Fear River </w:t>
      </w:r>
      <w:r w:rsidR="00907810">
        <w:rPr>
          <w:rFonts w:ascii="Times New Roman" w:hAnsi="Times New Roman" w:cs="Times New Roman"/>
          <w:b/>
          <w:sz w:val="24"/>
          <w:szCs w:val="24"/>
        </w:rPr>
        <w:t>B</w:t>
      </w:r>
      <w:r w:rsidR="004C63E3" w:rsidRPr="00460065">
        <w:rPr>
          <w:rFonts w:ascii="Times New Roman" w:hAnsi="Times New Roman" w:cs="Times New Roman"/>
          <w:b/>
          <w:sz w:val="24"/>
          <w:szCs w:val="24"/>
        </w:rPr>
        <w:t>asin</w:t>
      </w:r>
      <w:r w:rsidR="004C63E3" w:rsidRPr="00786C44">
        <w:rPr>
          <w:rFonts w:ascii="Times New Roman" w:hAnsi="Times New Roman" w:cs="Times New Roman"/>
          <w:b/>
          <w:sz w:val="24"/>
          <w:szCs w:val="24"/>
        </w:rPr>
        <w:t>, 2012–2045, Maximum Month Average Day</w:t>
      </w:r>
    </w:p>
    <w:p w14:paraId="5011D745" w14:textId="77777777" w:rsidR="004C63E3" w:rsidRPr="004C63E3" w:rsidRDefault="004C63E3" w:rsidP="004C63E3">
      <w:pPr>
        <w:widowControl w:val="0"/>
        <w:spacing w:after="0" w:line="223" w:lineRule="exact"/>
        <w:ind w:left="140" w:right="-20"/>
        <w:rPr>
          <w:rFonts w:ascii="Arial Narrow" w:eastAsia="Arial Narrow" w:hAnsi="Arial Narrow" w:cs="Arial Narrow"/>
          <w:sz w:val="20"/>
          <w:szCs w:val="20"/>
        </w:rPr>
      </w:pPr>
    </w:p>
    <w:p w14:paraId="577C41A4" w14:textId="77777777" w:rsidR="004C63E3" w:rsidRPr="004C63E3" w:rsidRDefault="004C63E3" w:rsidP="004C63E3">
      <w:pPr>
        <w:widowControl w:val="0"/>
        <w:spacing w:before="3" w:after="0" w:line="40" w:lineRule="exact"/>
        <w:rPr>
          <w:rFonts w:ascii="Calibri" w:eastAsia="Calibri" w:hAnsi="Calibri" w:cs="Times New Roman"/>
          <w:sz w:val="4"/>
          <w:szCs w:val="4"/>
        </w:rPr>
      </w:pPr>
    </w:p>
    <w:tbl>
      <w:tblPr>
        <w:tblW w:w="8335" w:type="dxa"/>
        <w:tblInd w:w="125" w:type="dxa"/>
        <w:tblLayout w:type="fixed"/>
        <w:tblCellMar>
          <w:left w:w="0" w:type="dxa"/>
          <w:right w:w="0" w:type="dxa"/>
        </w:tblCellMar>
        <w:tblLook w:val="01E0" w:firstRow="1" w:lastRow="1" w:firstColumn="1" w:lastColumn="1" w:noHBand="0" w:noVBand="0"/>
      </w:tblPr>
      <w:tblGrid>
        <w:gridCol w:w="1135"/>
        <w:gridCol w:w="905"/>
        <w:gridCol w:w="942"/>
        <w:gridCol w:w="943"/>
        <w:gridCol w:w="810"/>
        <w:gridCol w:w="720"/>
        <w:gridCol w:w="720"/>
        <w:gridCol w:w="630"/>
        <w:gridCol w:w="720"/>
        <w:gridCol w:w="810"/>
      </w:tblGrid>
      <w:tr w:rsidR="001C4F71" w:rsidRPr="004C63E3" w14:paraId="69226C56" w14:textId="77777777" w:rsidTr="001C4F71">
        <w:trPr>
          <w:trHeight w:hRule="exact" w:val="314"/>
        </w:trPr>
        <w:tc>
          <w:tcPr>
            <w:tcW w:w="1135" w:type="dxa"/>
            <w:tcBorders>
              <w:top w:val="single" w:sz="12" w:space="0" w:color="000000"/>
              <w:left w:val="nil"/>
              <w:bottom w:val="nil"/>
              <w:right w:val="nil"/>
            </w:tcBorders>
          </w:tcPr>
          <w:p w14:paraId="54EF06AB" w14:textId="77777777" w:rsidR="004C63E3" w:rsidRPr="004C63E3" w:rsidRDefault="004C63E3" w:rsidP="004C63E3">
            <w:pPr>
              <w:widowControl w:val="0"/>
              <w:rPr>
                <w:rFonts w:ascii="Calibri" w:eastAsia="Calibri" w:hAnsi="Calibri" w:cs="Times New Roman"/>
              </w:rPr>
            </w:pPr>
          </w:p>
        </w:tc>
        <w:tc>
          <w:tcPr>
            <w:tcW w:w="905" w:type="dxa"/>
            <w:tcBorders>
              <w:top w:val="single" w:sz="12" w:space="0" w:color="000000"/>
              <w:left w:val="nil"/>
              <w:bottom w:val="single" w:sz="12" w:space="0" w:color="000000"/>
              <w:right w:val="nil"/>
            </w:tcBorders>
            <w:shd w:val="clear" w:color="auto" w:fill="D9D9D9"/>
          </w:tcPr>
          <w:p w14:paraId="70DFC302" w14:textId="77777777" w:rsidR="004C63E3" w:rsidRPr="004C63E3" w:rsidRDefault="004C63E3" w:rsidP="004C63E3">
            <w:pPr>
              <w:widowControl w:val="0"/>
              <w:spacing w:before="81" w:after="0" w:line="204" w:lineRule="exact"/>
              <w:ind w:left="242" w:right="-20"/>
              <w:rPr>
                <w:rFonts w:ascii="Calibri" w:eastAsia="Calibri" w:hAnsi="Calibri" w:cs="Calibri"/>
                <w:sz w:val="12"/>
                <w:szCs w:val="12"/>
              </w:rPr>
            </w:pPr>
            <w:r w:rsidRPr="004C63E3">
              <w:rPr>
                <w:rFonts w:ascii="Calibri" w:eastAsia="Calibri" w:hAnsi="Calibri" w:cs="Calibri"/>
                <w:b/>
                <w:bCs/>
                <w:position w:val="-1"/>
                <w:sz w:val="18"/>
                <w:szCs w:val="18"/>
              </w:rPr>
              <w:t>2012</w:t>
            </w:r>
            <w:r w:rsidRPr="004C63E3">
              <w:rPr>
                <w:rFonts w:ascii="Calibri" w:eastAsia="Calibri" w:hAnsi="Calibri" w:cs="Calibri"/>
                <w:b/>
                <w:bCs/>
                <w:position w:val="4"/>
                <w:sz w:val="12"/>
                <w:szCs w:val="12"/>
              </w:rPr>
              <w:t>a</w:t>
            </w:r>
          </w:p>
        </w:tc>
        <w:tc>
          <w:tcPr>
            <w:tcW w:w="942" w:type="dxa"/>
            <w:tcBorders>
              <w:top w:val="single" w:sz="12" w:space="0" w:color="000000"/>
              <w:left w:val="nil"/>
              <w:bottom w:val="single" w:sz="12" w:space="0" w:color="000000"/>
              <w:right w:val="nil"/>
            </w:tcBorders>
            <w:shd w:val="clear" w:color="auto" w:fill="D9D9D9"/>
          </w:tcPr>
          <w:p w14:paraId="53490B5A" w14:textId="77777777" w:rsidR="004C63E3" w:rsidRPr="004C63E3" w:rsidRDefault="004C63E3" w:rsidP="004C63E3">
            <w:pPr>
              <w:widowControl w:val="0"/>
              <w:spacing w:before="81" w:after="0" w:line="204" w:lineRule="exact"/>
              <w:ind w:left="238" w:right="-20"/>
              <w:rPr>
                <w:rFonts w:ascii="Calibri" w:eastAsia="Calibri" w:hAnsi="Calibri" w:cs="Calibri"/>
                <w:sz w:val="12"/>
                <w:szCs w:val="12"/>
              </w:rPr>
            </w:pPr>
            <w:r w:rsidRPr="004C63E3">
              <w:rPr>
                <w:rFonts w:ascii="Calibri" w:eastAsia="Calibri" w:hAnsi="Calibri" w:cs="Calibri"/>
                <w:b/>
                <w:bCs/>
                <w:w w:val="99"/>
                <w:position w:val="-1"/>
                <w:sz w:val="18"/>
                <w:szCs w:val="18"/>
              </w:rPr>
              <w:t>2013</w:t>
            </w:r>
            <w:r w:rsidRPr="004C63E3">
              <w:rPr>
                <w:rFonts w:ascii="Calibri" w:eastAsia="Calibri" w:hAnsi="Calibri" w:cs="Calibri"/>
                <w:b/>
                <w:bCs/>
                <w:spacing w:val="-14"/>
                <w:w w:val="99"/>
                <w:position w:val="-1"/>
                <w:sz w:val="18"/>
                <w:szCs w:val="18"/>
              </w:rPr>
              <w:t xml:space="preserve"> </w:t>
            </w:r>
            <w:r w:rsidRPr="004C63E3">
              <w:rPr>
                <w:rFonts w:ascii="Calibri" w:eastAsia="Calibri" w:hAnsi="Calibri" w:cs="Calibri"/>
                <w:b/>
                <w:bCs/>
                <w:position w:val="4"/>
                <w:sz w:val="12"/>
                <w:szCs w:val="12"/>
              </w:rPr>
              <w:t>a</w:t>
            </w:r>
          </w:p>
        </w:tc>
        <w:tc>
          <w:tcPr>
            <w:tcW w:w="943" w:type="dxa"/>
            <w:tcBorders>
              <w:top w:val="single" w:sz="12" w:space="0" w:color="000000"/>
              <w:left w:val="nil"/>
              <w:bottom w:val="single" w:sz="12" w:space="0" w:color="000000"/>
              <w:right w:val="nil"/>
            </w:tcBorders>
            <w:shd w:val="clear" w:color="auto" w:fill="D9D9D9"/>
          </w:tcPr>
          <w:p w14:paraId="34455DA1" w14:textId="77777777" w:rsidR="004C63E3" w:rsidRPr="004C63E3" w:rsidRDefault="004C63E3" w:rsidP="004C63E3">
            <w:pPr>
              <w:widowControl w:val="0"/>
              <w:spacing w:before="81" w:after="0" w:line="204" w:lineRule="exact"/>
              <w:ind w:left="254" w:right="-20"/>
              <w:rPr>
                <w:rFonts w:ascii="Calibri" w:eastAsia="Calibri" w:hAnsi="Calibri" w:cs="Calibri"/>
                <w:sz w:val="18"/>
                <w:szCs w:val="18"/>
              </w:rPr>
            </w:pPr>
            <w:r w:rsidRPr="004C63E3">
              <w:rPr>
                <w:rFonts w:ascii="Calibri" w:eastAsia="Calibri" w:hAnsi="Calibri" w:cs="Calibri"/>
                <w:b/>
                <w:bCs/>
                <w:position w:val="-1"/>
                <w:sz w:val="18"/>
                <w:szCs w:val="18"/>
              </w:rPr>
              <w:t>2015</w:t>
            </w:r>
          </w:p>
        </w:tc>
        <w:tc>
          <w:tcPr>
            <w:tcW w:w="810" w:type="dxa"/>
            <w:tcBorders>
              <w:top w:val="single" w:sz="12" w:space="0" w:color="000000"/>
              <w:left w:val="nil"/>
              <w:bottom w:val="single" w:sz="12" w:space="0" w:color="000000"/>
              <w:right w:val="nil"/>
            </w:tcBorders>
            <w:shd w:val="clear" w:color="auto" w:fill="D9D9D9"/>
          </w:tcPr>
          <w:p w14:paraId="6425AC79" w14:textId="77777777" w:rsidR="004C63E3" w:rsidRPr="004C63E3" w:rsidRDefault="004C63E3" w:rsidP="004C63E3">
            <w:pPr>
              <w:widowControl w:val="0"/>
              <w:spacing w:before="81" w:after="0" w:line="204" w:lineRule="exact"/>
              <w:ind w:left="275" w:right="-20"/>
              <w:rPr>
                <w:rFonts w:ascii="Calibri" w:eastAsia="Calibri" w:hAnsi="Calibri" w:cs="Calibri"/>
                <w:sz w:val="18"/>
                <w:szCs w:val="18"/>
              </w:rPr>
            </w:pPr>
            <w:r w:rsidRPr="004C63E3">
              <w:rPr>
                <w:rFonts w:ascii="Calibri" w:eastAsia="Calibri" w:hAnsi="Calibri" w:cs="Calibri"/>
                <w:b/>
                <w:bCs/>
                <w:position w:val="-1"/>
                <w:sz w:val="18"/>
                <w:szCs w:val="18"/>
              </w:rPr>
              <w:t>2020</w:t>
            </w:r>
          </w:p>
        </w:tc>
        <w:tc>
          <w:tcPr>
            <w:tcW w:w="720" w:type="dxa"/>
            <w:tcBorders>
              <w:top w:val="single" w:sz="12" w:space="0" w:color="000000"/>
              <w:left w:val="nil"/>
              <w:bottom w:val="single" w:sz="12" w:space="0" w:color="000000"/>
              <w:right w:val="nil"/>
            </w:tcBorders>
            <w:shd w:val="clear" w:color="auto" w:fill="D9D9D9"/>
          </w:tcPr>
          <w:p w14:paraId="145686A3" w14:textId="77777777" w:rsidR="004C63E3" w:rsidRPr="004C63E3" w:rsidRDefault="004C63E3" w:rsidP="004C63E3">
            <w:pPr>
              <w:widowControl w:val="0"/>
              <w:spacing w:before="81" w:after="0" w:line="204" w:lineRule="exact"/>
              <w:ind w:left="275" w:right="-20"/>
              <w:rPr>
                <w:rFonts w:ascii="Calibri" w:eastAsia="Calibri" w:hAnsi="Calibri" w:cs="Calibri"/>
                <w:sz w:val="18"/>
                <w:szCs w:val="18"/>
              </w:rPr>
            </w:pPr>
            <w:r w:rsidRPr="004C63E3">
              <w:rPr>
                <w:rFonts w:ascii="Calibri" w:eastAsia="Calibri" w:hAnsi="Calibri" w:cs="Calibri"/>
                <w:b/>
                <w:bCs/>
                <w:position w:val="-1"/>
                <w:sz w:val="18"/>
                <w:szCs w:val="18"/>
              </w:rPr>
              <w:t>2025</w:t>
            </w:r>
          </w:p>
        </w:tc>
        <w:tc>
          <w:tcPr>
            <w:tcW w:w="720" w:type="dxa"/>
            <w:tcBorders>
              <w:top w:val="single" w:sz="12" w:space="0" w:color="000000"/>
              <w:left w:val="nil"/>
              <w:bottom w:val="single" w:sz="12" w:space="0" w:color="000000"/>
              <w:right w:val="nil"/>
            </w:tcBorders>
            <w:shd w:val="clear" w:color="auto" w:fill="D9D9D9"/>
          </w:tcPr>
          <w:p w14:paraId="5677C52C" w14:textId="77777777" w:rsidR="004C63E3" w:rsidRPr="004C63E3" w:rsidRDefault="004C63E3" w:rsidP="004C63E3">
            <w:pPr>
              <w:widowControl w:val="0"/>
              <w:spacing w:before="81" w:after="0" w:line="204" w:lineRule="exact"/>
              <w:ind w:left="275" w:right="-20"/>
              <w:rPr>
                <w:rFonts w:ascii="Calibri" w:eastAsia="Calibri" w:hAnsi="Calibri" w:cs="Calibri"/>
                <w:sz w:val="18"/>
                <w:szCs w:val="18"/>
              </w:rPr>
            </w:pPr>
            <w:r w:rsidRPr="004C63E3">
              <w:rPr>
                <w:rFonts w:ascii="Calibri" w:eastAsia="Calibri" w:hAnsi="Calibri" w:cs="Calibri"/>
                <w:b/>
                <w:bCs/>
                <w:position w:val="-1"/>
                <w:sz w:val="18"/>
                <w:szCs w:val="18"/>
              </w:rPr>
              <w:t>2030</w:t>
            </w:r>
          </w:p>
        </w:tc>
        <w:tc>
          <w:tcPr>
            <w:tcW w:w="630" w:type="dxa"/>
            <w:tcBorders>
              <w:top w:val="single" w:sz="12" w:space="0" w:color="000000"/>
              <w:left w:val="nil"/>
              <w:bottom w:val="single" w:sz="12" w:space="0" w:color="000000"/>
              <w:right w:val="nil"/>
            </w:tcBorders>
            <w:shd w:val="clear" w:color="auto" w:fill="D9D9D9"/>
          </w:tcPr>
          <w:p w14:paraId="4BD41E66" w14:textId="77777777" w:rsidR="004C63E3" w:rsidRPr="004C63E3" w:rsidRDefault="004C63E3" w:rsidP="004C63E3">
            <w:pPr>
              <w:widowControl w:val="0"/>
              <w:spacing w:before="81" w:after="0" w:line="204" w:lineRule="exact"/>
              <w:ind w:left="275" w:right="-20"/>
              <w:rPr>
                <w:rFonts w:ascii="Calibri" w:eastAsia="Calibri" w:hAnsi="Calibri" w:cs="Calibri"/>
                <w:sz w:val="18"/>
                <w:szCs w:val="18"/>
              </w:rPr>
            </w:pPr>
            <w:r w:rsidRPr="004C63E3">
              <w:rPr>
                <w:rFonts w:ascii="Calibri" w:eastAsia="Calibri" w:hAnsi="Calibri" w:cs="Calibri"/>
                <w:b/>
                <w:bCs/>
                <w:position w:val="-1"/>
                <w:sz w:val="18"/>
                <w:szCs w:val="18"/>
              </w:rPr>
              <w:t>2035</w:t>
            </w:r>
          </w:p>
        </w:tc>
        <w:tc>
          <w:tcPr>
            <w:tcW w:w="720" w:type="dxa"/>
            <w:tcBorders>
              <w:top w:val="single" w:sz="12" w:space="0" w:color="000000"/>
              <w:left w:val="nil"/>
              <w:bottom w:val="single" w:sz="12" w:space="0" w:color="000000"/>
              <w:right w:val="nil"/>
            </w:tcBorders>
            <w:shd w:val="clear" w:color="auto" w:fill="D9D9D9"/>
          </w:tcPr>
          <w:p w14:paraId="239EFABC" w14:textId="77777777" w:rsidR="004C63E3" w:rsidRPr="004C63E3" w:rsidRDefault="004C63E3" w:rsidP="004C63E3">
            <w:pPr>
              <w:widowControl w:val="0"/>
              <w:spacing w:before="81" w:after="0" w:line="204" w:lineRule="exact"/>
              <w:ind w:left="274" w:right="-20"/>
              <w:rPr>
                <w:rFonts w:ascii="Calibri" w:eastAsia="Calibri" w:hAnsi="Calibri" w:cs="Calibri"/>
                <w:sz w:val="18"/>
                <w:szCs w:val="18"/>
              </w:rPr>
            </w:pPr>
            <w:r w:rsidRPr="004C63E3">
              <w:rPr>
                <w:rFonts w:ascii="Calibri" w:eastAsia="Calibri" w:hAnsi="Calibri" w:cs="Calibri"/>
                <w:b/>
                <w:bCs/>
                <w:position w:val="-1"/>
                <w:sz w:val="18"/>
                <w:szCs w:val="18"/>
              </w:rPr>
              <w:t>2040</w:t>
            </w:r>
          </w:p>
        </w:tc>
        <w:tc>
          <w:tcPr>
            <w:tcW w:w="810" w:type="dxa"/>
            <w:tcBorders>
              <w:top w:val="single" w:sz="12" w:space="0" w:color="000000"/>
              <w:left w:val="nil"/>
              <w:bottom w:val="single" w:sz="12" w:space="0" w:color="000000"/>
              <w:right w:val="nil"/>
            </w:tcBorders>
            <w:shd w:val="clear" w:color="auto" w:fill="D9D9D9"/>
          </w:tcPr>
          <w:p w14:paraId="2505C34F" w14:textId="77777777" w:rsidR="004C63E3" w:rsidRPr="004C63E3" w:rsidRDefault="004C63E3" w:rsidP="001C4F71">
            <w:pPr>
              <w:widowControl w:val="0"/>
              <w:spacing w:before="81" w:after="0" w:line="204" w:lineRule="exact"/>
              <w:ind w:left="277" w:right="-20"/>
              <w:rPr>
                <w:rFonts w:ascii="Calibri" w:eastAsia="Calibri" w:hAnsi="Calibri" w:cs="Calibri"/>
                <w:sz w:val="18"/>
                <w:szCs w:val="18"/>
              </w:rPr>
            </w:pPr>
            <w:r w:rsidRPr="004C63E3">
              <w:rPr>
                <w:rFonts w:ascii="Calibri" w:eastAsia="Calibri" w:hAnsi="Calibri" w:cs="Calibri"/>
                <w:b/>
                <w:bCs/>
                <w:position w:val="-1"/>
                <w:sz w:val="18"/>
                <w:szCs w:val="18"/>
              </w:rPr>
              <w:t>204</w:t>
            </w:r>
            <w:r w:rsidR="001C4F71">
              <w:rPr>
                <w:rFonts w:ascii="Calibri" w:eastAsia="Calibri" w:hAnsi="Calibri" w:cs="Calibri"/>
                <w:b/>
                <w:bCs/>
                <w:position w:val="-1"/>
                <w:sz w:val="18"/>
                <w:szCs w:val="18"/>
              </w:rPr>
              <w:t>5</w:t>
            </w:r>
          </w:p>
        </w:tc>
      </w:tr>
      <w:tr w:rsidR="001C4F71" w:rsidRPr="004C63E3" w14:paraId="19D4EE58" w14:textId="77777777" w:rsidTr="001C4F71">
        <w:trPr>
          <w:trHeight w:hRule="exact" w:val="511"/>
        </w:trPr>
        <w:tc>
          <w:tcPr>
            <w:tcW w:w="1135" w:type="dxa"/>
            <w:tcBorders>
              <w:top w:val="nil"/>
              <w:left w:val="nil"/>
              <w:bottom w:val="single" w:sz="12" w:space="0" w:color="000000"/>
              <w:right w:val="nil"/>
            </w:tcBorders>
          </w:tcPr>
          <w:p w14:paraId="68A319BF" w14:textId="77777777" w:rsidR="004C63E3" w:rsidRPr="004C63E3" w:rsidRDefault="004C63E3" w:rsidP="004C63E3">
            <w:pPr>
              <w:widowControl w:val="0"/>
              <w:spacing w:before="1" w:after="0" w:line="110" w:lineRule="exact"/>
              <w:rPr>
                <w:rFonts w:ascii="Calibri" w:eastAsia="Calibri" w:hAnsi="Calibri" w:cs="Times New Roman"/>
                <w:sz w:val="11"/>
                <w:szCs w:val="11"/>
              </w:rPr>
            </w:pPr>
          </w:p>
          <w:p w14:paraId="541FB3EA" w14:textId="77777777" w:rsidR="004C63E3" w:rsidRPr="004C63E3" w:rsidRDefault="004C63E3" w:rsidP="00460065">
            <w:pPr>
              <w:widowControl w:val="0"/>
              <w:spacing w:after="0" w:line="240" w:lineRule="auto"/>
              <w:ind w:left="145" w:right="-20"/>
              <w:rPr>
                <w:rFonts w:ascii="Calibri" w:eastAsia="Calibri" w:hAnsi="Calibri" w:cs="Calibri"/>
                <w:sz w:val="18"/>
                <w:szCs w:val="18"/>
              </w:rPr>
            </w:pPr>
            <w:r w:rsidRPr="004C63E3">
              <w:rPr>
                <w:rFonts w:ascii="Calibri" w:eastAsia="Calibri" w:hAnsi="Calibri" w:cs="Calibri"/>
                <w:b/>
                <w:bCs/>
                <w:sz w:val="18"/>
                <w:szCs w:val="18"/>
              </w:rPr>
              <w:t>IBT</w:t>
            </w:r>
            <w:r w:rsidRPr="004C63E3">
              <w:rPr>
                <w:rFonts w:ascii="Calibri" w:eastAsia="Calibri" w:hAnsi="Calibri" w:cs="Calibri"/>
                <w:b/>
                <w:bCs/>
                <w:spacing w:val="-2"/>
                <w:sz w:val="18"/>
                <w:szCs w:val="18"/>
              </w:rPr>
              <w:t xml:space="preserve"> </w:t>
            </w:r>
            <w:r w:rsidRPr="004C63E3">
              <w:rPr>
                <w:rFonts w:ascii="Calibri" w:eastAsia="Calibri" w:hAnsi="Calibri" w:cs="Calibri"/>
                <w:b/>
                <w:bCs/>
                <w:spacing w:val="-1"/>
                <w:sz w:val="18"/>
                <w:szCs w:val="18"/>
              </w:rPr>
              <w:t>(</w:t>
            </w:r>
            <w:r w:rsidR="009F1A7C">
              <w:rPr>
                <w:rFonts w:ascii="Calibri" w:eastAsia="Calibri" w:hAnsi="Calibri" w:cs="Calibri"/>
                <w:b/>
                <w:bCs/>
                <w:sz w:val="18"/>
                <w:szCs w:val="18"/>
              </w:rPr>
              <w:t>MGD</w:t>
            </w:r>
            <w:r w:rsidRPr="004C63E3">
              <w:rPr>
                <w:rFonts w:ascii="Calibri" w:eastAsia="Calibri" w:hAnsi="Calibri" w:cs="Calibri"/>
                <w:b/>
                <w:bCs/>
                <w:sz w:val="18"/>
                <w:szCs w:val="18"/>
              </w:rPr>
              <w:t>)</w:t>
            </w:r>
          </w:p>
        </w:tc>
        <w:tc>
          <w:tcPr>
            <w:tcW w:w="905" w:type="dxa"/>
            <w:tcBorders>
              <w:top w:val="single" w:sz="12" w:space="0" w:color="000000"/>
              <w:left w:val="nil"/>
              <w:bottom w:val="single" w:sz="12" w:space="0" w:color="000000"/>
              <w:right w:val="nil"/>
            </w:tcBorders>
          </w:tcPr>
          <w:p w14:paraId="5F45F7B1" w14:textId="77777777" w:rsidR="004C63E3" w:rsidRPr="004C63E3" w:rsidRDefault="004C63E3" w:rsidP="004C63E3">
            <w:pPr>
              <w:widowControl w:val="0"/>
              <w:spacing w:before="2" w:after="0" w:line="130" w:lineRule="exact"/>
              <w:rPr>
                <w:rFonts w:ascii="Calibri" w:eastAsia="Calibri" w:hAnsi="Calibri" w:cs="Times New Roman"/>
                <w:sz w:val="13"/>
                <w:szCs w:val="13"/>
              </w:rPr>
            </w:pPr>
          </w:p>
          <w:p w14:paraId="1A3C196B" w14:textId="77777777" w:rsidR="004C63E3" w:rsidRPr="004C63E3" w:rsidRDefault="004C63E3" w:rsidP="004C63E3">
            <w:pPr>
              <w:widowControl w:val="0"/>
              <w:spacing w:after="0" w:line="240" w:lineRule="auto"/>
              <w:ind w:left="295" w:right="-20"/>
              <w:rPr>
                <w:rFonts w:ascii="Calibri" w:eastAsia="Calibri" w:hAnsi="Calibri" w:cs="Calibri"/>
                <w:sz w:val="18"/>
                <w:szCs w:val="18"/>
              </w:rPr>
            </w:pPr>
            <w:r w:rsidRPr="004C63E3">
              <w:rPr>
                <w:rFonts w:ascii="Calibri" w:eastAsia="Calibri" w:hAnsi="Calibri" w:cs="Calibri"/>
                <w:sz w:val="18"/>
                <w:szCs w:val="18"/>
              </w:rPr>
              <w:t>17.1</w:t>
            </w:r>
          </w:p>
        </w:tc>
        <w:tc>
          <w:tcPr>
            <w:tcW w:w="942" w:type="dxa"/>
            <w:tcBorders>
              <w:top w:val="single" w:sz="12" w:space="0" w:color="000000"/>
              <w:left w:val="nil"/>
              <w:bottom w:val="single" w:sz="12" w:space="0" w:color="000000"/>
              <w:right w:val="nil"/>
            </w:tcBorders>
          </w:tcPr>
          <w:p w14:paraId="0EA7E8BA" w14:textId="77777777" w:rsidR="004C63E3" w:rsidRPr="004C63E3" w:rsidRDefault="004C63E3" w:rsidP="004C63E3">
            <w:pPr>
              <w:widowControl w:val="0"/>
              <w:spacing w:before="2" w:after="0" w:line="130" w:lineRule="exact"/>
              <w:rPr>
                <w:rFonts w:ascii="Calibri" w:eastAsia="Calibri" w:hAnsi="Calibri" w:cs="Times New Roman"/>
                <w:sz w:val="13"/>
                <w:szCs w:val="13"/>
              </w:rPr>
            </w:pPr>
          </w:p>
          <w:p w14:paraId="5A97ECA7" w14:textId="77777777" w:rsidR="004C63E3" w:rsidRPr="004C63E3" w:rsidRDefault="004C63E3" w:rsidP="004C63E3">
            <w:pPr>
              <w:widowControl w:val="0"/>
              <w:spacing w:after="0" w:line="240" w:lineRule="auto"/>
              <w:ind w:left="305" w:right="-20"/>
              <w:rPr>
                <w:rFonts w:ascii="Calibri" w:eastAsia="Calibri" w:hAnsi="Calibri" w:cs="Calibri"/>
                <w:sz w:val="18"/>
                <w:szCs w:val="18"/>
              </w:rPr>
            </w:pPr>
            <w:r w:rsidRPr="004C63E3">
              <w:rPr>
                <w:rFonts w:ascii="Calibri" w:eastAsia="Calibri" w:hAnsi="Calibri" w:cs="Calibri"/>
                <w:sz w:val="18"/>
                <w:szCs w:val="18"/>
              </w:rPr>
              <w:t>16.1</w:t>
            </w:r>
          </w:p>
        </w:tc>
        <w:tc>
          <w:tcPr>
            <w:tcW w:w="943" w:type="dxa"/>
            <w:tcBorders>
              <w:top w:val="single" w:sz="12" w:space="0" w:color="000000"/>
              <w:left w:val="nil"/>
              <w:bottom w:val="single" w:sz="12" w:space="0" w:color="000000"/>
              <w:right w:val="nil"/>
            </w:tcBorders>
          </w:tcPr>
          <w:p w14:paraId="115EAEA5" w14:textId="77777777" w:rsidR="004C63E3" w:rsidRPr="004C63E3" w:rsidRDefault="004C63E3" w:rsidP="004C63E3">
            <w:pPr>
              <w:widowControl w:val="0"/>
              <w:spacing w:before="2" w:after="0" w:line="130" w:lineRule="exact"/>
              <w:rPr>
                <w:rFonts w:ascii="Calibri" w:eastAsia="Calibri" w:hAnsi="Calibri" w:cs="Times New Roman"/>
                <w:sz w:val="13"/>
                <w:szCs w:val="13"/>
              </w:rPr>
            </w:pPr>
          </w:p>
          <w:p w14:paraId="785E9999" w14:textId="77777777" w:rsidR="004C63E3" w:rsidRPr="004C63E3" w:rsidRDefault="004C63E3" w:rsidP="004C63E3">
            <w:pPr>
              <w:widowControl w:val="0"/>
              <w:spacing w:after="0" w:line="240" w:lineRule="auto"/>
              <w:ind w:left="278" w:right="-20"/>
              <w:rPr>
                <w:rFonts w:ascii="Calibri" w:eastAsia="Calibri" w:hAnsi="Calibri" w:cs="Calibri"/>
                <w:sz w:val="18"/>
                <w:szCs w:val="18"/>
              </w:rPr>
            </w:pPr>
            <w:r w:rsidRPr="004C63E3">
              <w:rPr>
                <w:rFonts w:ascii="Calibri" w:eastAsia="Calibri" w:hAnsi="Calibri" w:cs="Calibri"/>
                <w:sz w:val="18"/>
                <w:szCs w:val="18"/>
              </w:rPr>
              <w:t>19.8</w:t>
            </w:r>
          </w:p>
        </w:tc>
        <w:tc>
          <w:tcPr>
            <w:tcW w:w="810" w:type="dxa"/>
            <w:tcBorders>
              <w:top w:val="single" w:sz="12" w:space="0" w:color="000000"/>
              <w:left w:val="nil"/>
              <w:bottom w:val="single" w:sz="12" w:space="0" w:color="000000"/>
              <w:right w:val="nil"/>
            </w:tcBorders>
          </w:tcPr>
          <w:p w14:paraId="6037827C" w14:textId="77777777" w:rsidR="004C63E3" w:rsidRPr="004C63E3" w:rsidRDefault="004C63E3" w:rsidP="004C63E3">
            <w:pPr>
              <w:widowControl w:val="0"/>
              <w:spacing w:before="2" w:after="0" w:line="130" w:lineRule="exact"/>
              <w:rPr>
                <w:rFonts w:ascii="Calibri" w:eastAsia="Calibri" w:hAnsi="Calibri" w:cs="Times New Roman"/>
                <w:sz w:val="13"/>
                <w:szCs w:val="13"/>
              </w:rPr>
            </w:pPr>
          </w:p>
          <w:p w14:paraId="4C95AB48" w14:textId="77777777" w:rsidR="004C63E3" w:rsidRPr="004C63E3" w:rsidRDefault="004C63E3" w:rsidP="004C63E3">
            <w:pPr>
              <w:widowControl w:val="0"/>
              <w:spacing w:after="0" w:line="240" w:lineRule="auto"/>
              <w:ind w:left="299" w:right="-20"/>
              <w:rPr>
                <w:rFonts w:ascii="Calibri" w:eastAsia="Calibri" w:hAnsi="Calibri" w:cs="Calibri"/>
                <w:sz w:val="18"/>
                <w:szCs w:val="18"/>
              </w:rPr>
            </w:pPr>
            <w:r w:rsidRPr="004C63E3">
              <w:rPr>
                <w:rFonts w:ascii="Calibri" w:eastAsia="Calibri" w:hAnsi="Calibri" w:cs="Calibri"/>
                <w:sz w:val="18"/>
                <w:szCs w:val="18"/>
              </w:rPr>
              <w:t>22.8</w:t>
            </w:r>
          </w:p>
        </w:tc>
        <w:tc>
          <w:tcPr>
            <w:tcW w:w="720" w:type="dxa"/>
            <w:tcBorders>
              <w:top w:val="single" w:sz="12" w:space="0" w:color="000000"/>
              <w:left w:val="nil"/>
              <w:bottom w:val="single" w:sz="12" w:space="0" w:color="000000"/>
              <w:right w:val="nil"/>
            </w:tcBorders>
          </w:tcPr>
          <w:p w14:paraId="24D8DA00" w14:textId="77777777" w:rsidR="004C63E3" w:rsidRPr="004C63E3" w:rsidRDefault="004C63E3" w:rsidP="004C63E3">
            <w:pPr>
              <w:widowControl w:val="0"/>
              <w:spacing w:before="2" w:after="0" w:line="130" w:lineRule="exact"/>
              <w:rPr>
                <w:rFonts w:ascii="Calibri" w:eastAsia="Calibri" w:hAnsi="Calibri" w:cs="Times New Roman"/>
                <w:sz w:val="13"/>
                <w:szCs w:val="13"/>
              </w:rPr>
            </w:pPr>
          </w:p>
          <w:p w14:paraId="2E2FFA9B" w14:textId="77777777" w:rsidR="004C63E3" w:rsidRPr="004C63E3" w:rsidRDefault="004C63E3" w:rsidP="004C63E3">
            <w:pPr>
              <w:widowControl w:val="0"/>
              <w:spacing w:after="0" w:line="240" w:lineRule="auto"/>
              <w:ind w:left="299" w:right="-20"/>
              <w:rPr>
                <w:rFonts w:ascii="Calibri" w:eastAsia="Calibri" w:hAnsi="Calibri" w:cs="Calibri"/>
                <w:sz w:val="18"/>
                <w:szCs w:val="18"/>
              </w:rPr>
            </w:pPr>
            <w:r w:rsidRPr="004C63E3">
              <w:rPr>
                <w:rFonts w:ascii="Calibri" w:eastAsia="Calibri" w:hAnsi="Calibri" w:cs="Calibri"/>
                <w:sz w:val="18"/>
                <w:szCs w:val="18"/>
              </w:rPr>
              <w:t>26.1</w:t>
            </w:r>
          </w:p>
        </w:tc>
        <w:tc>
          <w:tcPr>
            <w:tcW w:w="720" w:type="dxa"/>
            <w:tcBorders>
              <w:top w:val="single" w:sz="12" w:space="0" w:color="000000"/>
              <w:left w:val="nil"/>
              <w:bottom w:val="single" w:sz="12" w:space="0" w:color="000000"/>
              <w:right w:val="nil"/>
            </w:tcBorders>
          </w:tcPr>
          <w:p w14:paraId="01ADE687" w14:textId="77777777" w:rsidR="004C63E3" w:rsidRPr="004C63E3" w:rsidRDefault="004C63E3" w:rsidP="004C63E3">
            <w:pPr>
              <w:widowControl w:val="0"/>
              <w:spacing w:before="2" w:after="0" w:line="130" w:lineRule="exact"/>
              <w:rPr>
                <w:rFonts w:ascii="Calibri" w:eastAsia="Calibri" w:hAnsi="Calibri" w:cs="Times New Roman"/>
                <w:sz w:val="13"/>
                <w:szCs w:val="13"/>
              </w:rPr>
            </w:pPr>
          </w:p>
          <w:p w14:paraId="077170D5" w14:textId="77777777" w:rsidR="004C63E3" w:rsidRPr="004C63E3" w:rsidRDefault="004C63E3" w:rsidP="004C63E3">
            <w:pPr>
              <w:widowControl w:val="0"/>
              <w:spacing w:after="0" w:line="240" w:lineRule="auto"/>
              <w:ind w:left="299" w:right="-20"/>
              <w:rPr>
                <w:rFonts w:ascii="Calibri" w:eastAsia="Calibri" w:hAnsi="Calibri" w:cs="Calibri"/>
                <w:sz w:val="18"/>
                <w:szCs w:val="18"/>
              </w:rPr>
            </w:pPr>
            <w:r w:rsidRPr="004C63E3">
              <w:rPr>
                <w:rFonts w:ascii="Calibri" w:eastAsia="Calibri" w:hAnsi="Calibri" w:cs="Calibri"/>
                <w:sz w:val="18"/>
                <w:szCs w:val="18"/>
              </w:rPr>
              <w:t>28.7</w:t>
            </w:r>
          </w:p>
        </w:tc>
        <w:tc>
          <w:tcPr>
            <w:tcW w:w="630" w:type="dxa"/>
            <w:tcBorders>
              <w:top w:val="single" w:sz="12" w:space="0" w:color="000000"/>
              <w:left w:val="nil"/>
              <w:bottom w:val="single" w:sz="12" w:space="0" w:color="000000"/>
              <w:right w:val="nil"/>
            </w:tcBorders>
          </w:tcPr>
          <w:p w14:paraId="2602602B" w14:textId="77777777" w:rsidR="004C63E3" w:rsidRPr="004C63E3" w:rsidRDefault="004C63E3" w:rsidP="004C63E3">
            <w:pPr>
              <w:widowControl w:val="0"/>
              <w:spacing w:before="2" w:after="0" w:line="130" w:lineRule="exact"/>
              <w:rPr>
                <w:rFonts w:ascii="Calibri" w:eastAsia="Calibri" w:hAnsi="Calibri" w:cs="Times New Roman"/>
                <w:sz w:val="13"/>
                <w:szCs w:val="13"/>
              </w:rPr>
            </w:pPr>
          </w:p>
          <w:p w14:paraId="4430125A" w14:textId="77777777" w:rsidR="004C63E3" w:rsidRPr="004C63E3" w:rsidRDefault="004C63E3" w:rsidP="004C63E3">
            <w:pPr>
              <w:widowControl w:val="0"/>
              <w:spacing w:after="0" w:line="240" w:lineRule="auto"/>
              <w:ind w:left="299" w:right="-20"/>
              <w:rPr>
                <w:rFonts w:ascii="Calibri" w:eastAsia="Calibri" w:hAnsi="Calibri" w:cs="Calibri"/>
                <w:sz w:val="18"/>
                <w:szCs w:val="18"/>
              </w:rPr>
            </w:pPr>
            <w:r w:rsidRPr="004C63E3">
              <w:rPr>
                <w:rFonts w:ascii="Calibri" w:eastAsia="Calibri" w:hAnsi="Calibri" w:cs="Calibri"/>
                <w:sz w:val="18"/>
                <w:szCs w:val="18"/>
              </w:rPr>
              <w:t>31.1</w:t>
            </w:r>
          </w:p>
        </w:tc>
        <w:tc>
          <w:tcPr>
            <w:tcW w:w="720" w:type="dxa"/>
            <w:tcBorders>
              <w:top w:val="single" w:sz="12" w:space="0" w:color="000000"/>
              <w:left w:val="nil"/>
              <w:bottom w:val="single" w:sz="12" w:space="0" w:color="000000"/>
              <w:right w:val="nil"/>
            </w:tcBorders>
          </w:tcPr>
          <w:p w14:paraId="033CCEE5" w14:textId="77777777" w:rsidR="004C63E3" w:rsidRPr="004C63E3" w:rsidRDefault="004C63E3" w:rsidP="004C63E3">
            <w:pPr>
              <w:widowControl w:val="0"/>
              <w:spacing w:before="2" w:after="0" w:line="130" w:lineRule="exact"/>
              <w:rPr>
                <w:rFonts w:ascii="Calibri" w:eastAsia="Calibri" w:hAnsi="Calibri" w:cs="Times New Roman"/>
                <w:sz w:val="13"/>
                <w:szCs w:val="13"/>
              </w:rPr>
            </w:pPr>
          </w:p>
          <w:p w14:paraId="4ED9C7DC" w14:textId="77777777" w:rsidR="004C63E3" w:rsidRPr="004C63E3" w:rsidRDefault="004C63E3" w:rsidP="004C63E3">
            <w:pPr>
              <w:widowControl w:val="0"/>
              <w:spacing w:after="0" w:line="240" w:lineRule="auto"/>
              <w:ind w:left="298" w:right="-20"/>
              <w:rPr>
                <w:rFonts w:ascii="Calibri" w:eastAsia="Calibri" w:hAnsi="Calibri" w:cs="Calibri"/>
                <w:sz w:val="18"/>
                <w:szCs w:val="18"/>
              </w:rPr>
            </w:pPr>
            <w:r w:rsidRPr="004C63E3">
              <w:rPr>
                <w:rFonts w:ascii="Calibri" w:eastAsia="Calibri" w:hAnsi="Calibri" w:cs="Calibri"/>
                <w:sz w:val="18"/>
                <w:szCs w:val="18"/>
              </w:rPr>
              <w:t>32.4</w:t>
            </w:r>
          </w:p>
        </w:tc>
        <w:tc>
          <w:tcPr>
            <w:tcW w:w="810" w:type="dxa"/>
            <w:tcBorders>
              <w:top w:val="single" w:sz="12" w:space="0" w:color="000000"/>
              <w:left w:val="nil"/>
              <w:bottom w:val="single" w:sz="12" w:space="0" w:color="000000"/>
              <w:right w:val="nil"/>
            </w:tcBorders>
          </w:tcPr>
          <w:p w14:paraId="13D52442" w14:textId="77777777" w:rsidR="004C63E3" w:rsidRPr="004C63E3" w:rsidRDefault="004C63E3" w:rsidP="004C63E3">
            <w:pPr>
              <w:widowControl w:val="0"/>
              <w:spacing w:before="2" w:after="0" w:line="130" w:lineRule="exact"/>
              <w:rPr>
                <w:rFonts w:ascii="Calibri" w:eastAsia="Calibri" w:hAnsi="Calibri" w:cs="Times New Roman"/>
                <w:sz w:val="13"/>
                <w:szCs w:val="13"/>
              </w:rPr>
            </w:pPr>
          </w:p>
          <w:p w14:paraId="72DCC094" w14:textId="77777777" w:rsidR="004C63E3" w:rsidRPr="004C63E3" w:rsidRDefault="004C63E3" w:rsidP="004C63E3">
            <w:pPr>
              <w:widowControl w:val="0"/>
              <w:spacing w:after="0" w:line="240" w:lineRule="auto"/>
              <w:ind w:left="299" w:right="-20"/>
              <w:rPr>
                <w:rFonts w:ascii="Calibri" w:eastAsia="Calibri" w:hAnsi="Calibri" w:cs="Calibri"/>
                <w:sz w:val="18"/>
                <w:szCs w:val="18"/>
              </w:rPr>
            </w:pPr>
            <w:r w:rsidRPr="004C63E3">
              <w:rPr>
                <w:rFonts w:ascii="Calibri" w:eastAsia="Calibri" w:hAnsi="Calibri" w:cs="Calibri"/>
                <w:sz w:val="18"/>
                <w:szCs w:val="18"/>
              </w:rPr>
              <w:t>33.0</w:t>
            </w:r>
          </w:p>
        </w:tc>
      </w:tr>
    </w:tbl>
    <w:p w14:paraId="18C8741F" w14:textId="77777777" w:rsidR="004C63E3" w:rsidRPr="004C63E3" w:rsidRDefault="004C63E3" w:rsidP="004C63E3">
      <w:pPr>
        <w:widowControl w:val="0"/>
        <w:spacing w:before="49" w:after="0" w:line="240" w:lineRule="auto"/>
        <w:ind w:left="140" w:right="-20"/>
        <w:rPr>
          <w:rFonts w:ascii="Calibri" w:eastAsia="Calibri" w:hAnsi="Calibri" w:cs="Calibri"/>
          <w:sz w:val="18"/>
          <w:szCs w:val="18"/>
        </w:rPr>
      </w:pPr>
      <w:r w:rsidRPr="004C63E3">
        <w:rPr>
          <w:rFonts w:ascii="Calibri" w:eastAsia="Calibri" w:hAnsi="Calibri" w:cs="Calibri"/>
          <w:position w:val="5"/>
          <w:sz w:val="12"/>
          <w:szCs w:val="12"/>
        </w:rPr>
        <w:t xml:space="preserve">a     </w:t>
      </w:r>
      <w:r w:rsidRPr="004C63E3">
        <w:rPr>
          <w:rFonts w:ascii="Calibri" w:eastAsia="Calibri" w:hAnsi="Calibri" w:cs="Calibri"/>
          <w:spacing w:val="1"/>
          <w:position w:val="5"/>
          <w:sz w:val="12"/>
          <w:szCs w:val="12"/>
        </w:rPr>
        <w:t xml:space="preserve"> </w:t>
      </w:r>
      <w:r w:rsidRPr="004C63E3">
        <w:rPr>
          <w:rFonts w:ascii="Calibri" w:eastAsia="Calibri" w:hAnsi="Calibri" w:cs="Calibri"/>
          <w:sz w:val="18"/>
          <w:szCs w:val="18"/>
        </w:rPr>
        <w:t>2012</w:t>
      </w:r>
      <w:r w:rsidRPr="004C63E3">
        <w:rPr>
          <w:rFonts w:ascii="Calibri" w:eastAsia="Calibri" w:hAnsi="Calibri" w:cs="Calibri"/>
          <w:spacing w:val="-4"/>
          <w:sz w:val="18"/>
          <w:szCs w:val="18"/>
        </w:rPr>
        <w:t xml:space="preserve"> </w:t>
      </w:r>
      <w:r w:rsidRPr="004C63E3">
        <w:rPr>
          <w:rFonts w:ascii="Calibri" w:eastAsia="Calibri" w:hAnsi="Calibri" w:cs="Calibri"/>
          <w:sz w:val="18"/>
          <w:szCs w:val="18"/>
        </w:rPr>
        <w:t>a</w:t>
      </w:r>
      <w:r w:rsidRPr="004C63E3">
        <w:rPr>
          <w:rFonts w:ascii="Calibri" w:eastAsia="Calibri" w:hAnsi="Calibri" w:cs="Calibri"/>
          <w:spacing w:val="-1"/>
          <w:sz w:val="18"/>
          <w:szCs w:val="18"/>
        </w:rPr>
        <w:t>n</w:t>
      </w:r>
      <w:r w:rsidRPr="004C63E3">
        <w:rPr>
          <w:rFonts w:ascii="Calibri" w:eastAsia="Calibri" w:hAnsi="Calibri" w:cs="Calibri"/>
          <w:sz w:val="18"/>
          <w:szCs w:val="18"/>
        </w:rPr>
        <w:t>d</w:t>
      </w:r>
      <w:r w:rsidRPr="004C63E3">
        <w:rPr>
          <w:rFonts w:ascii="Calibri" w:eastAsia="Calibri" w:hAnsi="Calibri" w:cs="Calibri"/>
          <w:spacing w:val="-1"/>
          <w:sz w:val="18"/>
          <w:szCs w:val="18"/>
        </w:rPr>
        <w:t xml:space="preserve"> </w:t>
      </w:r>
      <w:r w:rsidRPr="004C63E3">
        <w:rPr>
          <w:rFonts w:ascii="Calibri" w:eastAsia="Calibri" w:hAnsi="Calibri" w:cs="Calibri"/>
          <w:sz w:val="18"/>
          <w:szCs w:val="18"/>
        </w:rPr>
        <w:t>2013</w:t>
      </w:r>
      <w:r w:rsidRPr="004C63E3">
        <w:rPr>
          <w:rFonts w:ascii="Calibri" w:eastAsia="Calibri" w:hAnsi="Calibri" w:cs="Calibri"/>
          <w:spacing w:val="-4"/>
          <w:sz w:val="18"/>
          <w:szCs w:val="18"/>
        </w:rPr>
        <w:t xml:space="preserve"> </w:t>
      </w:r>
      <w:r w:rsidRPr="004C63E3">
        <w:rPr>
          <w:rFonts w:ascii="Calibri" w:eastAsia="Calibri" w:hAnsi="Calibri" w:cs="Calibri"/>
          <w:sz w:val="18"/>
          <w:szCs w:val="18"/>
        </w:rPr>
        <w:t>I</w:t>
      </w:r>
      <w:r w:rsidRPr="004C63E3">
        <w:rPr>
          <w:rFonts w:ascii="Calibri" w:eastAsia="Calibri" w:hAnsi="Calibri" w:cs="Calibri"/>
          <w:spacing w:val="1"/>
          <w:sz w:val="18"/>
          <w:szCs w:val="18"/>
        </w:rPr>
        <w:t>B</w:t>
      </w:r>
      <w:r w:rsidRPr="004C63E3">
        <w:rPr>
          <w:rFonts w:ascii="Calibri" w:eastAsia="Calibri" w:hAnsi="Calibri" w:cs="Calibri"/>
          <w:sz w:val="18"/>
          <w:szCs w:val="18"/>
        </w:rPr>
        <w:t xml:space="preserve">T </w:t>
      </w:r>
      <w:r w:rsidRPr="004C63E3">
        <w:rPr>
          <w:rFonts w:ascii="Calibri" w:eastAsia="Calibri" w:hAnsi="Calibri" w:cs="Calibri"/>
          <w:spacing w:val="-1"/>
          <w:sz w:val="18"/>
          <w:szCs w:val="18"/>
        </w:rPr>
        <w:t>b</w:t>
      </w:r>
      <w:r w:rsidRPr="004C63E3">
        <w:rPr>
          <w:rFonts w:ascii="Calibri" w:eastAsia="Calibri" w:hAnsi="Calibri" w:cs="Calibri"/>
          <w:sz w:val="18"/>
          <w:szCs w:val="18"/>
        </w:rPr>
        <w:t>a</w:t>
      </w:r>
      <w:r w:rsidRPr="004C63E3">
        <w:rPr>
          <w:rFonts w:ascii="Calibri" w:eastAsia="Calibri" w:hAnsi="Calibri" w:cs="Calibri"/>
          <w:spacing w:val="-1"/>
          <w:sz w:val="18"/>
          <w:szCs w:val="18"/>
        </w:rPr>
        <w:t>se</w:t>
      </w:r>
      <w:r w:rsidRPr="004C63E3">
        <w:rPr>
          <w:rFonts w:ascii="Calibri" w:eastAsia="Calibri" w:hAnsi="Calibri" w:cs="Calibri"/>
          <w:sz w:val="18"/>
          <w:szCs w:val="18"/>
        </w:rPr>
        <w:t>d</w:t>
      </w:r>
      <w:r w:rsidRPr="004C63E3">
        <w:rPr>
          <w:rFonts w:ascii="Calibri" w:eastAsia="Calibri" w:hAnsi="Calibri" w:cs="Calibri"/>
          <w:spacing w:val="-2"/>
          <w:sz w:val="18"/>
          <w:szCs w:val="18"/>
        </w:rPr>
        <w:t xml:space="preserve"> </w:t>
      </w:r>
      <w:r w:rsidRPr="004C63E3">
        <w:rPr>
          <w:rFonts w:ascii="Calibri" w:eastAsia="Calibri" w:hAnsi="Calibri" w:cs="Calibri"/>
          <w:spacing w:val="1"/>
          <w:sz w:val="18"/>
          <w:szCs w:val="18"/>
        </w:rPr>
        <w:t>o</w:t>
      </w:r>
      <w:r w:rsidRPr="004C63E3">
        <w:rPr>
          <w:rFonts w:ascii="Calibri" w:eastAsia="Calibri" w:hAnsi="Calibri" w:cs="Calibri"/>
          <w:sz w:val="18"/>
          <w:szCs w:val="18"/>
        </w:rPr>
        <w:t>n</w:t>
      </w:r>
      <w:r w:rsidRPr="004C63E3">
        <w:rPr>
          <w:rFonts w:ascii="Calibri" w:eastAsia="Calibri" w:hAnsi="Calibri" w:cs="Calibri"/>
          <w:spacing w:val="-1"/>
          <w:sz w:val="18"/>
          <w:szCs w:val="18"/>
        </w:rPr>
        <w:t xml:space="preserve"> </w:t>
      </w:r>
      <w:r w:rsidRPr="004C63E3">
        <w:rPr>
          <w:rFonts w:ascii="Calibri" w:eastAsia="Calibri" w:hAnsi="Calibri" w:cs="Calibri"/>
          <w:sz w:val="18"/>
          <w:szCs w:val="18"/>
        </w:rPr>
        <w:t>a</w:t>
      </w:r>
      <w:r w:rsidRPr="004C63E3">
        <w:rPr>
          <w:rFonts w:ascii="Calibri" w:eastAsia="Calibri" w:hAnsi="Calibri" w:cs="Calibri"/>
          <w:spacing w:val="1"/>
          <w:sz w:val="18"/>
          <w:szCs w:val="18"/>
        </w:rPr>
        <w:t>c</w:t>
      </w:r>
      <w:r w:rsidRPr="004C63E3">
        <w:rPr>
          <w:rFonts w:ascii="Calibri" w:eastAsia="Calibri" w:hAnsi="Calibri" w:cs="Calibri"/>
          <w:spacing w:val="2"/>
          <w:sz w:val="18"/>
          <w:szCs w:val="18"/>
        </w:rPr>
        <w:t>t</w:t>
      </w:r>
      <w:r w:rsidRPr="004C63E3">
        <w:rPr>
          <w:rFonts w:ascii="Calibri" w:eastAsia="Calibri" w:hAnsi="Calibri" w:cs="Calibri"/>
          <w:spacing w:val="-1"/>
          <w:sz w:val="18"/>
          <w:szCs w:val="18"/>
        </w:rPr>
        <w:t>u</w:t>
      </w:r>
      <w:r w:rsidRPr="004C63E3">
        <w:rPr>
          <w:rFonts w:ascii="Calibri" w:eastAsia="Calibri" w:hAnsi="Calibri" w:cs="Calibri"/>
          <w:sz w:val="18"/>
          <w:szCs w:val="18"/>
        </w:rPr>
        <w:t>al</w:t>
      </w:r>
      <w:r w:rsidRPr="004C63E3">
        <w:rPr>
          <w:rFonts w:ascii="Calibri" w:eastAsia="Calibri" w:hAnsi="Calibri" w:cs="Calibri"/>
          <w:spacing w:val="-2"/>
          <w:sz w:val="18"/>
          <w:szCs w:val="18"/>
        </w:rPr>
        <w:t xml:space="preserve"> </w:t>
      </w:r>
      <w:r w:rsidRPr="004C63E3">
        <w:rPr>
          <w:rFonts w:ascii="Calibri" w:eastAsia="Calibri" w:hAnsi="Calibri" w:cs="Calibri"/>
          <w:sz w:val="18"/>
          <w:szCs w:val="18"/>
        </w:rPr>
        <w:t>IBT</w:t>
      </w:r>
      <w:r w:rsidRPr="004C63E3">
        <w:rPr>
          <w:rFonts w:ascii="Calibri" w:eastAsia="Calibri" w:hAnsi="Calibri" w:cs="Calibri"/>
          <w:spacing w:val="1"/>
          <w:sz w:val="18"/>
          <w:szCs w:val="18"/>
        </w:rPr>
        <w:t xml:space="preserve"> </w:t>
      </w:r>
      <w:r w:rsidRPr="004C63E3">
        <w:rPr>
          <w:rFonts w:ascii="Calibri" w:eastAsia="Calibri" w:hAnsi="Calibri" w:cs="Calibri"/>
          <w:sz w:val="18"/>
          <w:szCs w:val="18"/>
        </w:rPr>
        <w:t>m</w:t>
      </w:r>
      <w:r w:rsidRPr="004C63E3">
        <w:rPr>
          <w:rFonts w:ascii="Calibri" w:eastAsia="Calibri" w:hAnsi="Calibri" w:cs="Calibri"/>
          <w:spacing w:val="1"/>
          <w:sz w:val="18"/>
          <w:szCs w:val="18"/>
        </w:rPr>
        <w:t>o</w:t>
      </w:r>
      <w:r w:rsidRPr="004C63E3">
        <w:rPr>
          <w:rFonts w:ascii="Calibri" w:eastAsia="Calibri" w:hAnsi="Calibri" w:cs="Calibri"/>
          <w:spacing w:val="-1"/>
          <w:sz w:val="18"/>
          <w:szCs w:val="18"/>
        </w:rPr>
        <w:t>n</w:t>
      </w:r>
      <w:r w:rsidRPr="004C63E3">
        <w:rPr>
          <w:rFonts w:ascii="Calibri" w:eastAsia="Calibri" w:hAnsi="Calibri" w:cs="Calibri"/>
          <w:sz w:val="18"/>
          <w:szCs w:val="18"/>
        </w:rPr>
        <w:t>it</w:t>
      </w:r>
      <w:r w:rsidRPr="004C63E3">
        <w:rPr>
          <w:rFonts w:ascii="Calibri" w:eastAsia="Calibri" w:hAnsi="Calibri" w:cs="Calibri"/>
          <w:spacing w:val="1"/>
          <w:sz w:val="18"/>
          <w:szCs w:val="18"/>
        </w:rPr>
        <w:t>o</w:t>
      </w:r>
      <w:r w:rsidRPr="004C63E3">
        <w:rPr>
          <w:rFonts w:ascii="Calibri" w:eastAsia="Calibri" w:hAnsi="Calibri" w:cs="Calibri"/>
          <w:sz w:val="18"/>
          <w:szCs w:val="18"/>
        </w:rPr>
        <w:t>r</w:t>
      </w:r>
      <w:r w:rsidRPr="004C63E3">
        <w:rPr>
          <w:rFonts w:ascii="Calibri" w:eastAsia="Calibri" w:hAnsi="Calibri" w:cs="Calibri"/>
          <w:spacing w:val="-1"/>
          <w:sz w:val="18"/>
          <w:szCs w:val="18"/>
        </w:rPr>
        <w:t>in</w:t>
      </w:r>
      <w:r w:rsidRPr="004C63E3">
        <w:rPr>
          <w:rFonts w:ascii="Calibri" w:eastAsia="Calibri" w:hAnsi="Calibri" w:cs="Calibri"/>
          <w:sz w:val="18"/>
          <w:szCs w:val="18"/>
        </w:rPr>
        <w:t>g</w:t>
      </w:r>
      <w:r w:rsidRPr="004C63E3">
        <w:rPr>
          <w:rFonts w:ascii="Calibri" w:eastAsia="Calibri" w:hAnsi="Calibri" w:cs="Calibri"/>
          <w:spacing w:val="-2"/>
          <w:sz w:val="18"/>
          <w:szCs w:val="18"/>
        </w:rPr>
        <w:t xml:space="preserve"> </w:t>
      </w:r>
      <w:proofErr w:type="gramStart"/>
      <w:r w:rsidRPr="004C63E3">
        <w:rPr>
          <w:rFonts w:ascii="Calibri" w:eastAsia="Calibri" w:hAnsi="Calibri" w:cs="Calibri"/>
          <w:spacing w:val="-1"/>
          <w:sz w:val="18"/>
          <w:szCs w:val="18"/>
        </w:rPr>
        <w:t>d</w:t>
      </w:r>
      <w:r w:rsidRPr="004C63E3">
        <w:rPr>
          <w:rFonts w:ascii="Calibri" w:eastAsia="Calibri" w:hAnsi="Calibri" w:cs="Calibri"/>
          <w:sz w:val="18"/>
          <w:szCs w:val="18"/>
        </w:rPr>
        <w:t>ata</w:t>
      </w:r>
      <w:proofErr w:type="gramEnd"/>
    </w:p>
    <w:p w14:paraId="5D1B8E0B" w14:textId="77777777" w:rsidR="004C63E3" w:rsidRPr="004C63E3" w:rsidRDefault="004C63E3" w:rsidP="004C63E3">
      <w:pPr>
        <w:widowControl w:val="0"/>
        <w:spacing w:before="17" w:after="0" w:line="220" w:lineRule="exact"/>
        <w:rPr>
          <w:rFonts w:ascii="Calibri" w:eastAsia="Calibri" w:hAnsi="Calibri" w:cs="Times New Roman"/>
        </w:rPr>
      </w:pPr>
    </w:p>
    <w:p w14:paraId="05253276" w14:textId="77777777" w:rsidR="001C4F71" w:rsidRDefault="001C4F71" w:rsidP="00786C44">
      <w:pPr>
        <w:spacing w:after="0" w:line="240" w:lineRule="auto"/>
        <w:rPr>
          <w:rFonts w:ascii="Times New Roman" w:hAnsi="Times New Roman" w:cs="Times New Roman"/>
          <w:sz w:val="24"/>
          <w:szCs w:val="24"/>
        </w:rPr>
      </w:pPr>
    </w:p>
    <w:p w14:paraId="7F0D9302" w14:textId="77777777" w:rsidR="00D87C52" w:rsidRPr="00D87C52" w:rsidRDefault="00D87C52" w:rsidP="00786C44">
      <w:pPr>
        <w:spacing w:after="0" w:line="240" w:lineRule="auto"/>
        <w:rPr>
          <w:rFonts w:ascii="Times New Roman" w:hAnsi="Times New Roman" w:cs="Times New Roman"/>
          <w:sz w:val="24"/>
          <w:szCs w:val="24"/>
        </w:rPr>
      </w:pPr>
      <w:r w:rsidRPr="00D87C52">
        <w:rPr>
          <w:rFonts w:ascii="Times New Roman" w:hAnsi="Times New Roman" w:cs="Times New Roman"/>
          <w:sz w:val="24"/>
          <w:szCs w:val="24"/>
        </w:rPr>
        <w:t>The proposed certificate modification is to increase the</w:t>
      </w:r>
      <w:r w:rsidR="00183FD7" w:rsidRPr="00183FD7">
        <w:rPr>
          <w:rFonts w:ascii="Times New Roman" w:hAnsi="Times New Roman" w:cs="Times New Roman"/>
          <w:sz w:val="24"/>
          <w:szCs w:val="24"/>
        </w:rPr>
        <w:t xml:space="preserve"> allowable</w:t>
      </w:r>
      <w:r w:rsidRPr="00D87C52">
        <w:rPr>
          <w:rFonts w:ascii="Times New Roman" w:hAnsi="Times New Roman" w:cs="Times New Roman"/>
          <w:sz w:val="24"/>
          <w:szCs w:val="24"/>
        </w:rPr>
        <w:t xml:space="preserve"> transfer to 33 </w:t>
      </w:r>
      <w:r w:rsidR="009F1A7C">
        <w:rPr>
          <w:rFonts w:ascii="Times New Roman" w:hAnsi="Times New Roman" w:cs="Times New Roman"/>
          <w:sz w:val="24"/>
          <w:szCs w:val="24"/>
        </w:rPr>
        <w:t>MGD</w:t>
      </w:r>
      <w:r w:rsidRPr="00D87C52">
        <w:rPr>
          <w:rFonts w:ascii="Times New Roman" w:hAnsi="Times New Roman" w:cs="Times New Roman"/>
          <w:sz w:val="24"/>
          <w:szCs w:val="24"/>
        </w:rPr>
        <w:t xml:space="preserve"> daily average for a calendar month, for the month in which IBT is expected to be the highest.  This increase is needed </w:t>
      </w:r>
      <w:proofErr w:type="gramStart"/>
      <w:r w:rsidRPr="00D87C52">
        <w:rPr>
          <w:rFonts w:ascii="Times New Roman" w:hAnsi="Times New Roman" w:cs="Times New Roman"/>
          <w:sz w:val="24"/>
          <w:szCs w:val="24"/>
        </w:rPr>
        <w:t>in order to</w:t>
      </w:r>
      <w:proofErr w:type="gramEnd"/>
      <w:r w:rsidRPr="00D87C52">
        <w:rPr>
          <w:rFonts w:ascii="Times New Roman" w:hAnsi="Times New Roman" w:cs="Times New Roman"/>
          <w:sz w:val="24"/>
          <w:szCs w:val="24"/>
        </w:rPr>
        <w:t xml:space="preserve"> support the projected population growth and water supply needed for the economic growth of the Towns of Cary, Apex, and Morrisville and the Wake County portion of RTP over the next 30 years.  </w:t>
      </w:r>
    </w:p>
    <w:p w14:paraId="46CDB221" w14:textId="77777777" w:rsidR="00357E4E" w:rsidRPr="00357E4E" w:rsidRDefault="00357E4E" w:rsidP="00357E4E">
      <w:pPr>
        <w:rPr>
          <w:rFonts w:ascii="Times New Roman" w:hAnsi="Times New Roman" w:cs="Times New Roman"/>
          <w:sz w:val="24"/>
          <w:szCs w:val="24"/>
        </w:rPr>
      </w:pPr>
    </w:p>
    <w:p w14:paraId="5C37864F" w14:textId="77777777" w:rsidR="00357E4E" w:rsidRPr="00357E4E" w:rsidRDefault="00357E4E" w:rsidP="004E07CB">
      <w:pPr>
        <w:spacing w:after="0" w:line="240" w:lineRule="auto"/>
        <w:rPr>
          <w:rFonts w:ascii="Times New Roman" w:hAnsi="Times New Roman" w:cs="Times New Roman"/>
          <w:i/>
          <w:iCs/>
          <w:sz w:val="24"/>
          <w:szCs w:val="24"/>
        </w:rPr>
      </w:pPr>
      <w:r w:rsidRPr="00357E4E">
        <w:rPr>
          <w:rFonts w:ascii="Times New Roman" w:hAnsi="Times New Roman" w:cs="Times New Roman"/>
          <w:i/>
          <w:iCs/>
          <w:sz w:val="24"/>
          <w:szCs w:val="24"/>
        </w:rPr>
        <w:t xml:space="preserve">Based on the record, the Commission finds that current </w:t>
      </w:r>
      <w:r w:rsidR="00656C7F">
        <w:rPr>
          <w:rFonts w:ascii="Times New Roman" w:hAnsi="Times New Roman" w:cs="Times New Roman"/>
          <w:i/>
          <w:iCs/>
          <w:sz w:val="24"/>
          <w:szCs w:val="24"/>
        </w:rPr>
        <w:t xml:space="preserve">allowable </w:t>
      </w:r>
      <w:r w:rsidRPr="00357E4E">
        <w:rPr>
          <w:rFonts w:ascii="Times New Roman" w:hAnsi="Times New Roman" w:cs="Times New Roman"/>
          <w:i/>
          <w:iCs/>
          <w:sz w:val="24"/>
          <w:szCs w:val="24"/>
        </w:rPr>
        <w:t>water suppl</w:t>
      </w:r>
      <w:r w:rsidR="00656C7F">
        <w:rPr>
          <w:rFonts w:ascii="Times New Roman" w:hAnsi="Times New Roman" w:cs="Times New Roman"/>
          <w:i/>
          <w:iCs/>
          <w:sz w:val="24"/>
          <w:szCs w:val="24"/>
        </w:rPr>
        <w:t>y transfer rate is</w:t>
      </w:r>
      <w:r w:rsidRPr="00357E4E">
        <w:rPr>
          <w:rFonts w:ascii="Times New Roman" w:hAnsi="Times New Roman" w:cs="Times New Roman"/>
          <w:i/>
          <w:iCs/>
          <w:sz w:val="24"/>
          <w:szCs w:val="24"/>
        </w:rPr>
        <w:t xml:space="preserve"> insufficient to supply the Towns of Cary, Apex and Morrisville and Wake County, and their related service areas for the reasonable 30-year planning horizon through the year 2045.  Providing water for the anticipated growth of these communities will have a major beneficial effect</w:t>
      </w:r>
      <w:r>
        <w:rPr>
          <w:rFonts w:ascii="Times New Roman" w:hAnsi="Times New Roman" w:cs="Times New Roman"/>
          <w:i/>
          <w:iCs/>
          <w:sz w:val="24"/>
          <w:szCs w:val="24"/>
        </w:rPr>
        <w:t xml:space="preserve"> on the region</w:t>
      </w:r>
      <w:r w:rsidRPr="00357E4E">
        <w:rPr>
          <w:rFonts w:ascii="Times New Roman" w:hAnsi="Times New Roman" w:cs="Times New Roman"/>
          <w:i/>
          <w:iCs/>
          <w:sz w:val="24"/>
          <w:szCs w:val="24"/>
        </w:rPr>
        <w:t xml:space="preserve">.  The requested IBT certificate modification to increase the transfer to 33 </w:t>
      </w:r>
      <w:r w:rsidR="009F1A7C">
        <w:rPr>
          <w:rFonts w:ascii="Times New Roman" w:hAnsi="Times New Roman" w:cs="Times New Roman"/>
          <w:i/>
          <w:iCs/>
          <w:sz w:val="24"/>
          <w:szCs w:val="24"/>
        </w:rPr>
        <w:t>MGD</w:t>
      </w:r>
      <w:r w:rsidRPr="00357E4E">
        <w:rPr>
          <w:rFonts w:ascii="Times New Roman" w:hAnsi="Times New Roman" w:cs="Times New Roman"/>
          <w:i/>
          <w:iCs/>
          <w:sz w:val="24"/>
          <w:szCs w:val="24"/>
        </w:rPr>
        <w:t xml:space="preserve"> daily average for a calendar month is found to be a necessary and reasonable amount to support the growing </w:t>
      </w:r>
      <w:r w:rsidR="00D87C52">
        <w:rPr>
          <w:rFonts w:ascii="Times New Roman" w:hAnsi="Times New Roman" w:cs="Times New Roman"/>
          <w:i/>
          <w:iCs/>
          <w:sz w:val="24"/>
          <w:szCs w:val="24"/>
        </w:rPr>
        <w:t>residential and industrial needs</w:t>
      </w:r>
      <w:r w:rsidRPr="00357E4E">
        <w:rPr>
          <w:rFonts w:ascii="Times New Roman" w:hAnsi="Times New Roman" w:cs="Times New Roman"/>
          <w:i/>
          <w:iCs/>
          <w:sz w:val="24"/>
          <w:szCs w:val="24"/>
        </w:rPr>
        <w:t xml:space="preserve"> of this area.</w:t>
      </w:r>
    </w:p>
    <w:p w14:paraId="59287B3C" w14:textId="77777777" w:rsidR="00F2122B" w:rsidRDefault="00F2122B">
      <w:pPr>
        <w:rPr>
          <w:rFonts w:ascii="Times New Roman" w:hAnsi="Times New Roman" w:cs="Times New Roman"/>
          <w:sz w:val="24"/>
          <w:szCs w:val="24"/>
        </w:rPr>
      </w:pPr>
      <w:r>
        <w:rPr>
          <w:rFonts w:ascii="Times New Roman" w:hAnsi="Times New Roman" w:cs="Times New Roman"/>
          <w:sz w:val="24"/>
          <w:szCs w:val="24"/>
        </w:rPr>
        <w:br w:type="page"/>
      </w:r>
    </w:p>
    <w:p w14:paraId="010C9447" w14:textId="77777777" w:rsidR="00F2122B" w:rsidRDefault="00F2122B">
      <w:pPr>
        <w:rPr>
          <w:rFonts w:ascii="Times New Roman" w:hAnsi="Times New Roman" w:cs="Times New Roman"/>
          <w:sz w:val="24"/>
          <w:szCs w:val="24"/>
        </w:rPr>
      </w:pPr>
      <w:r w:rsidRPr="00DC1595">
        <w:rPr>
          <w:rFonts w:ascii="Times New Roman" w:hAnsi="Times New Roman" w:cs="Times New Roman"/>
          <w:b/>
          <w:sz w:val="24"/>
          <w:szCs w:val="24"/>
        </w:rPr>
        <w:lastRenderedPageBreak/>
        <w:t>Figure 1. Site Map with Facility Locations</w:t>
      </w:r>
    </w:p>
    <w:p w14:paraId="5AA11559" w14:textId="77777777" w:rsidR="008547A9" w:rsidRPr="00DC1595" w:rsidRDefault="00F2122B">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02AF858" wp14:editId="7B8602A2">
            <wp:extent cx="5943600" cy="7233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233456"/>
                    </a:xfrm>
                    <a:prstGeom prst="rect">
                      <a:avLst/>
                    </a:prstGeom>
                    <a:noFill/>
                    <a:ln>
                      <a:noFill/>
                    </a:ln>
                  </pic:spPr>
                </pic:pic>
              </a:graphicData>
            </a:graphic>
          </wp:inline>
        </w:drawing>
      </w:r>
      <w:r w:rsidR="008547A9" w:rsidRPr="00DC1595">
        <w:rPr>
          <w:rFonts w:ascii="Times New Roman" w:hAnsi="Times New Roman" w:cs="Times New Roman"/>
          <w:b/>
          <w:sz w:val="24"/>
          <w:szCs w:val="24"/>
        </w:rPr>
        <w:br w:type="page"/>
      </w:r>
    </w:p>
    <w:p w14:paraId="70BCE1F4" w14:textId="77777777" w:rsidR="008547A9" w:rsidRPr="008547A9" w:rsidRDefault="008547A9" w:rsidP="008547A9">
      <w:pPr>
        <w:rPr>
          <w:rFonts w:ascii="Times New Roman" w:hAnsi="Times New Roman" w:cs="Times New Roman"/>
          <w:b/>
          <w:sz w:val="24"/>
          <w:szCs w:val="24"/>
        </w:rPr>
      </w:pPr>
      <w:r w:rsidRPr="008547A9">
        <w:rPr>
          <w:rFonts w:ascii="Times New Roman" w:hAnsi="Times New Roman" w:cs="Times New Roman"/>
          <w:b/>
          <w:sz w:val="24"/>
          <w:szCs w:val="24"/>
        </w:rPr>
        <w:lastRenderedPageBreak/>
        <w:t xml:space="preserve">Figure </w:t>
      </w:r>
      <w:r w:rsidR="00F2122B">
        <w:rPr>
          <w:rFonts w:ascii="Times New Roman" w:hAnsi="Times New Roman" w:cs="Times New Roman"/>
          <w:b/>
          <w:sz w:val="24"/>
          <w:szCs w:val="24"/>
        </w:rPr>
        <w:t>2</w:t>
      </w:r>
      <w:r w:rsidRPr="008547A9">
        <w:rPr>
          <w:rFonts w:ascii="Times New Roman" w:hAnsi="Times New Roman" w:cs="Times New Roman"/>
          <w:b/>
          <w:sz w:val="24"/>
          <w:szCs w:val="24"/>
        </w:rPr>
        <w:t>. Jordan Lake and Regional Water Movement</w:t>
      </w:r>
    </w:p>
    <w:p w14:paraId="19354527" w14:textId="77777777" w:rsidR="00311757" w:rsidRDefault="008547A9">
      <w:pPr>
        <w:rPr>
          <w:rFonts w:ascii="Times New Roman" w:hAnsi="Times New Roman" w:cs="Times New Roman"/>
          <w:sz w:val="24"/>
          <w:szCs w:val="24"/>
        </w:rPr>
      </w:pPr>
      <w:r w:rsidRPr="008547A9">
        <w:rPr>
          <w:noProof/>
        </w:rPr>
        <w:drawing>
          <wp:inline distT="0" distB="0" distL="0" distR="0" wp14:anchorId="5F2009AB" wp14:editId="6B1FD908">
            <wp:extent cx="5943600" cy="7725943"/>
            <wp:effectExtent l="0" t="0" r="0" b="8890"/>
            <wp:docPr id="13952" name="Picture 1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725943"/>
                    </a:xfrm>
                    <a:prstGeom prst="rect">
                      <a:avLst/>
                    </a:prstGeom>
                    <a:noFill/>
                    <a:ln>
                      <a:noFill/>
                    </a:ln>
                  </pic:spPr>
                </pic:pic>
              </a:graphicData>
            </a:graphic>
          </wp:inline>
        </w:drawing>
      </w:r>
      <w:r w:rsidR="00311757">
        <w:rPr>
          <w:rFonts w:ascii="Times New Roman" w:hAnsi="Times New Roman" w:cs="Times New Roman"/>
          <w:sz w:val="24"/>
          <w:szCs w:val="24"/>
        </w:rPr>
        <w:br w:type="page"/>
      </w:r>
    </w:p>
    <w:p w14:paraId="2BAAB838" w14:textId="77777777" w:rsidR="00564A81" w:rsidRPr="00564A81" w:rsidRDefault="00564A81" w:rsidP="00564A81">
      <w:pPr>
        <w:spacing w:after="0" w:line="240" w:lineRule="auto"/>
        <w:contextualSpacing/>
        <w:rPr>
          <w:rFonts w:ascii="Times New Roman" w:hAnsi="Times New Roman" w:cs="Times New Roman"/>
          <w:b/>
          <w:bCs/>
          <w:sz w:val="24"/>
          <w:szCs w:val="24"/>
        </w:rPr>
      </w:pPr>
      <w:bookmarkStart w:id="4" w:name="_Toc152550392"/>
      <w:bookmarkStart w:id="5" w:name="_Toc153359308"/>
      <w:r w:rsidRPr="00564A81">
        <w:rPr>
          <w:rFonts w:ascii="Times New Roman" w:hAnsi="Times New Roman" w:cs="Times New Roman"/>
          <w:b/>
          <w:bCs/>
          <w:sz w:val="24"/>
          <w:szCs w:val="24"/>
        </w:rPr>
        <w:lastRenderedPageBreak/>
        <w:t>(2) Detrimental Effects on the Source River Basin</w:t>
      </w:r>
      <w:bookmarkEnd w:id="4"/>
      <w:bookmarkEnd w:id="5"/>
    </w:p>
    <w:p w14:paraId="4F6A0805" w14:textId="77777777" w:rsidR="00B46C61" w:rsidRDefault="00B46C61" w:rsidP="00B46C61">
      <w:pPr>
        <w:spacing w:after="0" w:line="240" w:lineRule="auto"/>
        <w:contextualSpacing/>
        <w:rPr>
          <w:rFonts w:ascii="Times New Roman" w:hAnsi="Times New Roman" w:cs="Times New Roman"/>
          <w:sz w:val="24"/>
          <w:szCs w:val="24"/>
        </w:rPr>
      </w:pPr>
      <w:r w:rsidRPr="00B46C61">
        <w:rPr>
          <w:rFonts w:ascii="Times New Roman" w:hAnsi="Times New Roman" w:cs="Times New Roman"/>
          <w:sz w:val="24"/>
          <w:szCs w:val="24"/>
        </w:rPr>
        <w:t xml:space="preserve">To evaluate the </w:t>
      </w:r>
      <w:r w:rsidR="003876DC">
        <w:rPr>
          <w:rFonts w:ascii="Times New Roman" w:hAnsi="Times New Roman" w:cs="Times New Roman"/>
          <w:sz w:val="24"/>
          <w:szCs w:val="24"/>
        </w:rPr>
        <w:t xml:space="preserve">direct impacts on the source basin </w:t>
      </w:r>
      <w:r w:rsidRPr="00B46C61">
        <w:rPr>
          <w:rFonts w:ascii="Times New Roman" w:hAnsi="Times New Roman" w:cs="Times New Roman"/>
          <w:sz w:val="24"/>
          <w:szCs w:val="24"/>
        </w:rPr>
        <w:t>resulting from the increased IBT, the primary tool used was the combined Cape Fear–Neuse River Basin</w:t>
      </w:r>
      <w:r>
        <w:rPr>
          <w:rFonts w:ascii="Times New Roman" w:hAnsi="Times New Roman" w:cs="Times New Roman"/>
          <w:sz w:val="24"/>
          <w:szCs w:val="24"/>
        </w:rPr>
        <w:t xml:space="preserve"> </w:t>
      </w:r>
      <w:r w:rsidRPr="00B46C61">
        <w:rPr>
          <w:rFonts w:ascii="Times New Roman" w:hAnsi="Times New Roman" w:cs="Times New Roman"/>
          <w:sz w:val="24"/>
          <w:szCs w:val="24"/>
        </w:rPr>
        <w:t>Hydrologic Model</w:t>
      </w:r>
      <w:r w:rsidR="00183FD7" w:rsidRPr="00183FD7">
        <w:rPr>
          <w:rFonts w:ascii="Times New Roman" w:hAnsi="Times New Roman" w:cs="Times New Roman"/>
          <w:sz w:val="24"/>
          <w:szCs w:val="24"/>
        </w:rPr>
        <w:t>, based on OASIS with OCL</w:t>
      </w:r>
      <w:r w:rsidR="00183FD7" w:rsidRPr="00183FD7">
        <w:rPr>
          <w:rFonts w:ascii="Times New Roman" w:hAnsi="Times New Roman" w:cs="Times New Roman"/>
          <w:sz w:val="24"/>
          <w:szCs w:val="24"/>
          <w:vertAlign w:val="superscript"/>
        </w:rPr>
        <w:t>TM</w:t>
      </w:r>
      <w:r w:rsidR="00183FD7" w:rsidRPr="00183FD7">
        <w:rPr>
          <w:rFonts w:ascii="Times New Roman" w:hAnsi="Times New Roman" w:cs="Times New Roman"/>
          <w:sz w:val="24"/>
          <w:szCs w:val="24"/>
        </w:rPr>
        <w:t>.  OASIS with OCL</w:t>
      </w:r>
      <w:r w:rsidR="00183FD7" w:rsidRPr="00183FD7">
        <w:rPr>
          <w:rFonts w:ascii="Times New Roman" w:hAnsi="Times New Roman" w:cs="Times New Roman"/>
          <w:sz w:val="24"/>
          <w:szCs w:val="24"/>
          <w:vertAlign w:val="superscript"/>
        </w:rPr>
        <w:t xml:space="preserve">TM   </w:t>
      </w:r>
      <w:r w:rsidR="00183FD7" w:rsidRPr="00183FD7">
        <w:rPr>
          <w:rFonts w:ascii="Times New Roman" w:hAnsi="Times New Roman" w:cs="Times New Roman"/>
          <w:sz w:val="24"/>
          <w:szCs w:val="24"/>
        </w:rPr>
        <w:t xml:space="preserve">is a computer program designed to simulate the routing of water through the system described by a specific application. The Cape Fear – Neuse River Basin Hydrologic Model is a mathematical model that simulates surface water flows in the Cape Fear and Neuse river basins taking into consideration watershed inflows, withdrawals, wastewater discharges and water management protocols.  The model is a tool to evaluate the impacts to water quantity </w:t>
      </w:r>
      <w:r w:rsidR="00AF7E89">
        <w:rPr>
          <w:rFonts w:ascii="Times New Roman" w:hAnsi="Times New Roman" w:cs="Times New Roman"/>
          <w:sz w:val="24"/>
          <w:szCs w:val="24"/>
        </w:rPr>
        <w:t>with</w:t>
      </w:r>
      <w:r w:rsidR="00183FD7" w:rsidRPr="00183FD7">
        <w:rPr>
          <w:rFonts w:ascii="Times New Roman" w:hAnsi="Times New Roman" w:cs="Times New Roman"/>
          <w:sz w:val="24"/>
          <w:szCs w:val="24"/>
        </w:rPr>
        <w:t xml:space="preserve"> changes in water demands and water management protocols.</w:t>
      </w:r>
      <w:r>
        <w:rPr>
          <w:rFonts w:ascii="Times New Roman" w:hAnsi="Times New Roman" w:cs="Times New Roman"/>
          <w:sz w:val="24"/>
          <w:szCs w:val="24"/>
        </w:rPr>
        <w:t xml:space="preserve">  </w:t>
      </w:r>
      <w:r w:rsidR="00B90D13" w:rsidRPr="00B90D13">
        <w:rPr>
          <w:rFonts w:ascii="Times New Roman" w:hAnsi="Times New Roman" w:cs="Times New Roman"/>
          <w:sz w:val="24"/>
          <w:szCs w:val="24"/>
        </w:rPr>
        <w:t>The model considers all major water withdrawals and discharges within the Cape Fear River basin</w:t>
      </w:r>
      <w:r w:rsidR="00183FD7">
        <w:rPr>
          <w:rFonts w:ascii="Times New Roman" w:hAnsi="Times New Roman" w:cs="Times New Roman"/>
          <w:sz w:val="24"/>
          <w:szCs w:val="24"/>
        </w:rPr>
        <w:t xml:space="preserve"> above Lock &amp; Dam #1 in Bladen County</w:t>
      </w:r>
      <w:r w:rsidR="00B90D13" w:rsidRPr="00B90D13">
        <w:rPr>
          <w:rFonts w:ascii="Times New Roman" w:hAnsi="Times New Roman" w:cs="Times New Roman"/>
          <w:sz w:val="24"/>
          <w:szCs w:val="24"/>
        </w:rPr>
        <w:t>, including those into and out of Jordan Lake. As required under G.S. 143-215.22</w:t>
      </w:r>
      <w:r w:rsidR="00B90D13">
        <w:rPr>
          <w:rFonts w:ascii="Times New Roman" w:hAnsi="Times New Roman" w:cs="Times New Roman"/>
          <w:sz w:val="24"/>
          <w:szCs w:val="24"/>
        </w:rPr>
        <w:t>L</w:t>
      </w:r>
      <w:r w:rsidR="00B90D13" w:rsidRPr="00B90D13">
        <w:rPr>
          <w:rFonts w:ascii="Times New Roman" w:hAnsi="Times New Roman" w:cs="Times New Roman"/>
          <w:sz w:val="24"/>
          <w:szCs w:val="24"/>
        </w:rPr>
        <w:t>(</w:t>
      </w:r>
      <w:r w:rsidR="00B90D13">
        <w:rPr>
          <w:rFonts w:ascii="Times New Roman" w:hAnsi="Times New Roman" w:cs="Times New Roman"/>
          <w:sz w:val="24"/>
          <w:szCs w:val="24"/>
        </w:rPr>
        <w:t>k</w:t>
      </w:r>
      <w:r w:rsidR="00B90D13" w:rsidRPr="00B90D13">
        <w:rPr>
          <w:rFonts w:ascii="Times New Roman" w:hAnsi="Times New Roman" w:cs="Times New Roman"/>
          <w:sz w:val="24"/>
          <w:szCs w:val="24"/>
        </w:rPr>
        <w:t xml:space="preserve">)(2), </w:t>
      </w:r>
      <w:r w:rsidR="00B90D13">
        <w:rPr>
          <w:rFonts w:ascii="Times New Roman" w:hAnsi="Times New Roman" w:cs="Times New Roman"/>
          <w:sz w:val="24"/>
          <w:szCs w:val="24"/>
        </w:rPr>
        <w:t xml:space="preserve">data from </w:t>
      </w:r>
      <w:r w:rsidR="00B90D13" w:rsidRPr="00B90D13">
        <w:rPr>
          <w:rFonts w:ascii="Times New Roman" w:hAnsi="Times New Roman" w:cs="Times New Roman"/>
          <w:sz w:val="24"/>
          <w:szCs w:val="24"/>
        </w:rPr>
        <w:t xml:space="preserve">local water supply plans </w:t>
      </w:r>
      <w:r w:rsidR="001C769A">
        <w:rPr>
          <w:rFonts w:ascii="Times New Roman" w:hAnsi="Times New Roman" w:cs="Times New Roman"/>
          <w:sz w:val="24"/>
          <w:szCs w:val="24"/>
        </w:rPr>
        <w:t xml:space="preserve">(LWSPs) </w:t>
      </w:r>
      <w:r w:rsidR="00B90D13" w:rsidRPr="00B90D13">
        <w:rPr>
          <w:rFonts w:ascii="Times New Roman" w:hAnsi="Times New Roman" w:cs="Times New Roman"/>
          <w:sz w:val="24"/>
          <w:szCs w:val="24"/>
        </w:rPr>
        <w:t xml:space="preserve">were </w:t>
      </w:r>
      <w:r w:rsidR="00B90D13">
        <w:rPr>
          <w:rFonts w:ascii="Times New Roman" w:hAnsi="Times New Roman" w:cs="Times New Roman"/>
          <w:sz w:val="24"/>
          <w:szCs w:val="24"/>
        </w:rPr>
        <w:t xml:space="preserve">used </w:t>
      </w:r>
      <w:r w:rsidR="00B90D13" w:rsidRPr="00B90D13">
        <w:rPr>
          <w:rFonts w:ascii="Times New Roman" w:hAnsi="Times New Roman" w:cs="Times New Roman"/>
          <w:sz w:val="24"/>
          <w:szCs w:val="24"/>
        </w:rPr>
        <w:t>in developing the model.  In addition, industrial</w:t>
      </w:r>
      <w:r w:rsidR="00656C7F">
        <w:rPr>
          <w:rFonts w:ascii="Times New Roman" w:hAnsi="Times New Roman" w:cs="Times New Roman"/>
          <w:sz w:val="24"/>
          <w:szCs w:val="24"/>
        </w:rPr>
        <w:t>, recreation, energy production, mining,</w:t>
      </w:r>
      <w:r w:rsidR="00B90D13" w:rsidRPr="00B90D13">
        <w:rPr>
          <w:rFonts w:ascii="Times New Roman" w:hAnsi="Times New Roman" w:cs="Times New Roman"/>
          <w:sz w:val="24"/>
          <w:szCs w:val="24"/>
        </w:rPr>
        <w:t xml:space="preserve"> and agricultural withdrawals were </w:t>
      </w:r>
      <w:r w:rsidR="001C769A">
        <w:rPr>
          <w:rFonts w:ascii="Times New Roman" w:hAnsi="Times New Roman" w:cs="Times New Roman"/>
          <w:sz w:val="24"/>
          <w:szCs w:val="24"/>
        </w:rPr>
        <w:t xml:space="preserve">factored into the </w:t>
      </w:r>
      <w:r w:rsidR="00B90D13" w:rsidRPr="00B90D13">
        <w:rPr>
          <w:rFonts w:ascii="Times New Roman" w:hAnsi="Times New Roman" w:cs="Times New Roman"/>
          <w:sz w:val="24"/>
          <w:szCs w:val="24"/>
        </w:rPr>
        <w:t xml:space="preserve">model.  </w:t>
      </w:r>
    </w:p>
    <w:p w14:paraId="31C29331" w14:textId="77777777" w:rsidR="00B46C61" w:rsidRDefault="00B46C61" w:rsidP="00B46C61">
      <w:pPr>
        <w:spacing w:after="0" w:line="240" w:lineRule="auto"/>
        <w:contextualSpacing/>
        <w:rPr>
          <w:rFonts w:ascii="Times New Roman" w:hAnsi="Times New Roman" w:cs="Times New Roman"/>
          <w:sz w:val="24"/>
          <w:szCs w:val="24"/>
        </w:rPr>
      </w:pPr>
    </w:p>
    <w:p w14:paraId="10957D72" w14:textId="77777777" w:rsidR="00B46C61" w:rsidRDefault="00183FD7" w:rsidP="00B46C6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initial set of conditions for the model represents demands, </w:t>
      </w:r>
      <w:proofErr w:type="gramStart"/>
      <w:r>
        <w:rPr>
          <w:rFonts w:ascii="Times New Roman" w:hAnsi="Times New Roman" w:cs="Times New Roman"/>
          <w:sz w:val="24"/>
          <w:szCs w:val="24"/>
        </w:rPr>
        <w:t>discharges</w:t>
      </w:r>
      <w:proofErr w:type="gramEnd"/>
      <w:r>
        <w:rPr>
          <w:rFonts w:ascii="Times New Roman" w:hAnsi="Times New Roman" w:cs="Times New Roman"/>
          <w:sz w:val="24"/>
          <w:szCs w:val="24"/>
        </w:rPr>
        <w:t xml:space="preserve"> and management protocols as they were in 2010.  This model scenario provides a point of comparison to characterize the impacts of changes in demands and management scenario</w:t>
      </w:r>
      <w:r w:rsidR="00AF7E89">
        <w:rPr>
          <w:rFonts w:ascii="Times New Roman" w:hAnsi="Times New Roman" w:cs="Times New Roman"/>
          <w:sz w:val="24"/>
          <w:szCs w:val="24"/>
        </w:rPr>
        <w:t>s</w:t>
      </w:r>
      <w:r w:rsidR="00040A4A">
        <w:rPr>
          <w:rFonts w:ascii="Times New Roman" w:hAnsi="Times New Roman" w:cs="Times New Roman"/>
          <w:sz w:val="24"/>
          <w:szCs w:val="24"/>
        </w:rPr>
        <w:t xml:space="preserve"> </w:t>
      </w:r>
      <w:r w:rsidR="00B46C61" w:rsidRPr="00B46C61">
        <w:rPr>
          <w:rFonts w:ascii="Times New Roman" w:hAnsi="Times New Roman" w:cs="Times New Roman"/>
          <w:sz w:val="24"/>
          <w:szCs w:val="24"/>
        </w:rPr>
        <w:t>by</w:t>
      </w:r>
      <w:r w:rsidR="00B46C61">
        <w:rPr>
          <w:rFonts w:ascii="Times New Roman" w:hAnsi="Times New Roman" w:cs="Times New Roman"/>
          <w:sz w:val="24"/>
          <w:szCs w:val="24"/>
        </w:rPr>
        <w:t xml:space="preserve"> </w:t>
      </w:r>
      <w:r w:rsidR="00B46C61" w:rsidRPr="00B46C61">
        <w:rPr>
          <w:rFonts w:ascii="Times New Roman" w:hAnsi="Times New Roman" w:cs="Times New Roman"/>
          <w:sz w:val="24"/>
          <w:szCs w:val="24"/>
        </w:rPr>
        <w:t xml:space="preserve">incorporating future demands to create several future scenarios. Estimates of </w:t>
      </w:r>
      <w:r>
        <w:rPr>
          <w:rFonts w:ascii="Times New Roman" w:hAnsi="Times New Roman" w:cs="Times New Roman"/>
          <w:sz w:val="24"/>
          <w:szCs w:val="24"/>
        </w:rPr>
        <w:t xml:space="preserve">future </w:t>
      </w:r>
      <w:r w:rsidR="00B46C61" w:rsidRPr="00B46C61">
        <w:rPr>
          <w:rFonts w:ascii="Times New Roman" w:hAnsi="Times New Roman" w:cs="Times New Roman"/>
          <w:sz w:val="24"/>
          <w:szCs w:val="24"/>
        </w:rPr>
        <w:t>demands and</w:t>
      </w:r>
      <w:r w:rsidR="00B46C61">
        <w:rPr>
          <w:rFonts w:ascii="Times New Roman" w:hAnsi="Times New Roman" w:cs="Times New Roman"/>
          <w:sz w:val="24"/>
          <w:szCs w:val="24"/>
        </w:rPr>
        <w:t xml:space="preserve"> </w:t>
      </w:r>
      <w:r w:rsidR="00B46C61" w:rsidRPr="00B46C61">
        <w:rPr>
          <w:rFonts w:ascii="Times New Roman" w:hAnsi="Times New Roman" w:cs="Times New Roman"/>
          <w:sz w:val="24"/>
          <w:szCs w:val="24"/>
        </w:rPr>
        <w:t xml:space="preserve">discharges </w:t>
      </w:r>
      <w:r w:rsidR="00AF7E89">
        <w:rPr>
          <w:rFonts w:ascii="Times New Roman" w:hAnsi="Times New Roman" w:cs="Times New Roman"/>
          <w:sz w:val="24"/>
          <w:szCs w:val="24"/>
        </w:rPr>
        <w:t>through</w:t>
      </w:r>
      <w:r w:rsidR="00B46C61" w:rsidRPr="00B46C61">
        <w:rPr>
          <w:rFonts w:ascii="Times New Roman" w:hAnsi="Times New Roman" w:cs="Times New Roman"/>
          <w:sz w:val="24"/>
          <w:szCs w:val="24"/>
        </w:rPr>
        <w:t xml:space="preserve"> the year 2045 were developed by DWR using</w:t>
      </w:r>
      <w:r w:rsidR="00B46C61">
        <w:rPr>
          <w:rFonts w:ascii="Times New Roman" w:hAnsi="Times New Roman" w:cs="Times New Roman"/>
          <w:sz w:val="24"/>
          <w:szCs w:val="24"/>
        </w:rPr>
        <w:t xml:space="preserve"> data reported in</w:t>
      </w:r>
      <w:r w:rsidR="00B46C61" w:rsidRPr="00B46C61">
        <w:rPr>
          <w:rFonts w:ascii="Times New Roman" w:hAnsi="Times New Roman" w:cs="Times New Roman"/>
          <w:sz w:val="24"/>
          <w:szCs w:val="24"/>
        </w:rPr>
        <w:t xml:space="preserve"> LWSP</w:t>
      </w:r>
      <w:r w:rsidR="001C769A">
        <w:rPr>
          <w:rFonts w:ascii="Times New Roman" w:hAnsi="Times New Roman" w:cs="Times New Roman"/>
          <w:sz w:val="24"/>
          <w:szCs w:val="24"/>
        </w:rPr>
        <w:t>s</w:t>
      </w:r>
      <w:r w:rsidR="00B46C61" w:rsidRPr="00B46C61">
        <w:rPr>
          <w:rFonts w:ascii="Times New Roman" w:hAnsi="Times New Roman" w:cs="Times New Roman"/>
          <w:sz w:val="24"/>
          <w:szCs w:val="24"/>
        </w:rPr>
        <w:t>, information provided directly from municipalities, and input from Triangle J Council of</w:t>
      </w:r>
      <w:r w:rsidR="00B46C61">
        <w:rPr>
          <w:rFonts w:ascii="Times New Roman" w:hAnsi="Times New Roman" w:cs="Times New Roman"/>
          <w:sz w:val="24"/>
          <w:szCs w:val="24"/>
        </w:rPr>
        <w:t xml:space="preserve"> </w:t>
      </w:r>
      <w:r w:rsidR="00B46C61" w:rsidRPr="00B46C61">
        <w:rPr>
          <w:rFonts w:ascii="Times New Roman" w:hAnsi="Times New Roman" w:cs="Times New Roman"/>
          <w:sz w:val="24"/>
          <w:szCs w:val="24"/>
        </w:rPr>
        <w:t>Governments.</w:t>
      </w:r>
      <w:r w:rsidR="00B46C61">
        <w:rPr>
          <w:rFonts w:ascii="Times New Roman" w:hAnsi="Times New Roman" w:cs="Times New Roman"/>
          <w:sz w:val="24"/>
          <w:szCs w:val="24"/>
        </w:rPr>
        <w:t xml:space="preserve">  </w:t>
      </w:r>
      <w:r w:rsidR="00B46C61" w:rsidRPr="00B46C61">
        <w:rPr>
          <w:rFonts w:ascii="Times New Roman" w:hAnsi="Times New Roman" w:cs="Times New Roman"/>
          <w:sz w:val="24"/>
          <w:szCs w:val="24"/>
        </w:rPr>
        <w:t>The following four scenarios were developed to allow evaluation of the potential relative effects of the proposed increase in IBT and</w:t>
      </w:r>
      <w:r w:rsidR="00B46C61">
        <w:rPr>
          <w:rFonts w:ascii="Times New Roman" w:hAnsi="Times New Roman" w:cs="Times New Roman"/>
          <w:sz w:val="24"/>
          <w:szCs w:val="24"/>
        </w:rPr>
        <w:t xml:space="preserve"> </w:t>
      </w:r>
      <w:r w:rsidR="00B46C61" w:rsidRPr="00B46C61">
        <w:rPr>
          <w:rFonts w:ascii="Times New Roman" w:hAnsi="Times New Roman" w:cs="Times New Roman"/>
          <w:sz w:val="24"/>
          <w:szCs w:val="24"/>
        </w:rPr>
        <w:t>alternatives:</w:t>
      </w:r>
    </w:p>
    <w:p w14:paraId="51FA2C32" w14:textId="77777777" w:rsidR="00B46C61" w:rsidRDefault="00B46C61" w:rsidP="00B46C61">
      <w:pPr>
        <w:spacing w:after="0" w:line="240" w:lineRule="auto"/>
        <w:contextualSpacing/>
        <w:rPr>
          <w:rFonts w:ascii="Times New Roman" w:hAnsi="Times New Roman" w:cs="Times New Roman"/>
          <w:sz w:val="24"/>
          <w:szCs w:val="24"/>
        </w:rPr>
      </w:pPr>
    </w:p>
    <w:p w14:paraId="057E5355" w14:textId="77777777" w:rsidR="00B46C61" w:rsidRDefault="00B46C61" w:rsidP="00B46C61">
      <w:pPr>
        <w:pStyle w:val="ListParagraph"/>
        <w:numPr>
          <w:ilvl w:val="0"/>
          <w:numId w:val="3"/>
        </w:numPr>
        <w:spacing w:after="0" w:line="240" w:lineRule="auto"/>
        <w:rPr>
          <w:rFonts w:ascii="Times New Roman" w:hAnsi="Times New Roman" w:cs="Times New Roman"/>
          <w:sz w:val="24"/>
          <w:szCs w:val="24"/>
        </w:rPr>
      </w:pPr>
      <w:r w:rsidRPr="00B46C61">
        <w:rPr>
          <w:rFonts w:ascii="Times New Roman" w:hAnsi="Times New Roman" w:cs="Times New Roman"/>
          <w:sz w:val="24"/>
          <w:szCs w:val="24"/>
        </w:rPr>
        <w:t xml:space="preserve">2010 Baseline – represents current conditions as defined by </w:t>
      </w:r>
      <w:proofErr w:type="gramStart"/>
      <w:r w:rsidRPr="00B46C61">
        <w:rPr>
          <w:rFonts w:ascii="Times New Roman" w:hAnsi="Times New Roman" w:cs="Times New Roman"/>
          <w:sz w:val="24"/>
          <w:szCs w:val="24"/>
        </w:rPr>
        <w:t>DWR</w:t>
      </w:r>
      <w:proofErr w:type="gramEnd"/>
    </w:p>
    <w:p w14:paraId="5A4F9D33" w14:textId="77777777" w:rsidR="00B46C61" w:rsidRDefault="00B46C61" w:rsidP="00B46C61">
      <w:pPr>
        <w:pStyle w:val="ListParagraph"/>
        <w:numPr>
          <w:ilvl w:val="0"/>
          <w:numId w:val="3"/>
        </w:numPr>
        <w:spacing w:after="0" w:line="240" w:lineRule="auto"/>
        <w:rPr>
          <w:rFonts w:ascii="Times New Roman" w:hAnsi="Times New Roman" w:cs="Times New Roman"/>
          <w:sz w:val="24"/>
          <w:szCs w:val="24"/>
        </w:rPr>
      </w:pPr>
      <w:r w:rsidRPr="00194C06">
        <w:rPr>
          <w:rFonts w:ascii="Times New Roman" w:hAnsi="Times New Roman" w:cs="Times New Roman"/>
          <w:sz w:val="24"/>
          <w:szCs w:val="24"/>
        </w:rPr>
        <w:t>2045 Baseline – represents Alternative 1 (no action) and Alternatives 3a through 3e (avoid an increase in</w:t>
      </w:r>
      <w:r w:rsidR="00194C06" w:rsidRPr="00194C06">
        <w:rPr>
          <w:rFonts w:ascii="Times New Roman" w:hAnsi="Times New Roman" w:cs="Times New Roman"/>
          <w:sz w:val="24"/>
          <w:szCs w:val="24"/>
        </w:rPr>
        <w:t xml:space="preserve"> </w:t>
      </w:r>
      <w:r w:rsidRPr="00194C06">
        <w:rPr>
          <w:rFonts w:ascii="Times New Roman" w:hAnsi="Times New Roman" w:cs="Times New Roman"/>
          <w:sz w:val="24"/>
          <w:szCs w:val="24"/>
        </w:rPr>
        <w:t>IBT)</w:t>
      </w:r>
    </w:p>
    <w:p w14:paraId="3B4E85A5" w14:textId="77777777" w:rsidR="00194C06" w:rsidRDefault="00194C06" w:rsidP="00194C06">
      <w:pPr>
        <w:pStyle w:val="ListParagraph"/>
        <w:numPr>
          <w:ilvl w:val="0"/>
          <w:numId w:val="3"/>
        </w:numPr>
        <w:spacing w:after="0" w:line="240" w:lineRule="auto"/>
        <w:rPr>
          <w:rFonts w:ascii="Times New Roman" w:hAnsi="Times New Roman" w:cs="Times New Roman"/>
          <w:sz w:val="24"/>
          <w:szCs w:val="24"/>
        </w:rPr>
      </w:pPr>
      <w:r w:rsidRPr="00194C06">
        <w:rPr>
          <w:rFonts w:ascii="Times New Roman" w:hAnsi="Times New Roman" w:cs="Times New Roman"/>
          <w:sz w:val="24"/>
          <w:szCs w:val="24"/>
        </w:rPr>
        <w:t>2045 Expanded IBT – represents Alternative 2a (proposed increase in IBT</w:t>
      </w:r>
      <w:r>
        <w:rPr>
          <w:rFonts w:ascii="Times New Roman" w:hAnsi="Times New Roman" w:cs="Times New Roman"/>
          <w:sz w:val="24"/>
          <w:szCs w:val="24"/>
        </w:rPr>
        <w:t>, preferred alternative</w:t>
      </w:r>
      <w:r w:rsidRPr="00194C06">
        <w:rPr>
          <w:rFonts w:ascii="Times New Roman" w:hAnsi="Times New Roman" w:cs="Times New Roman"/>
          <w:sz w:val="24"/>
          <w:szCs w:val="24"/>
        </w:rPr>
        <w:t>)</w:t>
      </w:r>
    </w:p>
    <w:p w14:paraId="4E69D5CB" w14:textId="77777777" w:rsidR="00194C06" w:rsidRDefault="00194C06" w:rsidP="00194C06">
      <w:pPr>
        <w:pStyle w:val="ListParagraph"/>
        <w:numPr>
          <w:ilvl w:val="0"/>
          <w:numId w:val="3"/>
        </w:numPr>
        <w:spacing w:after="0" w:line="240" w:lineRule="auto"/>
        <w:rPr>
          <w:rFonts w:ascii="Times New Roman" w:hAnsi="Times New Roman" w:cs="Times New Roman"/>
          <w:sz w:val="24"/>
          <w:szCs w:val="24"/>
        </w:rPr>
      </w:pPr>
      <w:r w:rsidRPr="00194C06">
        <w:rPr>
          <w:rFonts w:ascii="Times New Roman" w:hAnsi="Times New Roman" w:cs="Times New Roman"/>
          <w:sz w:val="24"/>
          <w:szCs w:val="24"/>
        </w:rPr>
        <w:t>2045 Maximum IBT – represents Alternative 2b (increased discharge to the Neuse River basin)</w:t>
      </w:r>
    </w:p>
    <w:p w14:paraId="4D3BB831" w14:textId="77777777" w:rsidR="00194C06" w:rsidRDefault="00194C06" w:rsidP="00194C06">
      <w:pPr>
        <w:spacing w:after="0" w:line="240" w:lineRule="auto"/>
        <w:rPr>
          <w:rFonts w:ascii="Times New Roman" w:hAnsi="Times New Roman" w:cs="Times New Roman"/>
          <w:sz w:val="24"/>
          <w:szCs w:val="24"/>
        </w:rPr>
      </w:pPr>
    </w:p>
    <w:p w14:paraId="07161BC7" w14:textId="77777777" w:rsidR="005968DD" w:rsidRPr="005968DD" w:rsidRDefault="005968DD" w:rsidP="005968DD">
      <w:pPr>
        <w:spacing w:after="0" w:line="240" w:lineRule="auto"/>
        <w:rPr>
          <w:rFonts w:ascii="Times New Roman" w:hAnsi="Times New Roman" w:cs="Times New Roman"/>
          <w:sz w:val="24"/>
          <w:szCs w:val="24"/>
        </w:rPr>
      </w:pPr>
      <w:r w:rsidRPr="005968DD">
        <w:rPr>
          <w:rFonts w:ascii="Times New Roman" w:hAnsi="Times New Roman" w:cs="Times New Roman"/>
          <w:sz w:val="24"/>
          <w:szCs w:val="24"/>
        </w:rPr>
        <w:t xml:space="preserve">To isolate the impact of the proposed increase in IBT from the effects of increased use of the Jordan Lake water supply pool, </w:t>
      </w:r>
      <w:proofErr w:type="gramStart"/>
      <w:r w:rsidRPr="005968DD">
        <w:rPr>
          <w:rFonts w:ascii="Times New Roman" w:hAnsi="Times New Roman" w:cs="Times New Roman"/>
          <w:sz w:val="24"/>
          <w:szCs w:val="24"/>
        </w:rPr>
        <w:t>all of</w:t>
      </w:r>
      <w:proofErr w:type="gramEnd"/>
      <w:r w:rsidRPr="005968DD">
        <w:rPr>
          <w:rFonts w:ascii="Times New Roman" w:hAnsi="Times New Roman" w:cs="Times New Roman"/>
          <w:sz w:val="24"/>
          <w:szCs w:val="24"/>
        </w:rPr>
        <w:t xml:space="preserve"> the 2045 scenarios assume full allocation and use of the Jordan Lake water supply pool</w:t>
      </w:r>
      <w:r w:rsidR="00183FD7">
        <w:rPr>
          <w:rFonts w:ascii="Times New Roman" w:hAnsi="Times New Roman" w:cs="Times New Roman"/>
          <w:sz w:val="24"/>
          <w:szCs w:val="24"/>
        </w:rPr>
        <w:t>’s estimated yield of</w:t>
      </w:r>
      <w:r w:rsidRPr="005968DD">
        <w:rPr>
          <w:rFonts w:ascii="Times New Roman" w:hAnsi="Times New Roman" w:cs="Times New Roman"/>
          <w:sz w:val="24"/>
          <w:szCs w:val="24"/>
        </w:rPr>
        <w:t xml:space="preserve"> 100 </w:t>
      </w:r>
      <w:r w:rsidR="009F1A7C">
        <w:rPr>
          <w:rFonts w:ascii="Times New Roman" w:hAnsi="Times New Roman" w:cs="Times New Roman"/>
          <w:sz w:val="24"/>
          <w:szCs w:val="24"/>
        </w:rPr>
        <w:t>MGD</w:t>
      </w:r>
      <w:r w:rsidRPr="005968DD">
        <w:rPr>
          <w:rFonts w:ascii="Times New Roman" w:hAnsi="Times New Roman" w:cs="Times New Roman"/>
          <w:sz w:val="24"/>
          <w:szCs w:val="24"/>
        </w:rPr>
        <w:t>.</w:t>
      </w:r>
      <w:r>
        <w:rPr>
          <w:rFonts w:ascii="Times New Roman" w:hAnsi="Times New Roman" w:cs="Times New Roman"/>
          <w:sz w:val="24"/>
          <w:szCs w:val="24"/>
        </w:rPr>
        <w:t xml:space="preserve">  </w:t>
      </w:r>
      <w:r w:rsidRPr="005968DD">
        <w:rPr>
          <w:rFonts w:ascii="Times New Roman" w:hAnsi="Times New Roman" w:cs="Times New Roman"/>
          <w:sz w:val="24"/>
          <w:szCs w:val="24"/>
        </w:rPr>
        <w:t xml:space="preserve">Output variables related to Jordan Lake elevation, water quality and water supply pool levels, and flows at </w:t>
      </w:r>
      <w:r w:rsidR="00656C7F">
        <w:rPr>
          <w:rFonts w:ascii="Times New Roman" w:hAnsi="Times New Roman" w:cs="Times New Roman"/>
          <w:sz w:val="24"/>
          <w:szCs w:val="24"/>
        </w:rPr>
        <w:t xml:space="preserve">the </w:t>
      </w:r>
      <w:r w:rsidRPr="005968DD">
        <w:rPr>
          <w:rFonts w:ascii="Times New Roman" w:hAnsi="Times New Roman" w:cs="Times New Roman"/>
          <w:sz w:val="24"/>
          <w:szCs w:val="24"/>
        </w:rPr>
        <w:t>Lillington</w:t>
      </w:r>
      <w:r w:rsidR="00656C7F">
        <w:rPr>
          <w:rFonts w:ascii="Times New Roman" w:hAnsi="Times New Roman" w:cs="Times New Roman"/>
          <w:sz w:val="24"/>
          <w:szCs w:val="24"/>
        </w:rPr>
        <w:t xml:space="preserve"> </w:t>
      </w:r>
      <w:r w:rsidR="006766B5">
        <w:rPr>
          <w:rFonts w:ascii="Times New Roman" w:hAnsi="Times New Roman" w:cs="Times New Roman"/>
          <w:sz w:val="24"/>
          <w:szCs w:val="24"/>
        </w:rPr>
        <w:t>United States Geological Survey (</w:t>
      </w:r>
      <w:r w:rsidR="00656C7F">
        <w:rPr>
          <w:rFonts w:ascii="Times New Roman" w:hAnsi="Times New Roman" w:cs="Times New Roman"/>
          <w:sz w:val="24"/>
          <w:szCs w:val="24"/>
        </w:rPr>
        <w:t>USGS</w:t>
      </w:r>
      <w:r w:rsidR="006766B5">
        <w:rPr>
          <w:rFonts w:ascii="Times New Roman" w:hAnsi="Times New Roman" w:cs="Times New Roman"/>
          <w:sz w:val="24"/>
          <w:szCs w:val="24"/>
        </w:rPr>
        <w:t>)</w:t>
      </w:r>
      <w:r w:rsidR="00656C7F">
        <w:rPr>
          <w:rFonts w:ascii="Times New Roman" w:hAnsi="Times New Roman" w:cs="Times New Roman"/>
          <w:sz w:val="24"/>
          <w:szCs w:val="24"/>
        </w:rPr>
        <w:t xml:space="preserve"> gage</w:t>
      </w:r>
      <w:r w:rsidRPr="005968DD">
        <w:rPr>
          <w:rFonts w:ascii="Times New Roman" w:hAnsi="Times New Roman" w:cs="Times New Roman"/>
          <w:sz w:val="24"/>
          <w:szCs w:val="24"/>
        </w:rPr>
        <w:t xml:space="preserve"> and </w:t>
      </w:r>
      <w:r w:rsidR="00AE2400">
        <w:rPr>
          <w:rFonts w:ascii="Times New Roman" w:hAnsi="Times New Roman" w:cs="Times New Roman"/>
          <w:sz w:val="24"/>
          <w:szCs w:val="24"/>
        </w:rPr>
        <w:t xml:space="preserve">the </w:t>
      </w:r>
      <w:r w:rsidRPr="005968DD">
        <w:rPr>
          <w:rFonts w:ascii="Times New Roman" w:hAnsi="Times New Roman" w:cs="Times New Roman"/>
          <w:sz w:val="24"/>
          <w:szCs w:val="24"/>
        </w:rPr>
        <w:t>Fayetteville</w:t>
      </w:r>
      <w:r w:rsidR="00656C7F">
        <w:rPr>
          <w:rFonts w:ascii="Times New Roman" w:hAnsi="Times New Roman" w:cs="Times New Roman"/>
          <w:sz w:val="24"/>
          <w:szCs w:val="24"/>
        </w:rPr>
        <w:t xml:space="preserve"> </w:t>
      </w:r>
      <w:r w:rsidR="006766B5">
        <w:rPr>
          <w:rFonts w:ascii="Times New Roman" w:hAnsi="Times New Roman" w:cs="Times New Roman"/>
          <w:sz w:val="24"/>
          <w:szCs w:val="24"/>
        </w:rPr>
        <w:t>Public Works Commission (</w:t>
      </w:r>
      <w:r w:rsidR="00656C7F">
        <w:rPr>
          <w:rFonts w:ascii="Times New Roman" w:hAnsi="Times New Roman" w:cs="Times New Roman"/>
          <w:sz w:val="24"/>
          <w:szCs w:val="24"/>
        </w:rPr>
        <w:t>PWC</w:t>
      </w:r>
      <w:r w:rsidR="006766B5">
        <w:rPr>
          <w:rFonts w:ascii="Times New Roman" w:hAnsi="Times New Roman" w:cs="Times New Roman"/>
          <w:sz w:val="24"/>
          <w:szCs w:val="24"/>
        </w:rPr>
        <w:t>)</w:t>
      </w:r>
      <w:r w:rsidR="00656C7F">
        <w:rPr>
          <w:rFonts w:ascii="Times New Roman" w:hAnsi="Times New Roman" w:cs="Times New Roman"/>
          <w:sz w:val="24"/>
          <w:szCs w:val="24"/>
        </w:rPr>
        <w:t xml:space="preserve"> water supply intake</w:t>
      </w:r>
      <w:r w:rsidRPr="005968DD">
        <w:rPr>
          <w:rFonts w:ascii="Times New Roman" w:hAnsi="Times New Roman" w:cs="Times New Roman"/>
          <w:sz w:val="24"/>
          <w:szCs w:val="24"/>
        </w:rPr>
        <w:t xml:space="preserve"> were selected as key hydrologic indicators for use in evaluating the relative effects of the alternatives.</w:t>
      </w:r>
    </w:p>
    <w:p w14:paraId="76344AF3" w14:textId="77777777" w:rsidR="005968DD" w:rsidRDefault="005968DD" w:rsidP="00194C06">
      <w:pPr>
        <w:spacing w:after="0" w:line="240" w:lineRule="auto"/>
        <w:rPr>
          <w:rFonts w:ascii="Times New Roman" w:hAnsi="Times New Roman" w:cs="Times New Roman"/>
          <w:sz w:val="24"/>
          <w:szCs w:val="24"/>
        </w:rPr>
      </w:pPr>
    </w:p>
    <w:p w14:paraId="4F2C4C2E" w14:textId="77777777" w:rsidR="00A44F70" w:rsidRPr="00A44F70" w:rsidRDefault="00A44F70" w:rsidP="00A44F70">
      <w:pPr>
        <w:spacing w:after="0" w:line="240" w:lineRule="auto"/>
        <w:rPr>
          <w:rFonts w:ascii="Times New Roman" w:hAnsi="Times New Roman" w:cs="Times New Roman"/>
          <w:sz w:val="24"/>
          <w:szCs w:val="24"/>
        </w:rPr>
      </w:pPr>
      <w:r w:rsidRPr="00A44F70">
        <w:rPr>
          <w:rFonts w:ascii="Times New Roman" w:hAnsi="Times New Roman" w:cs="Times New Roman"/>
          <w:sz w:val="24"/>
          <w:szCs w:val="24"/>
        </w:rPr>
        <w:t xml:space="preserve">The source for </w:t>
      </w:r>
      <w:proofErr w:type="gramStart"/>
      <w:r w:rsidRPr="00A44F70">
        <w:rPr>
          <w:rFonts w:ascii="Times New Roman" w:hAnsi="Times New Roman" w:cs="Times New Roman"/>
          <w:sz w:val="24"/>
          <w:szCs w:val="24"/>
        </w:rPr>
        <w:t>all of</w:t>
      </w:r>
      <w:proofErr w:type="gramEnd"/>
      <w:r w:rsidRPr="00A44F70">
        <w:rPr>
          <w:rFonts w:ascii="Times New Roman" w:hAnsi="Times New Roman" w:cs="Times New Roman"/>
          <w:sz w:val="24"/>
          <w:szCs w:val="24"/>
        </w:rPr>
        <w:t xml:space="preserve"> the petitioners’ water is the water supply pool of Jordan Lake. The water supply pool is operated entirely separate from the low</w:t>
      </w:r>
      <w:r w:rsidR="00183FD7">
        <w:rPr>
          <w:rFonts w:ascii="Times New Roman" w:hAnsi="Times New Roman" w:cs="Times New Roman"/>
          <w:sz w:val="24"/>
          <w:szCs w:val="24"/>
        </w:rPr>
        <w:t>-</w:t>
      </w:r>
      <w:r w:rsidRPr="00A44F70">
        <w:rPr>
          <w:rFonts w:ascii="Times New Roman" w:hAnsi="Times New Roman" w:cs="Times New Roman"/>
          <w:sz w:val="24"/>
          <w:szCs w:val="24"/>
        </w:rPr>
        <w:t>flow augmentation pool. The low</w:t>
      </w:r>
      <w:r w:rsidR="00183FD7">
        <w:rPr>
          <w:rFonts w:ascii="Times New Roman" w:hAnsi="Times New Roman" w:cs="Times New Roman"/>
          <w:sz w:val="24"/>
          <w:szCs w:val="24"/>
        </w:rPr>
        <w:t>-</w:t>
      </w:r>
      <w:r w:rsidRPr="00A44F70">
        <w:rPr>
          <w:rFonts w:ascii="Times New Roman" w:hAnsi="Times New Roman" w:cs="Times New Roman"/>
          <w:sz w:val="24"/>
          <w:szCs w:val="24"/>
        </w:rPr>
        <w:t>flow augmentation pool, not the water supply pool, is dedicated to maintaining flows in the Cape Fear River downstream of Jordan</w:t>
      </w:r>
      <w:r>
        <w:rPr>
          <w:rFonts w:ascii="Times New Roman" w:hAnsi="Times New Roman" w:cs="Times New Roman"/>
          <w:sz w:val="24"/>
          <w:szCs w:val="24"/>
        </w:rPr>
        <w:t xml:space="preserve"> </w:t>
      </w:r>
      <w:r w:rsidRPr="00A44F70">
        <w:rPr>
          <w:rFonts w:ascii="Times New Roman" w:hAnsi="Times New Roman" w:cs="Times New Roman"/>
          <w:sz w:val="24"/>
          <w:szCs w:val="24"/>
        </w:rPr>
        <w:t xml:space="preserve">Lake dam. Therefore, the petitioners’ water supply withdrawals will have no significant impact on the downstream flows as demonstrated </w:t>
      </w:r>
      <w:r w:rsidR="00EB7550">
        <w:rPr>
          <w:rFonts w:ascii="Times New Roman" w:hAnsi="Times New Roman" w:cs="Times New Roman"/>
          <w:sz w:val="24"/>
          <w:szCs w:val="24"/>
        </w:rPr>
        <w:t xml:space="preserve">by </w:t>
      </w:r>
      <w:r w:rsidRPr="00A44F70">
        <w:rPr>
          <w:rFonts w:ascii="Times New Roman" w:hAnsi="Times New Roman" w:cs="Times New Roman"/>
          <w:sz w:val="24"/>
          <w:szCs w:val="24"/>
        </w:rPr>
        <w:t xml:space="preserve">the model. </w:t>
      </w:r>
      <w:r w:rsidR="00183FD7">
        <w:rPr>
          <w:rFonts w:ascii="Times New Roman" w:hAnsi="Times New Roman" w:cs="Times New Roman"/>
          <w:sz w:val="24"/>
          <w:szCs w:val="24"/>
        </w:rPr>
        <w:t xml:space="preserve"> Modeling results </w:t>
      </w:r>
      <w:r w:rsidRPr="00A44F70">
        <w:rPr>
          <w:rFonts w:ascii="Times New Roman" w:hAnsi="Times New Roman" w:cs="Times New Roman"/>
          <w:sz w:val="24"/>
          <w:szCs w:val="24"/>
        </w:rPr>
        <w:t xml:space="preserve">showed that the proposed transfer will not have any significant impact on Jordan Lake </w:t>
      </w:r>
      <w:r w:rsidRPr="00A44F70">
        <w:rPr>
          <w:rFonts w:ascii="Times New Roman" w:hAnsi="Times New Roman" w:cs="Times New Roman"/>
          <w:sz w:val="24"/>
          <w:szCs w:val="24"/>
        </w:rPr>
        <w:lastRenderedPageBreak/>
        <w:t>surface water elevation, minimum releases</w:t>
      </w:r>
      <w:r>
        <w:rPr>
          <w:rFonts w:ascii="Times New Roman" w:hAnsi="Times New Roman" w:cs="Times New Roman"/>
          <w:sz w:val="24"/>
          <w:szCs w:val="24"/>
        </w:rPr>
        <w:t xml:space="preserve"> </w:t>
      </w:r>
      <w:r w:rsidRPr="00A44F70">
        <w:rPr>
          <w:rFonts w:ascii="Times New Roman" w:hAnsi="Times New Roman" w:cs="Times New Roman"/>
          <w:sz w:val="24"/>
          <w:szCs w:val="24"/>
        </w:rPr>
        <w:t xml:space="preserve">from the dam, </w:t>
      </w:r>
      <w:r w:rsidR="006766B5">
        <w:rPr>
          <w:rFonts w:ascii="Times New Roman" w:hAnsi="Times New Roman" w:cs="Times New Roman"/>
          <w:sz w:val="24"/>
          <w:szCs w:val="24"/>
        </w:rPr>
        <w:t xml:space="preserve">or </w:t>
      </w:r>
      <w:r w:rsidR="00183FD7">
        <w:rPr>
          <w:rFonts w:ascii="Times New Roman" w:hAnsi="Times New Roman" w:cs="Times New Roman"/>
          <w:sz w:val="24"/>
          <w:szCs w:val="24"/>
        </w:rPr>
        <w:t xml:space="preserve">low-flow augmentation </w:t>
      </w:r>
      <w:r w:rsidR="001B0FAD">
        <w:rPr>
          <w:rFonts w:ascii="Times New Roman" w:hAnsi="Times New Roman" w:cs="Times New Roman"/>
          <w:sz w:val="24"/>
          <w:szCs w:val="24"/>
        </w:rPr>
        <w:t xml:space="preserve">pool levels </w:t>
      </w:r>
      <w:r w:rsidRPr="00A44F70">
        <w:rPr>
          <w:rFonts w:ascii="Times New Roman" w:hAnsi="Times New Roman" w:cs="Times New Roman"/>
          <w:sz w:val="24"/>
          <w:szCs w:val="24"/>
        </w:rPr>
        <w:t xml:space="preserve">compared to the other alternatives and to present conditions </w:t>
      </w:r>
      <w:r w:rsidRPr="00E34ABB">
        <w:rPr>
          <w:rFonts w:ascii="Times New Roman" w:hAnsi="Times New Roman" w:cs="Times New Roman"/>
          <w:sz w:val="24"/>
          <w:szCs w:val="24"/>
        </w:rPr>
        <w:t xml:space="preserve">(see </w:t>
      </w:r>
      <w:r w:rsidR="001C769A" w:rsidRPr="00786C44">
        <w:rPr>
          <w:rFonts w:ascii="Times New Roman" w:hAnsi="Times New Roman" w:cs="Times New Roman"/>
          <w:sz w:val="24"/>
          <w:szCs w:val="24"/>
        </w:rPr>
        <w:t>Table</w:t>
      </w:r>
      <w:r w:rsidR="001B0FAD" w:rsidRPr="00786C44">
        <w:rPr>
          <w:rFonts w:ascii="Times New Roman" w:hAnsi="Times New Roman" w:cs="Times New Roman"/>
          <w:sz w:val="24"/>
          <w:szCs w:val="24"/>
        </w:rPr>
        <w:t>s</w:t>
      </w:r>
      <w:r w:rsidR="001C769A" w:rsidRPr="00786C44">
        <w:rPr>
          <w:rFonts w:ascii="Times New Roman" w:hAnsi="Times New Roman" w:cs="Times New Roman"/>
          <w:sz w:val="24"/>
          <w:szCs w:val="24"/>
        </w:rPr>
        <w:t xml:space="preserve"> 5, 6, 7, </w:t>
      </w:r>
      <w:r w:rsidR="001B0FAD" w:rsidRPr="00786C44">
        <w:rPr>
          <w:rFonts w:ascii="Times New Roman" w:hAnsi="Times New Roman" w:cs="Times New Roman"/>
          <w:sz w:val="24"/>
          <w:szCs w:val="24"/>
        </w:rPr>
        <w:t xml:space="preserve">8, and 9 in </w:t>
      </w:r>
      <w:r w:rsidR="001C769A" w:rsidRPr="00786C44">
        <w:rPr>
          <w:rFonts w:ascii="Times New Roman" w:hAnsi="Times New Roman" w:cs="Times New Roman"/>
          <w:sz w:val="24"/>
          <w:szCs w:val="24"/>
        </w:rPr>
        <w:t>Appendix D</w:t>
      </w:r>
      <w:r w:rsidRPr="00E34ABB">
        <w:rPr>
          <w:rFonts w:ascii="Times New Roman" w:hAnsi="Times New Roman" w:cs="Times New Roman"/>
          <w:sz w:val="24"/>
          <w:szCs w:val="24"/>
        </w:rPr>
        <w:t xml:space="preserve"> </w:t>
      </w:r>
      <w:r w:rsidR="001C769A" w:rsidRPr="00786C44">
        <w:rPr>
          <w:rFonts w:ascii="Times New Roman" w:hAnsi="Times New Roman" w:cs="Times New Roman"/>
          <w:sz w:val="24"/>
          <w:szCs w:val="24"/>
        </w:rPr>
        <w:t>of</w:t>
      </w:r>
      <w:r w:rsidRPr="00E34ABB">
        <w:rPr>
          <w:rFonts w:ascii="Times New Roman" w:hAnsi="Times New Roman" w:cs="Times New Roman"/>
          <w:sz w:val="24"/>
          <w:szCs w:val="24"/>
        </w:rPr>
        <w:t xml:space="preserve"> the</w:t>
      </w:r>
      <w:r w:rsidR="001C4F71">
        <w:rPr>
          <w:rFonts w:ascii="Times New Roman" w:hAnsi="Times New Roman" w:cs="Times New Roman"/>
          <w:sz w:val="24"/>
          <w:szCs w:val="24"/>
        </w:rPr>
        <w:t xml:space="preserve"> Environmental Assessment</w:t>
      </w:r>
      <w:r w:rsidRPr="00E34ABB">
        <w:rPr>
          <w:rFonts w:ascii="Times New Roman" w:hAnsi="Times New Roman" w:cs="Times New Roman"/>
          <w:sz w:val="24"/>
          <w:szCs w:val="24"/>
        </w:rPr>
        <w:t xml:space="preserve"> </w:t>
      </w:r>
      <w:r w:rsidR="001C4F71">
        <w:rPr>
          <w:rFonts w:ascii="Times New Roman" w:hAnsi="Times New Roman" w:cs="Times New Roman"/>
          <w:sz w:val="24"/>
          <w:szCs w:val="24"/>
        </w:rPr>
        <w:t>(</w:t>
      </w:r>
      <w:r w:rsidRPr="00E34ABB">
        <w:rPr>
          <w:rFonts w:ascii="Times New Roman" w:hAnsi="Times New Roman" w:cs="Times New Roman"/>
          <w:sz w:val="24"/>
          <w:szCs w:val="24"/>
        </w:rPr>
        <w:t>EA)</w:t>
      </w:r>
      <w:r w:rsidR="001C4F71">
        <w:rPr>
          <w:rFonts w:ascii="Times New Roman" w:hAnsi="Times New Roman" w:cs="Times New Roman"/>
          <w:sz w:val="24"/>
          <w:szCs w:val="24"/>
        </w:rPr>
        <w:t>)</w:t>
      </w:r>
      <w:r w:rsidRPr="00E34ABB">
        <w:rPr>
          <w:rFonts w:ascii="Times New Roman" w:hAnsi="Times New Roman" w:cs="Times New Roman"/>
          <w:sz w:val="24"/>
          <w:szCs w:val="24"/>
        </w:rPr>
        <w:t>.</w:t>
      </w:r>
      <w:r w:rsidRPr="00A44F70">
        <w:rPr>
          <w:rFonts w:ascii="Times New Roman" w:hAnsi="Times New Roman" w:cs="Times New Roman"/>
          <w:sz w:val="24"/>
          <w:szCs w:val="24"/>
        </w:rPr>
        <w:t xml:space="preserve"> </w:t>
      </w:r>
      <w:r w:rsidR="001B0FAD">
        <w:rPr>
          <w:rFonts w:ascii="Times New Roman" w:hAnsi="Times New Roman" w:cs="Times New Roman"/>
          <w:sz w:val="24"/>
          <w:szCs w:val="24"/>
        </w:rPr>
        <w:t xml:space="preserve"> </w:t>
      </w:r>
    </w:p>
    <w:p w14:paraId="71735CF2" w14:textId="77777777" w:rsidR="00A44F70" w:rsidRDefault="00A44F70" w:rsidP="00712B65">
      <w:pPr>
        <w:spacing w:after="0" w:line="240" w:lineRule="auto"/>
        <w:rPr>
          <w:rFonts w:ascii="Times New Roman" w:hAnsi="Times New Roman" w:cs="Times New Roman"/>
          <w:sz w:val="24"/>
          <w:szCs w:val="24"/>
        </w:rPr>
      </w:pPr>
    </w:p>
    <w:p w14:paraId="71C1A0C1" w14:textId="77777777" w:rsidR="007E0AA8" w:rsidRPr="007E0AA8" w:rsidRDefault="007E0AA8" w:rsidP="007E0AA8">
      <w:pPr>
        <w:spacing w:after="0" w:line="240" w:lineRule="auto"/>
        <w:rPr>
          <w:rFonts w:ascii="Times New Roman" w:hAnsi="Times New Roman" w:cs="Times New Roman"/>
          <w:sz w:val="24"/>
          <w:szCs w:val="24"/>
        </w:rPr>
      </w:pPr>
      <w:r w:rsidRPr="007E0AA8">
        <w:rPr>
          <w:rFonts w:ascii="Times New Roman" w:hAnsi="Times New Roman" w:cs="Times New Roman"/>
          <w:sz w:val="24"/>
          <w:szCs w:val="24"/>
        </w:rPr>
        <w:t xml:space="preserve">Approximately two-thirds of Jordan Lake's conservation storage is dedicated to maintaining minimum flows in the Cape Fear River, compared with the one-third dedicated to water supply. Downstream users benefit from this low-flow augmentation pool without requiring a Jordan Lake allocation and at no cost. Upstream users do not benefit from the low flow augmentation pool. The historic low flow of the Cape Fear River at Lillington was 75 </w:t>
      </w:r>
      <w:r w:rsidR="006766B5">
        <w:rPr>
          <w:rFonts w:ascii="Times New Roman" w:hAnsi="Times New Roman" w:cs="Times New Roman"/>
          <w:sz w:val="24"/>
          <w:szCs w:val="24"/>
        </w:rPr>
        <w:t>cubic feet per second (</w:t>
      </w:r>
      <w:proofErr w:type="spellStart"/>
      <w:r w:rsidRPr="007E0AA8">
        <w:rPr>
          <w:rFonts w:ascii="Times New Roman" w:hAnsi="Times New Roman" w:cs="Times New Roman"/>
          <w:sz w:val="24"/>
          <w:szCs w:val="24"/>
        </w:rPr>
        <w:t>cfs</w:t>
      </w:r>
      <w:proofErr w:type="spellEnd"/>
      <w:r w:rsidR="006766B5">
        <w:rPr>
          <w:rFonts w:ascii="Times New Roman" w:hAnsi="Times New Roman" w:cs="Times New Roman"/>
          <w:sz w:val="24"/>
          <w:szCs w:val="24"/>
        </w:rPr>
        <w:t>)</w:t>
      </w:r>
      <w:r w:rsidRPr="007E0AA8">
        <w:rPr>
          <w:rFonts w:ascii="Times New Roman" w:hAnsi="Times New Roman" w:cs="Times New Roman"/>
          <w:sz w:val="24"/>
          <w:szCs w:val="24"/>
        </w:rPr>
        <w:t xml:space="preserve"> prior to regulation by Jordan Dam. The target flow at Lillington is now 600 </w:t>
      </w:r>
      <w:proofErr w:type="spellStart"/>
      <w:r w:rsidRPr="007E0AA8">
        <w:rPr>
          <w:rFonts w:ascii="Times New Roman" w:hAnsi="Times New Roman" w:cs="Times New Roman"/>
          <w:sz w:val="24"/>
          <w:szCs w:val="24"/>
        </w:rPr>
        <w:t>cfs</w:t>
      </w:r>
      <w:proofErr w:type="spellEnd"/>
      <w:r w:rsidRPr="007E0AA8">
        <w:rPr>
          <w:rFonts w:ascii="Times New Roman" w:hAnsi="Times New Roman" w:cs="Times New Roman"/>
          <w:sz w:val="24"/>
          <w:szCs w:val="24"/>
        </w:rPr>
        <w:t xml:space="preserve"> </w:t>
      </w:r>
      <w:r w:rsidR="00B82290">
        <w:rPr>
          <w:rFonts w:ascii="Times New Roman" w:hAnsi="Times New Roman" w:cs="Times New Roman"/>
          <w:sz w:val="24"/>
          <w:szCs w:val="24"/>
        </w:rPr>
        <w:t>±</w:t>
      </w:r>
      <w:r w:rsidRPr="007E0AA8">
        <w:rPr>
          <w:rFonts w:ascii="Times New Roman" w:hAnsi="Times New Roman" w:cs="Times New Roman"/>
          <w:sz w:val="24"/>
          <w:szCs w:val="24"/>
        </w:rPr>
        <w:t xml:space="preserve"> 50 </w:t>
      </w:r>
      <w:proofErr w:type="spellStart"/>
      <w:r w:rsidRPr="007E0AA8">
        <w:rPr>
          <w:rFonts w:ascii="Times New Roman" w:hAnsi="Times New Roman" w:cs="Times New Roman"/>
          <w:sz w:val="24"/>
          <w:szCs w:val="24"/>
        </w:rPr>
        <w:t>cfs</w:t>
      </w:r>
      <w:proofErr w:type="spellEnd"/>
      <w:r w:rsidRPr="007E0AA8">
        <w:rPr>
          <w:rFonts w:ascii="Times New Roman" w:hAnsi="Times New Roman" w:cs="Times New Roman"/>
          <w:sz w:val="24"/>
          <w:szCs w:val="24"/>
        </w:rPr>
        <w:t xml:space="preserve">, supported by the low flow augmentation pool of Jordan Lake. This target flow is equivalent to 388 </w:t>
      </w:r>
      <w:r w:rsidR="00656C7F">
        <w:rPr>
          <w:rFonts w:ascii="Times New Roman" w:hAnsi="Times New Roman" w:cs="Times New Roman"/>
          <w:sz w:val="24"/>
          <w:szCs w:val="24"/>
        </w:rPr>
        <w:t>MGD</w:t>
      </w:r>
      <w:r w:rsidRPr="007E0AA8">
        <w:rPr>
          <w:rFonts w:ascii="Times New Roman" w:hAnsi="Times New Roman" w:cs="Times New Roman"/>
          <w:sz w:val="24"/>
          <w:szCs w:val="24"/>
        </w:rPr>
        <w:t>.  Even allowing for instream flow requirements</w:t>
      </w:r>
      <w:r w:rsidR="00656C7F">
        <w:rPr>
          <w:rFonts w:ascii="Times New Roman" w:hAnsi="Times New Roman" w:cs="Times New Roman"/>
          <w:sz w:val="24"/>
          <w:szCs w:val="24"/>
        </w:rPr>
        <w:t xml:space="preserve"> at water supply intakes</w:t>
      </w:r>
      <w:r w:rsidRPr="007E0AA8">
        <w:rPr>
          <w:rFonts w:ascii="Times New Roman" w:hAnsi="Times New Roman" w:cs="Times New Roman"/>
          <w:sz w:val="24"/>
          <w:szCs w:val="24"/>
        </w:rPr>
        <w:t xml:space="preserve"> for </w:t>
      </w:r>
      <w:r w:rsidR="00656C7F">
        <w:rPr>
          <w:rFonts w:ascii="Times New Roman" w:hAnsi="Times New Roman" w:cs="Times New Roman"/>
          <w:sz w:val="24"/>
          <w:szCs w:val="24"/>
        </w:rPr>
        <w:t xml:space="preserve">aquatic wildlife </w:t>
      </w:r>
      <w:r w:rsidRPr="007E0AA8">
        <w:rPr>
          <w:rFonts w:ascii="Times New Roman" w:hAnsi="Times New Roman" w:cs="Times New Roman"/>
          <w:sz w:val="24"/>
          <w:szCs w:val="24"/>
        </w:rPr>
        <w:t xml:space="preserve">habitat, an enormous amount of water is available to downstream users. Between Lillington and Lock &amp; Dam #3, below Fayetteville, there are three public water systems that withdraw water from the Cape Fear River: Dunn, Harnett County Regional Water, and Fayetteville PWC. Based on data used to review </w:t>
      </w:r>
      <w:proofErr w:type="spellStart"/>
      <w:r w:rsidRPr="007E0AA8">
        <w:rPr>
          <w:rFonts w:ascii="Times New Roman" w:hAnsi="Times New Roman" w:cs="Times New Roman"/>
          <w:sz w:val="24"/>
          <w:szCs w:val="24"/>
        </w:rPr>
        <w:t>basinwide</w:t>
      </w:r>
      <w:proofErr w:type="spellEnd"/>
      <w:r w:rsidRPr="007E0AA8">
        <w:rPr>
          <w:rFonts w:ascii="Times New Roman" w:hAnsi="Times New Roman" w:cs="Times New Roman"/>
          <w:sz w:val="24"/>
          <w:szCs w:val="24"/>
        </w:rPr>
        <w:t xml:space="preserve"> water demands in the review of requests for water supply allocations from Jordan Lake, the estimated combined demands for these systems in 2045 is 99 </w:t>
      </w:r>
      <w:r w:rsidR="00656C7F">
        <w:rPr>
          <w:rFonts w:ascii="Times New Roman" w:hAnsi="Times New Roman" w:cs="Times New Roman"/>
          <w:sz w:val="24"/>
          <w:szCs w:val="24"/>
        </w:rPr>
        <w:t>MGD</w:t>
      </w:r>
      <w:r w:rsidRPr="007E0AA8">
        <w:rPr>
          <w:rFonts w:ascii="Times New Roman" w:hAnsi="Times New Roman" w:cs="Times New Roman"/>
          <w:sz w:val="24"/>
          <w:szCs w:val="24"/>
        </w:rPr>
        <w:t xml:space="preserve">.  These water systems return almost 80% of the cumulative withdrawals as treated wastewater resulting in an estimated cumulative net withdrawal of about 22 </w:t>
      </w:r>
      <w:r w:rsidR="00656C7F">
        <w:rPr>
          <w:rFonts w:ascii="Times New Roman" w:hAnsi="Times New Roman" w:cs="Times New Roman"/>
          <w:sz w:val="24"/>
          <w:szCs w:val="24"/>
        </w:rPr>
        <w:t>MGD</w:t>
      </w:r>
      <w:r w:rsidRPr="007E0AA8">
        <w:rPr>
          <w:rFonts w:ascii="Times New Roman" w:hAnsi="Times New Roman" w:cs="Times New Roman"/>
          <w:sz w:val="24"/>
          <w:szCs w:val="24"/>
        </w:rPr>
        <w:t xml:space="preserve">. The target flow of 388 </w:t>
      </w:r>
      <w:r w:rsidR="00656C7F">
        <w:rPr>
          <w:rFonts w:ascii="Times New Roman" w:hAnsi="Times New Roman" w:cs="Times New Roman"/>
          <w:sz w:val="24"/>
          <w:szCs w:val="24"/>
        </w:rPr>
        <w:t>MGD</w:t>
      </w:r>
      <w:r w:rsidRPr="007E0AA8">
        <w:rPr>
          <w:rFonts w:ascii="Times New Roman" w:hAnsi="Times New Roman" w:cs="Times New Roman"/>
          <w:sz w:val="24"/>
          <w:szCs w:val="24"/>
        </w:rPr>
        <w:t xml:space="preserve"> is almost 4 times as great as the </w:t>
      </w:r>
      <w:r w:rsidR="00656C7F">
        <w:rPr>
          <w:rFonts w:ascii="Times New Roman" w:hAnsi="Times New Roman" w:cs="Times New Roman"/>
          <w:sz w:val="24"/>
          <w:szCs w:val="24"/>
        </w:rPr>
        <w:t xml:space="preserve">total </w:t>
      </w:r>
      <w:r w:rsidRPr="007E0AA8">
        <w:rPr>
          <w:rFonts w:ascii="Times New Roman" w:hAnsi="Times New Roman" w:cs="Times New Roman"/>
          <w:sz w:val="24"/>
          <w:szCs w:val="24"/>
        </w:rPr>
        <w:t>projected municipal water supply demand</w:t>
      </w:r>
      <w:r w:rsidR="00DF7456">
        <w:rPr>
          <w:rFonts w:ascii="Times New Roman" w:hAnsi="Times New Roman" w:cs="Times New Roman"/>
          <w:sz w:val="24"/>
          <w:szCs w:val="24"/>
        </w:rPr>
        <w:t xml:space="preserve"> downstream of the Lillington gage</w:t>
      </w:r>
      <w:r w:rsidRPr="007E0AA8">
        <w:rPr>
          <w:rFonts w:ascii="Times New Roman" w:hAnsi="Times New Roman" w:cs="Times New Roman"/>
          <w:sz w:val="24"/>
          <w:szCs w:val="24"/>
        </w:rPr>
        <w:t xml:space="preserve">.  Target flows at Lillington and Fayetteville for the various model scenarios are illustrated by flow duration curves in Figures </w:t>
      </w:r>
      <w:r w:rsidR="001C4F71">
        <w:rPr>
          <w:rFonts w:ascii="Times New Roman" w:hAnsi="Times New Roman" w:cs="Times New Roman"/>
          <w:sz w:val="24"/>
          <w:szCs w:val="24"/>
        </w:rPr>
        <w:t>28 and 29 in Appendix D of the EA</w:t>
      </w:r>
      <w:r w:rsidRPr="007E0AA8">
        <w:rPr>
          <w:rFonts w:ascii="Times New Roman" w:hAnsi="Times New Roman" w:cs="Times New Roman"/>
          <w:sz w:val="24"/>
          <w:szCs w:val="24"/>
        </w:rPr>
        <w:t>.</w:t>
      </w:r>
    </w:p>
    <w:p w14:paraId="2C40FB3C" w14:textId="77777777" w:rsidR="0022719D" w:rsidRDefault="0022719D" w:rsidP="00856A94">
      <w:pPr>
        <w:spacing w:after="0" w:line="240" w:lineRule="auto"/>
        <w:rPr>
          <w:rFonts w:ascii="Times New Roman" w:hAnsi="Times New Roman" w:cs="Times New Roman"/>
          <w:sz w:val="24"/>
          <w:szCs w:val="24"/>
        </w:rPr>
      </w:pPr>
    </w:p>
    <w:p w14:paraId="53F2EEA8" w14:textId="77777777" w:rsidR="0022719D" w:rsidRPr="0022719D" w:rsidRDefault="0022719D" w:rsidP="002271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5968DD">
        <w:rPr>
          <w:rFonts w:ascii="Times New Roman" w:hAnsi="Times New Roman" w:cs="Times New Roman"/>
          <w:sz w:val="24"/>
          <w:szCs w:val="24"/>
        </w:rPr>
        <w:t>2</w:t>
      </w:r>
      <w:r w:rsidRPr="0022719D">
        <w:rPr>
          <w:rFonts w:ascii="Times New Roman" w:hAnsi="Times New Roman" w:cs="Times New Roman"/>
          <w:sz w:val="24"/>
          <w:szCs w:val="24"/>
        </w:rPr>
        <w:t xml:space="preserve"> presents results showing the frequency with which the </w:t>
      </w:r>
      <w:r w:rsidR="00220320">
        <w:rPr>
          <w:rFonts w:ascii="Times New Roman" w:hAnsi="Times New Roman" w:cs="Times New Roman"/>
          <w:sz w:val="24"/>
          <w:szCs w:val="24"/>
        </w:rPr>
        <w:t>key hydrologic indicators</w:t>
      </w:r>
      <w:r w:rsidRPr="0022719D">
        <w:rPr>
          <w:rFonts w:ascii="Times New Roman" w:hAnsi="Times New Roman" w:cs="Times New Roman"/>
          <w:sz w:val="24"/>
          <w:szCs w:val="24"/>
        </w:rPr>
        <w:t xml:space="preserve"> occur</w:t>
      </w:r>
      <w:r w:rsidR="00326FBA">
        <w:rPr>
          <w:rFonts w:ascii="Times New Roman" w:hAnsi="Times New Roman" w:cs="Times New Roman"/>
          <w:sz w:val="24"/>
          <w:szCs w:val="24"/>
        </w:rPr>
        <w:t xml:space="preserve"> </w:t>
      </w:r>
      <w:r w:rsidR="004A6698">
        <w:rPr>
          <w:rFonts w:ascii="Times New Roman" w:hAnsi="Times New Roman" w:cs="Times New Roman"/>
          <w:sz w:val="24"/>
          <w:szCs w:val="24"/>
        </w:rPr>
        <w:t>over</w:t>
      </w:r>
      <w:r w:rsidRPr="0022719D">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22719D">
        <w:rPr>
          <w:rFonts w:ascii="Times New Roman" w:hAnsi="Times New Roman" w:cs="Times New Roman"/>
          <w:sz w:val="24"/>
          <w:szCs w:val="24"/>
        </w:rPr>
        <w:t>entire period of record</w:t>
      </w:r>
      <w:r w:rsidR="003610B5">
        <w:rPr>
          <w:rFonts w:ascii="Times New Roman" w:hAnsi="Times New Roman" w:cs="Times New Roman"/>
          <w:sz w:val="24"/>
          <w:szCs w:val="24"/>
        </w:rPr>
        <w:t xml:space="preserve"> (</w:t>
      </w:r>
      <w:r w:rsidR="003610B5" w:rsidRPr="003610B5">
        <w:rPr>
          <w:rFonts w:ascii="Times New Roman" w:hAnsi="Times New Roman" w:cs="Times New Roman"/>
          <w:sz w:val="24"/>
          <w:szCs w:val="24"/>
        </w:rPr>
        <w:t>January 1930 through September 2011</w:t>
      </w:r>
      <w:r w:rsidR="003610B5">
        <w:rPr>
          <w:rFonts w:ascii="Times New Roman" w:hAnsi="Times New Roman" w:cs="Times New Roman"/>
          <w:sz w:val="24"/>
          <w:szCs w:val="24"/>
        </w:rPr>
        <w:t>)</w:t>
      </w:r>
      <w:r w:rsidR="004A2605">
        <w:rPr>
          <w:rFonts w:ascii="Times New Roman" w:hAnsi="Times New Roman" w:cs="Times New Roman"/>
          <w:sz w:val="24"/>
          <w:szCs w:val="24"/>
        </w:rPr>
        <w:t>, for each model scenario.</w:t>
      </w:r>
    </w:p>
    <w:p w14:paraId="29BA9646" w14:textId="77777777" w:rsidR="004A2605" w:rsidRDefault="004A2605">
      <w:pPr>
        <w:rPr>
          <w:rFonts w:ascii="Times New Roman" w:hAnsi="Times New Roman" w:cs="Times New Roman"/>
          <w:sz w:val="24"/>
          <w:szCs w:val="24"/>
        </w:rPr>
      </w:pPr>
      <w:r>
        <w:rPr>
          <w:rFonts w:ascii="Times New Roman" w:hAnsi="Times New Roman" w:cs="Times New Roman"/>
          <w:sz w:val="24"/>
          <w:szCs w:val="24"/>
        </w:rPr>
        <w:br w:type="page"/>
      </w:r>
    </w:p>
    <w:p w14:paraId="7623BCD7" w14:textId="77777777" w:rsidR="004A2605" w:rsidRPr="004A2605" w:rsidRDefault="004A2605" w:rsidP="00C97F52">
      <w:pPr>
        <w:widowControl w:val="0"/>
        <w:spacing w:after="0" w:line="240" w:lineRule="auto"/>
        <w:ind w:right="-20"/>
        <w:rPr>
          <w:rFonts w:ascii="Times New Roman" w:eastAsia="Arial Narrow" w:hAnsi="Times New Roman" w:cs="Times New Roman"/>
          <w:sz w:val="24"/>
          <w:szCs w:val="24"/>
        </w:rPr>
      </w:pPr>
      <w:r w:rsidRPr="004A2605">
        <w:rPr>
          <w:rFonts w:ascii="Times New Roman" w:eastAsia="Arial Narrow" w:hAnsi="Times New Roman" w:cs="Times New Roman"/>
          <w:b/>
          <w:bCs/>
          <w:sz w:val="24"/>
          <w:szCs w:val="24"/>
        </w:rPr>
        <w:lastRenderedPageBreak/>
        <w:t xml:space="preserve">Table </w:t>
      </w:r>
      <w:r w:rsidR="005968DD">
        <w:rPr>
          <w:rFonts w:ascii="Times New Roman" w:eastAsia="Arial Narrow" w:hAnsi="Times New Roman" w:cs="Times New Roman"/>
          <w:b/>
          <w:bCs/>
          <w:sz w:val="24"/>
          <w:szCs w:val="24"/>
        </w:rPr>
        <w:t>2</w:t>
      </w:r>
      <w:r w:rsidR="00C97F52">
        <w:rPr>
          <w:rFonts w:ascii="Times New Roman" w:eastAsia="Arial Narrow" w:hAnsi="Times New Roman" w:cs="Times New Roman"/>
          <w:b/>
          <w:bCs/>
          <w:sz w:val="24"/>
          <w:szCs w:val="24"/>
        </w:rPr>
        <w:t xml:space="preserve">. </w:t>
      </w:r>
    </w:p>
    <w:p w14:paraId="541073E6" w14:textId="77777777" w:rsidR="004A2605" w:rsidRPr="004E07CB" w:rsidRDefault="004A2605" w:rsidP="004E07CB">
      <w:pPr>
        <w:widowControl w:val="0"/>
        <w:spacing w:before="10" w:after="0" w:line="224" w:lineRule="exact"/>
        <w:ind w:right="-20"/>
        <w:rPr>
          <w:rFonts w:ascii="Arial Narrow" w:eastAsia="Arial Narrow" w:hAnsi="Arial Narrow" w:cs="Arial Narrow"/>
          <w:b/>
          <w:sz w:val="20"/>
          <w:szCs w:val="20"/>
        </w:rPr>
        <w:sectPr w:rsidR="004A2605" w:rsidRPr="004E07CB" w:rsidSect="004E07CB">
          <w:headerReference w:type="default" r:id="rId10"/>
          <w:footerReference w:type="even" r:id="rId11"/>
          <w:footerReference w:type="default" r:id="rId12"/>
          <w:pgSz w:w="12240" w:h="15840" w:code="1"/>
          <w:pgMar w:top="1440" w:right="1440" w:bottom="1440" w:left="1440" w:header="677" w:footer="590" w:gutter="0"/>
          <w:pgNumType w:start="0"/>
          <w:cols w:space="720"/>
          <w:titlePg/>
          <w:docGrid w:linePitch="299"/>
        </w:sectPr>
      </w:pPr>
      <w:r w:rsidRPr="00C97F52">
        <w:rPr>
          <w:rFonts w:ascii="Times New Roman" w:eastAsia="Arial Narrow" w:hAnsi="Times New Roman" w:cs="Times New Roman"/>
          <w:b/>
          <w:position w:val="-1"/>
          <w:sz w:val="24"/>
          <w:szCs w:val="24"/>
        </w:rPr>
        <w:t>Co</w:t>
      </w:r>
      <w:r w:rsidRPr="00C97F52">
        <w:rPr>
          <w:rFonts w:ascii="Times New Roman" w:eastAsia="Arial Narrow" w:hAnsi="Times New Roman" w:cs="Times New Roman"/>
          <w:b/>
          <w:spacing w:val="1"/>
          <w:position w:val="-1"/>
          <w:sz w:val="24"/>
          <w:szCs w:val="24"/>
        </w:rPr>
        <w:t>m</w:t>
      </w:r>
      <w:r w:rsidRPr="00C97F52">
        <w:rPr>
          <w:rFonts w:ascii="Times New Roman" w:eastAsia="Arial Narrow" w:hAnsi="Times New Roman" w:cs="Times New Roman"/>
          <w:b/>
          <w:position w:val="-1"/>
          <w:sz w:val="24"/>
          <w:szCs w:val="24"/>
        </w:rPr>
        <w:t>p</w:t>
      </w:r>
      <w:r w:rsidRPr="00C97F52">
        <w:rPr>
          <w:rFonts w:ascii="Times New Roman" w:eastAsia="Arial Narrow" w:hAnsi="Times New Roman" w:cs="Times New Roman"/>
          <w:b/>
          <w:spacing w:val="1"/>
          <w:position w:val="-1"/>
          <w:sz w:val="24"/>
          <w:szCs w:val="24"/>
        </w:rPr>
        <w:t>ar</w:t>
      </w:r>
      <w:r w:rsidRPr="00C97F52">
        <w:rPr>
          <w:rFonts w:ascii="Times New Roman" w:eastAsia="Arial Narrow" w:hAnsi="Times New Roman" w:cs="Times New Roman"/>
          <w:b/>
          <w:position w:val="-1"/>
          <w:sz w:val="24"/>
          <w:szCs w:val="24"/>
        </w:rPr>
        <w:t>ison</w:t>
      </w:r>
      <w:r w:rsidRPr="00C97F52">
        <w:rPr>
          <w:rFonts w:ascii="Times New Roman" w:eastAsia="Arial Narrow" w:hAnsi="Times New Roman" w:cs="Times New Roman"/>
          <w:b/>
          <w:spacing w:val="-9"/>
          <w:position w:val="-1"/>
          <w:sz w:val="24"/>
          <w:szCs w:val="24"/>
        </w:rPr>
        <w:t xml:space="preserve"> </w:t>
      </w:r>
      <w:r w:rsidRPr="00C97F52">
        <w:rPr>
          <w:rFonts w:ascii="Times New Roman" w:eastAsia="Arial Narrow" w:hAnsi="Times New Roman" w:cs="Times New Roman"/>
          <w:b/>
          <w:spacing w:val="1"/>
          <w:position w:val="-1"/>
          <w:sz w:val="24"/>
          <w:szCs w:val="24"/>
        </w:rPr>
        <w:t>o</w:t>
      </w:r>
      <w:r w:rsidRPr="00C97F52">
        <w:rPr>
          <w:rFonts w:ascii="Times New Roman" w:eastAsia="Arial Narrow" w:hAnsi="Times New Roman" w:cs="Times New Roman"/>
          <w:b/>
          <w:position w:val="-1"/>
          <w:sz w:val="24"/>
          <w:szCs w:val="24"/>
        </w:rPr>
        <w:t>f</w:t>
      </w:r>
      <w:r w:rsidRPr="00C97F52">
        <w:rPr>
          <w:rFonts w:ascii="Times New Roman" w:eastAsia="Arial Narrow" w:hAnsi="Times New Roman" w:cs="Times New Roman"/>
          <w:b/>
          <w:spacing w:val="-1"/>
          <w:position w:val="-1"/>
          <w:sz w:val="24"/>
          <w:szCs w:val="24"/>
        </w:rPr>
        <w:t xml:space="preserve"> </w:t>
      </w:r>
      <w:r w:rsidRPr="00C97F52">
        <w:rPr>
          <w:rFonts w:ascii="Times New Roman" w:eastAsia="Arial Narrow" w:hAnsi="Times New Roman" w:cs="Times New Roman"/>
          <w:b/>
          <w:position w:val="-1"/>
          <w:sz w:val="24"/>
          <w:szCs w:val="24"/>
        </w:rPr>
        <w:t>t</w:t>
      </w:r>
      <w:r w:rsidRPr="00C97F52">
        <w:rPr>
          <w:rFonts w:ascii="Times New Roman" w:eastAsia="Arial Narrow" w:hAnsi="Times New Roman" w:cs="Times New Roman"/>
          <w:b/>
          <w:spacing w:val="1"/>
          <w:position w:val="-1"/>
          <w:sz w:val="24"/>
          <w:szCs w:val="24"/>
        </w:rPr>
        <w:t>h</w:t>
      </w:r>
      <w:r w:rsidRPr="00C97F52">
        <w:rPr>
          <w:rFonts w:ascii="Times New Roman" w:eastAsia="Arial Narrow" w:hAnsi="Times New Roman" w:cs="Times New Roman"/>
          <w:b/>
          <w:position w:val="-1"/>
          <w:sz w:val="24"/>
          <w:szCs w:val="24"/>
        </w:rPr>
        <w:t>e</w:t>
      </w:r>
      <w:r w:rsidRPr="00C97F52">
        <w:rPr>
          <w:rFonts w:ascii="Times New Roman" w:eastAsia="Arial Narrow" w:hAnsi="Times New Roman" w:cs="Times New Roman"/>
          <w:b/>
          <w:spacing w:val="-1"/>
          <w:position w:val="-1"/>
          <w:sz w:val="24"/>
          <w:szCs w:val="24"/>
        </w:rPr>
        <w:t xml:space="preserve"> P</w:t>
      </w:r>
      <w:r w:rsidRPr="00C97F52">
        <w:rPr>
          <w:rFonts w:ascii="Times New Roman" w:eastAsia="Arial Narrow" w:hAnsi="Times New Roman" w:cs="Times New Roman"/>
          <w:b/>
          <w:position w:val="-1"/>
          <w:sz w:val="24"/>
          <w:szCs w:val="24"/>
        </w:rPr>
        <w:t>e</w:t>
      </w:r>
      <w:r w:rsidRPr="00C97F52">
        <w:rPr>
          <w:rFonts w:ascii="Times New Roman" w:eastAsia="Arial Narrow" w:hAnsi="Times New Roman" w:cs="Times New Roman"/>
          <w:b/>
          <w:spacing w:val="1"/>
          <w:position w:val="-1"/>
          <w:sz w:val="24"/>
          <w:szCs w:val="24"/>
        </w:rPr>
        <w:t>r</w:t>
      </w:r>
      <w:r w:rsidRPr="00C97F52">
        <w:rPr>
          <w:rFonts w:ascii="Times New Roman" w:eastAsia="Arial Narrow" w:hAnsi="Times New Roman" w:cs="Times New Roman"/>
          <w:b/>
          <w:position w:val="-1"/>
          <w:sz w:val="24"/>
          <w:szCs w:val="24"/>
        </w:rPr>
        <w:t>centa</w:t>
      </w:r>
      <w:r w:rsidRPr="00C97F52">
        <w:rPr>
          <w:rFonts w:ascii="Times New Roman" w:eastAsia="Arial Narrow" w:hAnsi="Times New Roman" w:cs="Times New Roman"/>
          <w:b/>
          <w:spacing w:val="1"/>
          <w:position w:val="-1"/>
          <w:sz w:val="24"/>
          <w:szCs w:val="24"/>
        </w:rPr>
        <w:t>g</w:t>
      </w:r>
      <w:r w:rsidRPr="00C97F52">
        <w:rPr>
          <w:rFonts w:ascii="Times New Roman" w:eastAsia="Arial Narrow" w:hAnsi="Times New Roman" w:cs="Times New Roman"/>
          <w:b/>
          <w:position w:val="-1"/>
          <w:sz w:val="24"/>
          <w:szCs w:val="24"/>
        </w:rPr>
        <w:t>e</w:t>
      </w:r>
      <w:r w:rsidRPr="00C97F52">
        <w:rPr>
          <w:rFonts w:ascii="Times New Roman" w:eastAsia="Arial Narrow" w:hAnsi="Times New Roman" w:cs="Times New Roman"/>
          <w:b/>
          <w:spacing w:val="-8"/>
          <w:position w:val="-1"/>
          <w:sz w:val="24"/>
          <w:szCs w:val="24"/>
        </w:rPr>
        <w:t xml:space="preserve"> </w:t>
      </w:r>
      <w:r w:rsidRPr="00C97F52">
        <w:rPr>
          <w:rFonts w:ascii="Times New Roman" w:eastAsia="Arial Narrow" w:hAnsi="Times New Roman" w:cs="Times New Roman"/>
          <w:b/>
          <w:spacing w:val="1"/>
          <w:position w:val="-1"/>
          <w:sz w:val="24"/>
          <w:szCs w:val="24"/>
        </w:rPr>
        <w:t>o</w:t>
      </w:r>
      <w:r w:rsidRPr="00C97F52">
        <w:rPr>
          <w:rFonts w:ascii="Times New Roman" w:eastAsia="Arial Narrow" w:hAnsi="Times New Roman" w:cs="Times New Roman"/>
          <w:b/>
          <w:position w:val="-1"/>
          <w:sz w:val="24"/>
          <w:szCs w:val="24"/>
        </w:rPr>
        <w:t>f</w:t>
      </w:r>
      <w:r w:rsidRPr="00C97F52">
        <w:rPr>
          <w:rFonts w:ascii="Times New Roman" w:eastAsia="Arial Narrow" w:hAnsi="Times New Roman" w:cs="Times New Roman"/>
          <w:b/>
          <w:spacing w:val="1"/>
          <w:position w:val="-1"/>
          <w:sz w:val="24"/>
          <w:szCs w:val="24"/>
        </w:rPr>
        <w:t xml:space="preserve"> </w:t>
      </w:r>
      <w:r w:rsidRPr="00C97F52">
        <w:rPr>
          <w:rFonts w:ascii="Times New Roman" w:eastAsia="Arial Narrow" w:hAnsi="Times New Roman" w:cs="Times New Roman"/>
          <w:b/>
          <w:position w:val="-1"/>
          <w:sz w:val="24"/>
          <w:szCs w:val="24"/>
        </w:rPr>
        <w:t>the</w:t>
      </w:r>
      <w:r w:rsidRPr="00C97F52">
        <w:rPr>
          <w:rFonts w:ascii="Times New Roman" w:eastAsia="Arial Narrow" w:hAnsi="Times New Roman" w:cs="Times New Roman"/>
          <w:b/>
          <w:spacing w:val="-1"/>
          <w:position w:val="-1"/>
          <w:sz w:val="24"/>
          <w:szCs w:val="24"/>
        </w:rPr>
        <w:t xml:space="preserve"> P</w:t>
      </w:r>
      <w:r w:rsidRPr="00C97F52">
        <w:rPr>
          <w:rFonts w:ascii="Times New Roman" w:eastAsia="Arial Narrow" w:hAnsi="Times New Roman" w:cs="Times New Roman"/>
          <w:b/>
          <w:position w:val="-1"/>
          <w:sz w:val="24"/>
          <w:szCs w:val="24"/>
        </w:rPr>
        <w:t>e</w:t>
      </w:r>
      <w:r w:rsidRPr="00C97F52">
        <w:rPr>
          <w:rFonts w:ascii="Times New Roman" w:eastAsia="Arial Narrow" w:hAnsi="Times New Roman" w:cs="Times New Roman"/>
          <w:b/>
          <w:spacing w:val="1"/>
          <w:position w:val="-1"/>
          <w:sz w:val="24"/>
          <w:szCs w:val="24"/>
        </w:rPr>
        <w:t>r</w:t>
      </w:r>
      <w:r w:rsidRPr="00C97F52">
        <w:rPr>
          <w:rFonts w:ascii="Times New Roman" w:eastAsia="Arial Narrow" w:hAnsi="Times New Roman" w:cs="Times New Roman"/>
          <w:b/>
          <w:position w:val="-1"/>
          <w:sz w:val="24"/>
          <w:szCs w:val="24"/>
        </w:rPr>
        <w:t>iod</w:t>
      </w:r>
      <w:r w:rsidRPr="00C97F52">
        <w:rPr>
          <w:rFonts w:ascii="Times New Roman" w:eastAsia="Arial Narrow" w:hAnsi="Times New Roman" w:cs="Times New Roman"/>
          <w:b/>
          <w:spacing w:val="-5"/>
          <w:position w:val="-1"/>
          <w:sz w:val="24"/>
          <w:szCs w:val="24"/>
        </w:rPr>
        <w:t xml:space="preserve"> </w:t>
      </w:r>
      <w:r w:rsidRPr="00C97F52">
        <w:rPr>
          <w:rFonts w:ascii="Times New Roman" w:eastAsia="Arial Narrow" w:hAnsi="Times New Roman" w:cs="Times New Roman"/>
          <w:b/>
          <w:position w:val="-1"/>
          <w:sz w:val="24"/>
          <w:szCs w:val="24"/>
        </w:rPr>
        <w:t>of</w:t>
      </w:r>
      <w:r w:rsidRPr="00C97F52">
        <w:rPr>
          <w:rFonts w:ascii="Times New Roman" w:eastAsia="Arial Narrow" w:hAnsi="Times New Roman" w:cs="Times New Roman"/>
          <w:b/>
          <w:spacing w:val="-1"/>
          <w:position w:val="-1"/>
          <w:sz w:val="24"/>
          <w:szCs w:val="24"/>
        </w:rPr>
        <w:t xml:space="preserve"> </w:t>
      </w:r>
      <w:r w:rsidRPr="00C97F52">
        <w:rPr>
          <w:rFonts w:ascii="Times New Roman" w:eastAsia="Arial Narrow" w:hAnsi="Times New Roman" w:cs="Times New Roman"/>
          <w:b/>
          <w:position w:val="-1"/>
          <w:sz w:val="24"/>
          <w:szCs w:val="24"/>
        </w:rPr>
        <w:t>Reco</w:t>
      </w:r>
      <w:r w:rsidRPr="00C97F52">
        <w:rPr>
          <w:rFonts w:ascii="Times New Roman" w:eastAsia="Arial Narrow" w:hAnsi="Times New Roman" w:cs="Times New Roman"/>
          <w:b/>
          <w:spacing w:val="1"/>
          <w:position w:val="-1"/>
          <w:sz w:val="24"/>
          <w:szCs w:val="24"/>
        </w:rPr>
        <w:t>r</w:t>
      </w:r>
      <w:r w:rsidRPr="00C97F52">
        <w:rPr>
          <w:rFonts w:ascii="Times New Roman" w:eastAsia="Arial Narrow" w:hAnsi="Times New Roman" w:cs="Times New Roman"/>
          <w:b/>
          <w:position w:val="-1"/>
          <w:sz w:val="24"/>
          <w:szCs w:val="24"/>
        </w:rPr>
        <w:t>d</w:t>
      </w:r>
      <w:r w:rsidRPr="00C97F52">
        <w:rPr>
          <w:rFonts w:ascii="Times New Roman" w:eastAsia="Arial Narrow" w:hAnsi="Times New Roman" w:cs="Times New Roman"/>
          <w:b/>
          <w:spacing w:val="-5"/>
          <w:position w:val="-1"/>
          <w:sz w:val="24"/>
          <w:szCs w:val="24"/>
        </w:rPr>
        <w:t xml:space="preserve"> </w:t>
      </w:r>
      <w:r w:rsidR="00040A4A" w:rsidRPr="00C97F52">
        <w:rPr>
          <w:rFonts w:ascii="Times New Roman" w:eastAsia="Arial Narrow" w:hAnsi="Times New Roman" w:cs="Times New Roman"/>
          <w:b/>
          <w:position w:val="-1"/>
          <w:sz w:val="24"/>
          <w:szCs w:val="24"/>
        </w:rPr>
        <w:t>below</w:t>
      </w:r>
      <w:r w:rsidRPr="00C97F52">
        <w:rPr>
          <w:rFonts w:ascii="Times New Roman" w:eastAsia="Arial Narrow" w:hAnsi="Times New Roman" w:cs="Times New Roman"/>
          <w:b/>
          <w:spacing w:val="-4"/>
          <w:position w:val="-1"/>
          <w:sz w:val="24"/>
          <w:szCs w:val="24"/>
        </w:rPr>
        <w:t xml:space="preserve"> </w:t>
      </w:r>
      <w:r w:rsidRPr="00C97F52">
        <w:rPr>
          <w:rFonts w:ascii="Times New Roman" w:eastAsia="Arial Narrow" w:hAnsi="Times New Roman" w:cs="Times New Roman"/>
          <w:b/>
          <w:position w:val="-1"/>
          <w:sz w:val="24"/>
          <w:szCs w:val="24"/>
        </w:rPr>
        <w:t>the</w:t>
      </w:r>
      <w:r w:rsidRPr="00C97F52">
        <w:rPr>
          <w:rFonts w:ascii="Times New Roman" w:eastAsia="Arial Narrow" w:hAnsi="Times New Roman" w:cs="Times New Roman"/>
          <w:b/>
          <w:spacing w:val="1"/>
          <w:position w:val="-1"/>
          <w:sz w:val="24"/>
          <w:szCs w:val="24"/>
        </w:rPr>
        <w:t xml:space="preserve"> K</w:t>
      </w:r>
      <w:r w:rsidRPr="00C97F52">
        <w:rPr>
          <w:rFonts w:ascii="Times New Roman" w:eastAsia="Arial Narrow" w:hAnsi="Times New Roman" w:cs="Times New Roman"/>
          <w:b/>
          <w:position w:val="-1"/>
          <w:sz w:val="24"/>
          <w:szCs w:val="24"/>
        </w:rPr>
        <w:t>ey</w:t>
      </w:r>
      <w:r w:rsidRPr="00C97F52">
        <w:rPr>
          <w:rFonts w:ascii="Times New Roman" w:eastAsia="Arial Narrow" w:hAnsi="Times New Roman" w:cs="Times New Roman"/>
          <w:b/>
          <w:spacing w:val="-3"/>
          <w:position w:val="-1"/>
          <w:sz w:val="24"/>
          <w:szCs w:val="24"/>
        </w:rPr>
        <w:t xml:space="preserve"> </w:t>
      </w:r>
      <w:r w:rsidRPr="00C97F52">
        <w:rPr>
          <w:rFonts w:ascii="Times New Roman" w:eastAsia="Arial Narrow" w:hAnsi="Times New Roman" w:cs="Times New Roman"/>
          <w:b/>
          <w:position w:val="-1"/>
          <w:sz w:val="24"/>
          <w:szCs w:val="24"/>
        </w:rPr>
        <w:t>Hyd</w:t>
      </w:r>
      <w:r w:rsidRPr="00C97F52">
        <w:rPr>
          <w:rFonts w:ascii="Times New Roman" w:eastAsia="Arial Narrow" w:hAnsi="Times New Roman" w:cs="Times New Roman"/>
          <w:b/>
          <w:spacing w:val="1"/>
          <w:position w:val="-1"/>
          <w:sz w:val="24"/>
          <w:szCs w:val="24"/>
        </w:rPr>
        <w:t>r</w:t>
      </w:r>
      <w:r w:rsidRPr="00C97F52">
        <w:rPr>
          <w:rFonts w:ascii="Times New Roman" w:eastAsia="Arial Narrow" w:hAnsi="Times New Roman" w:cs="Times New Roman"/>
          <w:b/>
          <w:position w:val="-1"/>
          <w:sz w:val="24"/>
          <w:szCs w:val="24"/>
        </w:rPr>
        <w:t>olo</w:t>
      </w:r>
      <w:r w:rsidRPr="00C97F52">
        <w:rPr>
          <w:rFonts w:ascii="Times New Roman" w:eastAsia="Arial Narrow" w:hAnsi="Times New Roman" w:cs="Times New Roman"/>
          <w:b/>
          <w:spacing w:val="1"/>
          <w:position w:val="-1"/>
          <w:sz w:val="24"/>
          <w:szCs w:val="24"/>
        </w:rPr>
        <w:t>g</w:t>
      </w:r>
      <w:r w:rsidRPr="00C97F52">
        <w:rPr>
          <w:rFonts w:ascii="Times New Roman" w:eastAsia="Arial Narrow" w:hAnsi="Times New Roman" w:cs="Times New Roman"/>
          <w:b/>
          <w:position w:val="-1"/>
          <w:sz w:val="24"/>
          <w:szCs w:val="24"/>
        </w:rPr>
        <w:t>ic</w:t>
      </w:r>
      <w:r w:rsidRPr="00C97F52">
        <w:rPr>
          <w:rFonts w:ascii="Times New Roman" w:eastAsia="Arial Narrow" w:hAnsi="Times New Roman" w:cs="Times New Roman"/>
          <w:b/>
          <w:spacing w:val="-8"/>
          <w:position w:val="-1"/>
          <w:sz w:val="24"/>
          <w:szCs w:val="24"/>
        </w:rPr>
        <w:t xml:space="preserve"> </w:t>
      </w:r>
      <w:r w:rsidRPr="00C97F52">
        <w:rPr>
          <w:rFonts w:ascii="Times New Roman" w:eastAsia="Arial Narrow" w:hAnsi="Times New Roman" w:cs="Times New Roman"/>
          <w:b/>
          <w:position w:val="-1"/>
          <w:sz w:val="24"/>
          <w:szCs w:val="24"/>
        </w:rPr>
        <w:t>In</w:t>
      </w:r>
      <w:r w:rsidRPr="00C97F52">
        <w:rPr>
          <w:rFonts w:ascii="Times New Roman" w:eastAsia="Arial Narrow" w:hAnsi="Times New Roman" w:cs="Times New Roman"/>
          <w:b/>
          <w:spacing w:val="1"/>
          <w:position w:val="-1"/>
          <w:sz w:val="24"/>
          <w:szCs w:val="24"/>
        </w:rPr>
        <w:t>d</w:t>
      </w:r>
      <w:r w:rsidRPr="00C97F52">
        <w:rPr>
          <w:rFonts w:ascii="Times New Roman" w:eastAsia="Arial Narrow" w:hAnsi="Times New Roman" w:cs="Times New Roman"/>
          <w:b/>
          <w:position w:val="-1"/>
          <w:sz w:val="24"/>
          <w:szCs w:val="24"/>
        </w:rPr>
        <w:t>icato</w:t>
      </w:r>
      <w:r w:rsidRPr="00C97F52">
        <w:rPr>
          <w:rFonts w:ascii="Times New Roman" w:eastAsia="Arial Narrow" w:hAnsi="Times New Roman" w:cs="Times New Roman"/>
          <w:b/>
          <w:spacing w:val="1"/>
          <w:position w:val="-1"/>
          <w:sz w:val="24"/>
          <w:szCs w:val="24"/>
        </w:rPr>
        <w:t>r</w:t>
      </w:r>
      <w:r w:rsidRPr="00C97F52">
        <w:rPr>
          <w:rFonts w:ascii="Times New Roman" w:eastAsia="Arial Narrow" w:hAnsi="Times New Roman" w:cs="Times New Roman"/>
          <w:b/>
          <w:position w:val="-1"/>
          <w:sz w:val="24"/>
          <w:szCs w:val="24"/>
        </w:rPr>
        <w:t>s</w:t>
      </w:r>
    </w:p>
    <w:p w14:paraId="163B18B2" w14:textId="77777777" w:rsidR="00C64CA9" w:rsidRPr="004A2605" w:rsidRDefault="00C64CA9" w:rsidP="004E07CB">
      <w:pPr>
        <w:rPr>
          <w:rFonts w:ascii="Calibri" w:eastAsia="Calibri" w:hAnsi="Calibri" w:cs="Times New Roman"/>
        </w:rPr>
        <w:sectPr w:rsidR="00C64CA9" w:rsidRPr="004A2605">
          <w:type w:val="continuous"/>
          <w:pgSz w:w="12240" w:h="15840"/>
          <w:pgMar w:top="1480" w:right="940" w:bottom="0" w:left="1300" w:header="720" w:footer="720" w:gutter="0"/>
          <w:cols w:space="720"/>
        </w:sectPr>
      </w:pPr>
      <w:r w:rsidRPr="00875E69">
        <w:rPr>
          <w:noProof/>
        </w:rPr>
        <w:drawing>
          <wp:anchor distT="0" distB="0" distL="114300" distR="114300" simplePos="0" relativeHeight="251661312" behindDoc="0" locked="0" layoutInCell="1" allowOverlap="1" wp14:anchorId="3FD60809" wp14:editId="10FF0C20">
            <wp:simplePos x="0" y="0"/>
            <wp:positionH relativeFrom="column">
              <wp:posOffset>355600</wp:posOffset>
            </wp:positionH>
            <wp:positionV relativeFrom="paragraph">
              <wp:posOffset>598805</wp:posOffset>
            </wp:positionV>
            <wp:extent cx="5715000" cy="4673600"/>
            <wp:effectExtent l="25400" t="0" r="0" b="0"/>
            <wp:wrapTight wrapText="bothSides">
              <wp:wrapPolygon edited="0">
                <wp:start x="-96" y="0"/>
                <wp:lineTo x="-96" y="21483"/>
                <wp:lineTo x="21600" y="21483"/>
                <wp:lineTo x="21600" y="0"/>
                <wp:lineTo x="-96" y="0"/>
              </wp:wrapPolygon>
            </wp:wrapTight>
            <wp:docPr id="13953" name="Picture 1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a:srcRect/>
                    <a:stretch>
                      <a:fillRect/>
                    </a:stretch>
                  </pic:blipFill>
                  <pic:spPr bwMode="auto">
                    <a:xfrm>
                      <a:off x="0" y="0"/>
                      <a:ext cx="5715000" cy="4673600"/>
                    </a:xfrm>
                    <a:prstGeom prst="rect">
                      <a:avLst/>
                    </a:prstGeom>
                    <a:noFill/>
                    <a:ln w="9525">
                      <a:noFill/>
                      <a:miter lim="800000"/>
                      <a:headEnd/>
                      <a:tailEnd/>
                    </a:ln>
                  </pic:spPr>
                </pic:pic>
              </a:graphicData>
            </a:graphic>
          </wp:anchor>
        </w:drawing>
      </w:r>
    </w:p>
    <w:p w14:paraId="742F2BD8" w14:textId="77777777" w:rsidR="0022719D" w:rsidRDefault="003610B5" w:rsidP="003610B5">
      <w:pPr>
        <w:spacing w:after="0" w:line="240" w:lineRule="auto"/>
        <w:rPr>
          <w:rFonts w:ascii="Times New Roman" w:hAnsi="Times New Roman" w:cs="Times New Roman"/>
          <w:sz w:val="24"/>
          <w:szCs w:val="24"/>
        </w:rPr>
      </w:pPr>
      <w:r w:rsidRPr="003610B5">
        <w:rPr>
          <w:rFonts w:ascii="Times New Roman" w:hAnsi="Times New Roman" w:cs="Times New Roman"/>
          <w:sz w:val="24"/>
          <w:szCs w:val="24"/>
        </w:rPr>
        <w:lastRenderedPageBreak/>
        <w:t xml:space="preserve">The model results indicate </w:t>
      </w:r>
      <w:r w:rsidR="00DF7456">
        <w:rPr>
          <w:rFonts w:ascii="Times New Roman" w:hAnsi="Times New Roman" w:cs="Times New Roman"/>
          <w:sz w:val="24"/>
          <w:szCs w:val="24"/>
        </w:rPr>
        <w:t>the</w:t>
      </w:r>
      <w:r w:rsidRPr="003610B5">
        <w:rPr>
          <w:rFonts w:ascii="Times New Roman" w:hAnsi="Times New Roman" w:cs="Times New Roman"/>
          <w:sz w:val="24"/>
          <w:szCs w:val="24"/>
        </w:rPr>
        <w:t xml:space="preserve"> potential for a small decrease in lake level and Cape Fear</w:t>
      </w:r>
      <w:r>
        <w:rPr>
          <w:rFonts w:ascii="Times New Roman" w:hAnsi="Times New Roman" w:cs="Times New Roman"/>
          <w:sz w:val="24"/>
          <w:szCs w:val="24"/>
        </w:rPr>
        <w:t xml:space="preserve"> </w:t>
      </w:r>
      <w:r w:rsidRPr="003610B5">
        <w:rPr>
          <w:rFonts w:ascii="Times New Roman" w:hAnsi="Times New Roman" w:cs="Times New Roman"/>
          <w:sz w:val="24"/>
          <w:szCs w:val="24"/>
        </w:rPr>
        <w:t xml:space="preserve">River flow from the 2010 to 2045 Baseline scenario. This is attributed to the </w:t>
      </w:r>
      <w:r w:rsidR="00183FD7">
        <w:rPr>
          <w:rFonts w:ascii="Times New Roman" w:hAnsi="Times New Roman" w:cs="Times New Roman"/>
          <w:sz w:val="24"/>
          <w:szCs w:val="24"/>
        </w:rPr>
        <w:t xml:space="preserve">increased </w:t>
      </w:r>
      <w:r w:rsidRPr="003610B5">
        <w:rPr>
          <w:rFonts w:ascii="Times New Roman" w:hAnsi="Times New Roman" w:cs="Times New Roman"/>
          <w:sz w:val="24"/>
          <w:szCs w:val="24"/>
        </w:rPr>
        <w:t>utilization of the</w:t>
      </w:r>
      <w:r>
        <w:rPr>
          <w:rFonts w:ascii="Times New Roman" w:hAnsi="Times New Roman" w:cs="Times New Roman"/>
          <w:sz w:val="24"/>
          <w:szCs w:val="24"/>
        </w:rPr>
        <w:t xml:space="preserve"> </w:t>
      </w:r>
      <w:r w:rsidRPr="003610B5">
        <w:rPr>
          <w:rFonts w:ascii="Times New Roman" w:hAnsi="Times New Roman" w:cs="Times New Roman"/>
          <w:sz w:val="24"/>
          <w:szCs w:val="24"/>
        </w:rPr>
        <w:t xml:space="preserve">Jordan Lake water supply pool and the </w:t>
      </w:r>
      <w:r w:rsidR="00183FD7">
        <w:rPr>
          <w:rFonts w:ascii="Times New Roman" w:hAnsi="Times New Roman" w:cs="Times New Roman"/>
          <w:sz w:val="24"/>
          <w:szCs w:val="24"/>
        </w:rPr>
        <w:t xml:space="preserve">expected </w:t>
      </w:r>
      <w:r w:rsidRPr="003610B5">
        <w:rPr>
          <w:rFonts w:ascii="Times New Roman" w:hAnsi="Times New Roman" w:cs="Times New Roman"/>
          <w:sz w:val="24"/>
          <w:szCs w:val="24"/>
        </w:rPr>
        <w:t>increase</w:t>
      </w:r>
      <w:r w:rsidR="00183FD7">
        <w:rPr>
          <w:rFonts w:ascii="Times New Roman" w:hAnsi="Times New Roman" w:cs="Times New Roman"/>
          <w:sz w:val="24"/>
          <w:szCs w:val="24"/>
        </w:rPr>
        <w:t>s</w:t>
      </w:r>
      <w:r w:rsidRPr="003610B5">
        <w:rPr>
          <w:rFonts w:ascii="Times New Roman" w:hAnsi="Times New Roman" w:cs="Times New Roman"/>
          <w:sz w:val="24"/>
          <w:szCs w:val="24"/>
        </w:rPr>
        <w:t xml:space="preserve"> in water withdrawals upstream of Jordan Lake –</w:t>
      </w:r>
      <w:r>
        <w:rPr>
          <w:rFonts w:ascii="Times New Roman" w:hAnsi="Times New Roman" w:cs="Times New Roman"/>
          <w:sz w:val="24"/>
          <w:szCs w:val="24"/>
        </w:rPr>
        <w:t xml:space="preserve"> </w:t>
      </w:r>
      <w:r w:rsidRPr="003610B5">
        <w:rPr>
          <w:rFonts w:ascii="Times New Roman" w:hAnsi="Times New Roman" w:cs="Times New Roman"/>
          <w:sz w:val="24"/>
          <w:szCs w:val="24"/>
        </w:rPr>
        <w:t xml:space="preserve">both of which are assumed to </w:t>
      </w:r>
      <w:r w:rsidR="00DF7456">
        <w:rPr>
          <w:rFonts w:ascii="Times New Roman" w:hAnsi="Times New Roman" w:cs="Times New Roman"/>
          <w:sz w:val="24"/>
          <w:szCs w:val="24"/>
        </w:rPr>
        <w:t xml:space="preserve">occur </w:t>
      </w:r>
      <w:r w:rsidRPr="003610B5">
        <w:rPr>
          <w:rFonts w:ascii="Times New Roman" w:hAnsi="Times New Roman" w:cs="Times New Roman"/>
          <w:sz w:val="24"/>
          <w:szCs w:val="24"/>
        </w:rPr>
        <w:t xml:space="preserve">regardless of any increase in the </w:t>
      </w:r>
      <w:r w:rsidR="004A6698">
        <w:rPr>
          <w:rFonts w:ascii="Times New Roman" w:hAnsi="Times New Roman" w:cs="Times New Roman"/>
          <w:sz w:val="24"/>
          <w:szCs w:val="24"/>
        </w:rPr>
        <w:t xml:space="preserve">applicants’ </w:t>
      </w:r>
      <w:r w:rsidRPr="003610B5">
        <w:rPr>
          <w:rFonts w:ascii="Times New Roman" w:hAnsi="Times New Roman" w:cs="Times New Roman"/>
          <w:sz w:val="24"/>
          <w:szCs w:val="24"/>
        </w:rPr>
        <w:t>IBT</w:t>
      </w:r>
      <w:r w:rsidR="00DF7456">
        <w:rPr>
          <w:rFonts w:ascii="Times New Roman" w:hAnsi="Times New Roman" w:cs="Times New Roman"/>
          <w:sz w:val="24"/>
          <w:szCs w:val="24"/>
        </w:rPr>
        <w:t xml:space="preserve"> certificate</w:t>
      </w:r>
      <w:r w:rsidRPr="003610B5">
        <w:rPr>
          <w:rFonts w:ascii="Times New Roman" w:hAnsi="Times New Roman" w:cs="Times New Roman"/>
          <w:sz w:val="24"/>
          <w:szCs w:val="24"/>
        </w:rPr>
        <w:t>.</w:t>
      </w:r>
    </w:p>
    <w:p w14:paraId="50B1ECBD" w14:textId="77777777" w:rsidR="0058484D" w:rsidRDefault="0058484D" w:rsidP="003610B5">
      <w:pPr>
        <w:spacing w:after="0" w:line="240" w:lineRule="auto"/>
        <w:rPr>
          <w:rFonts w:ascii="Times New Roman" w:hAnsi="Times New Roman" w:cs="Times New Roman"/>
          <w:sz w:val="24"/>
          <w:szCs w:val="24"/>
        </w:rPr>
      </w:pPr>
    </w:p>
    <w:p w14:paraId="54D3DE75" w14:textId="77777777" w:rsidR="0058484D" w:rsidRDefault="0058484D" w:rsidP="0058484D">
      <w:pPr>
        <w:spacing w:after="0" w:line="240" w:lineRule="auto"/>
        <w:rPr>
          <w:rFonts w:ascii="Times New Roman" w:hAnsi="Times New Roman" w:cs="Times New Roman"/>
          <w:sz w:val="24"/>
          <w:szCs w:val="24"/>
        </w:rPr>
      </w:pPr>
      <w:r w:rsidRPr="0058484D">
        <w:rPr>
          <w:rFonts w:ascii="Times New Roman" w:hAnsi="Times New Roman" w:cs="Times New Roman"/>
          <w:sz w:val="24"/>
          <w:szCs w:val="24"/>
        </w:rPr>
        <w:t xml:space="preserve">For all scenarios, </w:t>
      </w:r>
      <w:r w:rsidR="00B902B8">
        <w:rPr>
          <w:rFonts w:ascii="Times New Roman" w:hAnsi="Times New Roman" w:cs="Times New Roman"/>
          <w:sz w:val="24"/>
          <w:szCs w:val="24"/>
        </w:rPr>
        <w:t>Jordan Lake’s</w:t>
      </w:r>
      <w:r w:rsidRPr="0058484D">
        <w:rPr>
          <w:rFonts w:ascii="Times New Roman" w:hAnsi="Times New Roman" w:cs="Times New Roman"/>
          <w:sz w:val="24"/>
          <w:szCs w:val="24"/>
        </w:rPr>
        <w:t xml:space="preserve"> </w:t>
      </w:r>
      <w:r w:rsidR="00183FD7">
        <w:rPr>
          <w:rFonts w:ascii="Times New Roman" w:hAnsi="Times New Roman" w:cs="Times New Roman"/>
          <w:sz w:val="24"/>
          <w:szCs w:val="24"/>
        </w:rPr>
        <w:t xml:space="preserve">low-flow augmentation </w:t>
      </w:r>
      <w:r w:rsidRPr="0058484D">
        <w:rPr>
          <w:rFonts w:ascii="Times New Roman" w:hAnsi="Times New Roman" w:cs="Times New Roman"/>
          <w:sz w:val="24"/>
          <w:szCs w:val="24"/>
        </w:rPr>
        <w:t>pool never goes below 20 percent</w:t>
      </w:r>
      <w:r w:rsidR="00183FD7">
        <w:rPr>
          <w:rFonts w:ascii="Times New Roman" w:hAnsi="Times New Roman" w:cs="Times New Roman"/>
          <w:sz w:val="24"/>
          <w:szCs w:val="24"/>
        </w:rPr>
        <w:t xml:space="preserve"> of capacity</w:t>
      </w:r>
      <w:r w:rsidRPr="0058484D">
        <w:rPr>
          <w:rFonts w:ascii="Times New Roman" w:hAnsi="Times New Roman" w:cs="Times New Roman"/>
          <w:sz w:val="24"/>
          <w:szCs w:val="24"/>
        </w:rPr>
        <w:t>.</w:t>
      </w:r>
      <w:r>
        <w:rPr>
          <w:rFonts w:ascii="Times New Roman" w:hAnsi="Times New Roman" w:cs="Times New Roman"/>
          <w:sz w:val="24"/>
          <w:szCs w:val="24"/>
        </w:rPr>
        <w:t xml:space="preserve">  </w:t>
      </w:r>
      <w:r w:rsidRPr="0058484D">
        <w:rPr>
          <w:rFonts w:ascii="Times New Roman" w:hAnsi="Times New Roman" w:cs="Times New Roman"/>
          <w:sz w:val="24"/>
          <w:szCs w:val="24"/>
        </w:rPr>
        <w:t xml:space="preserve">Under both the 2045 Requested IBT and 2045 Increased Neuse River </w:t>
      </w:r>
      <w:r w:rsidR="00DF7456">
        <w:rPr>
          <w:rFonts w:ascii="Times New Roman" w:hAnsi="Times New Roman" w:cs="Times New Roman"/>
          <w:sz w:val="24"/>
          <w:szCs w:val="24"/>
        </w:rPr>
        <w:t>d</w:t>
      </w:r>
      <w:r w:rsidRPr="0058484D">
        <w:rPr>
          <w:rFonts w:ascii="Times New Roman" w:hAnsi="Times New Roman" w:cs="Times New Roman"/>
          <w:sz w:val="24"/>
          <w:szCs w:val="24"/>
        </w:rPr>
        <w:t>ischarge scenarios, there is a</w:t>
      </w:r>
      <w:r>
        <w:rPr>
          <w:rFonts w:ascii="Times New Roman" w:hAnsi="Times New Roman" w:cs="Times New Roman"/>
          <w:sz w:val="24"/>
          <w:szCs w:val="24"/>
        </w:rPr>
        <w:t xml:space="preserve"> </w:t>
      </w:r>
      <w:r w:rsidR="009463AE" w:rsidRPr="009463AE">
        <w:rPr>
          <w:rFonts w:ascii="Times New Roman" w:hAnsi="Times New Roman" w:cs="Times New Roman"/>
          <w:sz w:val="24"/>
          <w:szCs w:val="24"/>
        </w:rPr>
        <w:t>0.4</w:t>
      </w:r>
      <w:r w:rsidR="009463AE">
        <w:rPr>
          <w:rFonts w:ascii="Times New Roman" w:hAnsi="Times New Roman" w:cs="Times New Roman"/>
          <w:sz w:val="24"/>
          <w:szCs w:val="24"/>
        </w:rPr>
        <w:t xml:space="preserve"> percent</w:t>
      </w:r>
      <w:r w:rsidR="009463AE" w:rsidRPr="009463AE">
        <w:rPr>
          <w:rFonts w:ascii="Times New Roman" w:hAnsi="Times New Roman" w:cs="Times New Roman"/>
          <w:sz w:val="24"/>
          <w:szCs w:val="24"/>
        </w:rPr>
        <w:t xml:space="preserve"> increase in duration over the period of record </w:t>
      </w:r>
      <w:r w:rsidR="009463AE">
        <w:rPr>
          <w:rFonts w:ascii="Times New Roman" w:hAnsi="Times New Roman" w:cs="Times New Roman"/>
          <w:sz w:val="24"/>
          <w:szCs w:val="24"/>
        </w:rPr>
        <w:t>when</w:t>
      </w:r>
      <w:r w:rsidRPr="0058484D">
        <w:rPr>
          <w:rFonts w:ascii="Times New Roman" w:hAnsi="Times New Roman" w:cs="Times New Roman"/>
          <w:sz w:val="24"/>
          <w:szCs w:val="24"/>
        </w:rPr>
        <w:t xml:space="preserve"> the lake level</w:t>
      </w:r>
      <w:r w:rsidR="009463AE">
        <w:rPr>
          <w:rFonts w:ascii="Times New Roman" w:hAnsi="Times New Roman" w:cs="Times New Roman"/>
          <w:sz w:val="24"/>
          <w:szCs w:val="24"/>
        </w:rPr>
        <w:t xml:space="preserve"> </w:t>
      </w:r>
      <w:r w:rsidR="009463AE" w:rsidRPr="0058484D">
        <w:rPr>
          <w:rFonts w:ascii="Times New Roman" w:hAnsi="Times New Roman" w:cs="Times New Roman"/>
          <w:sz w:val="24"/>
          <w:szCs w:val="24"/>
        </w:rPr>
        <w:t>is</w:t>
      </w:r>
      <w:r w:rsidR="009463AE">
        <w:rPr>
          <w:rFonts w:ascii="Times New Roman" w:hAnsi="Times New Roman" w:cs="Times New Roman"/>
          <w:sz w:val="24"/>
          <w:szCs w:val="24"/>
        </w:rPr>
        <w:t xml:space="preserve"> </w:t>
      </w:r>
      <w:r w:rsidR="009463AE" w:rsidRPr="0058484D">
        <w:rPr>
          <w:rFonts w:ascii="Times New Roman" w:hAnsi="Times New Roman" w:cs="Times New Roman"/>
          <w:sz w:val="24"/>
          <w:szCs w:val="24"/>
        </w:rPr>
        <w:t>below 210</w:t>
      </w:r>
      <w:r w:rsidR="009463AE">
        <w:rPr>
          <w:rFonts w:ascii="Cambria Math" w:hAnsi="Cambria Math" w:cs="Cambria Math"/>
          <w:sz w:val="24"/>
          <w:szCs w:val="24"/>
        </w:rPr>
        <w:t xml:space="preserve"> </w:t>
      </w:r>
      <w:r w:rsidR="009463AE" w:rsidRPr="0058484D">
        <w:rPr>
          <w:rFonts w:ascii="Times New Roman" w:hAnsi="Times New Roman" w:cs="Times New Roman"/>
          <w:sz w:val="24"/>
          <w:szCs w:val="24"/>
        </w:rPr>
        <w:t>f</w:t>
      </w:r>
      <w:r w:rsidR="009463AE">
        <w:rPr>
          <w:rFonts w:ascii="Times New Roman" w:hAnsi="Times New Roman" w:cs="Times New Roman"/>
          <w:sz w:val="24"/>
          <w:szCs w:val="24"/>
        </w:rPr>
        <w:t>ee</w:t>
      </w:r>
      <w:r w:rsidR="009463AE" w:rsidRPr="0058484D">
        <w:rPr>
          <w:rFonts w:ascii="Times New Roman" w:hAnsi="Times New Roman" w:cs="Times New Roman"/>
          <w:sz w:val="24"/>
          <w:szCs w:val="24"/>
        </w:rPr>
        <w:t xml:space="preserve">t </w:t>
      </w:r>
      <w:r w:rsidR="006766B5">
        <w:rPr>
          <w:rFonts w:ascii="Times New Roman" w:hAnsi="Times New Roman" w:cs="Times New Roman"/>
          <w:sz w:val="24"/>
          <w:szCs w:val="24"/>
        </w:rPr>
        <w:t>mean sea level (</w:t>
      </w:r>
      <w:r w:rsidR="009463AE">
        <w:rPr>
          <w:rFonts w:ascii="Times New Roman" w:hAnsi="Times New Roman" w:cs="Times New Roman"/>
          <w:sz w:val="24"/>
          <w:szCs w:val="24"/>
        </w:rPr>
        <w:t>msl</w:t>
      </w:r>
      <w:r w:rsidR="006766B5">
        <w:rPr>
          <w:rFonts w:ascii="Times New Roman" w:hAnsi="Times New Roman" w:cs="Times New Roman"/>
          <w:sz w:val="24"/>
          <w:szCs w:val="24"/>
        </w:rPr>
        <w:t>)</w:t>
      </w:r>
      <w:r w:rsidRPr="0058484D">
        <w:rPr>
          <w:rFonts w:ascii="Times New Roman" w:hAnsi="Times New Roman" w:cs="Times New Roman"/>
          <w:sz w:val="24"/>
          <w:szCs w:val="24"/>
        </w:rPr>
        <w:t>, as compared to the 2045 baseline scenario</w:t>
      </w:r>
      <w:r w:rsidR="009463AE">
        <w:rPr>
          <w:rFonts w:ascii="Times New Roman" w:hAnsi="Times New Roman" w:cs="Times New Roman"/>
          <w:sz w:val="24"/>
          <w:szCs w:val="24"/>
        </w:rPr>
        <w:t xml:space="preserve">.  </w:t>
      </w:r>
      <w:r w:rsidR="00197C96">
        <w:rPr>
          <w:rFonts w:ascii="Times New Roman" w:hAnsi="Times New Roman" w:cs="Times New Roman"/>
          <w:sz w:val="24"/>
          <w:szCs w:val="24"/>
        </w:rPr>
        <w:t>For the same model scenarios, t</w:t>
      </w:r>
      <w:r w:rsidR="009463AE">
        <w:rPr>
          <w:rFonts w:ascii="Times New Roman" w:hAnsi="Times New Roman" w:cs="Times New Roman"/>
          <w:sz w:val="24"/>
          <w:szCs w:val="24"/>
        </w:rPr>
        <w:t xml:space="preserve">here is a 0.6 percent increase in the duration of time over the period of record when the water supply and water quality pools operate </w:t>
      </w:r>
      <w:r w:rsidR="00197C96">
        <w:rPr>
          <w:rFonts w:ascii="Times New Roman" w:hAnsi="Times New Roman" w:cs="Times New Roman"/>
          <w:sz w:val="24"/>
          <w:szCs w:val="24"/>
        </w:rPr>
        <w:t>below 80 percent capacity, when compared to the 2045 baseline scenario.</w:t>
      </w:r>
      <w:r w:rsidR="009463AE">
        <w:rPr>
          <w:rFonts w:ascii="Times New Roman" w:hAnsi="Times New Roman" w:cs="Times New Roman"/>
          <w:sz w:val="24"/>
          <w:szCs w:val="24"/>
        </w:rPr>
        <w:t xml:space="preserve">  </w:t>
      </w:r>
    </w:p>
    <w:p w14:paraId="5F0A1980" w14:textId="77777777" w:rsidR="00197C96" w:rsidRDefault="00197C96" w:rsidP="0058484D">
      <w:pPr>
        <w:spacing w:after="0" w:line="240" w:lineRule="auto"/>
        <w:rPr>
          <w:rFonts w:ascii="Times New Roman" w:hAnsi="Times New Roman" w:cs="Times New Roman"/>
          <w:sz w:val="24"/>
          <w:szCs w:val="24"/>
        </w:rPr>
      </w:pPr>
    </w:p>
    <w:p w14:paraId="21812C07" w14:textId="77777777" w:rsidR="00D45EB8" w:rsidRPr="00D45EB8" w:rsidRDefault="00D45EB8" w:rsidP="00D45EB8">
      <w:pPr>
        <w:spacing w:after="0" w:line="240" w:lineRule="auto"/>
        <w:rPr>
          <w:rFonts w:ascii="Times New Roman" w:hAnsi="Times New Roman" w:cs="Times New Roman"/>
          <w:sz w:val="24"/>
          <w:szCs w:val="24"/>
        </w:rPr>
      </w:pPr>
      <w:r w:rsidRPr="00D45EB8">
        <w:rPr>
          <w:rFonts w:ascii="Times New Roman" w:hAnsi="Times New Roman" w:cs="Times New Roman"/>
          <w:bCs/>
          <w:iCs/>
          <w:sz w:val="24"/>
          <w:szCs w:val="24"/>
        </w:rPr>
        <w:t>The Environmental Assessment (EA) concluded that the direct effects of the proposed IBT certificate modification on the source basin would be insignificant.</w:t>
      </w:r>
      <w:r w:rsidRPr="00D45EB8">
        <w:rPr>
          <w:rFonts w:ascii="Times New Roman" w:hAnsi="Times New Roman" w:cs="Times New Roman"/>
          <w:b/>
          <w:bCs/>
          <w:i/>
          <w:iCs/>
          <w:sz w:val="24"/>
          <w:szCs w:val="24"/>
        </w:rPr>
        <w:t xml:space="preserve"> </w:t>
      </w:r>
      <w:r w:rsidRPr="00D45EB8">
        <w:rPr>
          <w:rFonts w:ascii="Times New Roman" w:hAnsi="Times New Roman" w:cs="Times New Roman"/>
          <w:bCs/>
          <w:iCs/>
          <w:sz w:val="24"/>
          <w:szCs w:val="24"/>
        </w:rPr>
        <w:t>T</w:t>
      </w:r>
      <w:r w:rsidRPr="00D45EB8">
        <w:rPr>
          <w:rFonts w:ascii="Times New Roman" w:hAnsi="Times New Roman" w:cs="Times New Roman"/>
          <w:sz w:val="24"/>
          <w:szCs w:val="24"/>
        </w:rPr>
        <w:t xml:space="preserve">he proposed IBT certificate modification will not significantly change Jordan Lake elevations, </w:t>
      </w:r>
      <w:r w:rsidR="00183FD7">
        <w:rPr>
          <w:rFonts w:ascii="Times New Roman" w:hAnsi="Times New Roman" w:cs="Times New Roman"/>
          <w:sz w:val="24"/>
          <w:szCs w:val="24"/>
        </w:rPr>
        <w:t xml:space="preserve">low-flow augmentation </w:t>
      </w:r>
      <w:r w:rsidRPr="00D45EB8">
        <w:rPr>
          <w:rFonts w:ascii="Times New Roman" w:hAnsi="Times New Roman" w:cs="Times New Roman"/>
          <w:sz w:val="24"/>
          <w:szCs w:val="24"/>
        </w:rPr>
        <w:t xml:space="preserve">or water supply pool storage volumes, downstream flows, downstream users’ water supply availability, or downstream water quality in the source or receiving basins. Based on the hydrologic modeling, there are noticeable changes in a number of the reviewed hydrologic indicators, but only as a result of future water withdrawals within the Cape Fear River basin </w:t>
      </w:r>
      <w:proofErr w:type="gramStart"/>
      <w:r w:rsidRPr="00D45EB8">
        <w:rPr>
          <w:rFonts w:ascii="Times New Roman" w:hAnsi="Times New Roman" w:cs="Times New Roman"/>
          <w:sz w:val="24"/>
          <w:szCs w:val="24"/>
        </w:rPr>
        <w:t xml:space="preserve">and </w:t>
      </w:r>
      <w:r w:rsidR="00183FD7">
        <w:rPr>
          <w:rFonts w:ascii="Times New Roman" w:hAnsi="Times New Roman" w:cs="Times New Roman"/>
          <w:sz w:val="24"/>
          <w:szCs w:val="24"/>
        </w:rPr>
        <w:t xml:space="preserve"> increased</w:t>
      </w:r>
      <w:proofErr w:type="gramEnd"/>
      <w:r w:rsidR="00183FD7">
        <w:rPr>
          <w:rFonts w:ascii="Times New Roman" w:hAnsi="Times New Roman" w:cs="Times New Roman"/>
          <w:sz w:val="24"/>
          <w:szCs w:val="24"/>
        </w:rPr>
        <w:t xml:space="preserve"> </w:t>
      </w:r>
      <w:r w:rsidRPr="00D45EB8">
        <w:rPr>
          <w:rFonts w:ascii="Times New Roman" w:hAnsi="Times New Roman" w:cs="Times New Roman"/>
          <w:sz w:val="24"/>
          <w:szCs w:val="24"/>
        </w:rPr>
        <w:t>utilization of the Jordan Lake water supply pool</w:t>
      </w:r>
      <w:r w:rsidR="006766B5">
        <w:rPr>
          <w:rFonts w:ascii="Times New Roman" w:hAnsi="Times New Roman" w:cs="Times New Roman"/>
          <w:sz w:val="24"/>
          <w:szCs w:val="24"/>
        </w:rPr>
        <w:t>, not due to the proposed IBT modification</w:t>
      </w:r>
      <w:r w:rsidRPr="00D45EB8">
        <w:rPr>
          <w:rFonts w:ascii="Times New Roman" w:hAnsi="Times New Roman" w:cs="Times New Roman"/>
          <w:sz w:val="24"/>
          <w:szCs w:val="24"/>
        </w:rPr>
        <w:t xml:space="preserve">. No significant direct effects to environmental resources are expected.  </w:t>
      </w:r>
    </w:p>
    <w:p w14:paraId="7382CAED" w14:textId="77777777" w:rsidR="00D45EB8" w:rsidRPr="00D45EB8" w:rsidRDefault="00D45EB8" w:rsidP="00D45EB8">
      <w:pPr>
        <w:spacing w:after="0" w:line="240" w:lineRule="auto"/>
        <w:rPr>
          <w:rFonts w:ascii="Times New Roman" w:hAnsi="Times New Roman" w:cs="Times New Roman"/>
          <w:sz w:val="24"/>
          <w:szCs w:val="24"/>
        </w:rPr>
      </w:pPr>
    </w:p>
    <w:p w14:paraId="7BAFE3C0" w14:textId="77777777" w:rsidR="00965276" w:rsidRPr="00965276" w:rsidRDefault="00766951" w:rsidP="00965276">
      <w:pPr>
        <w:spacing w:after="0" w:line="240" w:lineRule="auto"/>
        <w:rPr>
          <w:rFonts w:ascii="Times New Roman" w:hAnsi="Times New Roman" w:cs="Times New Roman"/>
          <w:sz w:val="24"/>
          <w:szCs w:val="24"/>
        </w:rPr>
      </w:pPr>
      <w:r w:rsidRPr="00766951">
        <w:rPr>
          <w:rFonts w:ascii="Times New Roman" w:hAnsi="Times New Roman" w:cs="Times New Roman"/>
          <w:sz w:val="24"/>
          <w:szCs w:val="24"/>
        </w:rPr>
        <w:t>Secondary effects from growth such as increased runoff, erosion, and loss of open space are expected to have negative impacts on water quality and fish and wildlife habitat. These impacts will be mitigated to a reasonable degree through existing regulations and programs</w:t>
      </w:r>
      <w:r w:rsidR="00AE2400">
        <w:rPr>
          <w:rFonts w:ascii="Times New Roman" w:hAnsi="Times New Roman" w:cs="Times New Roman"/>
          <w:sz w:val="24"/>
          <w:szCs w:val="24"/>
        </w:rPr>
        <w:t xml:space="preserve"> (as outlined in Section 6 of the Environmental Assessment)</w:t>
      </w:r>
      <w:r w:rsidRPr="00766951">
        <w:rPr>
          <w:rFonts w:ascii="Times New Roman" w:hAnsi="Times New Roman" w:cs="Times New Roman"/>
          <w:sz w:val="24"/>
          <w:szCs w:val="24"/>
        </w:rPr>
        <w:t>.</w:t>
      </w:r>
      <w:r w:rsidR="00965276">
        <w:rPr>
          <w:rFonts w:ascii="Times New Roman" w:hAnsi="Times New Roman" w:cs="Times New Roman"/>
          <w:sz w:val="24"/>
          <w:szCs w:val="24"/>
        </w:rPr>
        <w:t xml:space="preserve">  </w:t>
      </w:r>
      <w:r w:rsidR="00965276" w:rsidRPr="00965276">
        <w:rPr>
          <w:rFonts w:ascii="Times New Roman" w:hAnsi="Times New Roman" w:cs="Times New Roman"/>
          <w:sz w:val="24"/>
          <w:szCs w:val="24"/>
        </w:rPr>
        <w:t xml:space="preserve">Because wastewater assimilation is directly related to flows, no significant changes in wastewater assimilation are expected from the proposed action. Similarly, no impacts were identified for hydropower generation, </w:t>
      </w:r>
      <w:proofErr w:type="gramStart"/>
      <w:r w:rsidR="00965276" w:rsidRPr="00965276">
        <w:rPr>
          <w:rFonts w:ascii="Times New Roman" w:hAnsi="Times New Roman" w:cs="Times New Roman"/>
          <w:sz w:val="24"/>
          <w:szCs w:val="24"/>
        </w:rPr>
        <w:t>navigation</w:t>
      </w:r>
      <w:proofErr w:type="gramEnd"/>
      <w:r w:rsidR="00965276" w:rsidRPr="00965276">
        <w:rPr>
          <w:rFonts w:ascii="Times New Roman" w:hAnsi="Times New Roman" w:cs="Times New Roman"/>
          <w:sz w:val="24"/>
          <w:szCs w:val="24"/>
        </w:rPr>
        <w:t xml:space="preserve"> or recreation.</w:t>
      </w:r>
    </w:p>
    <w:p w14:paraId="25C12E1E" w14:textId="77777777" w:rsidR="00614296" w:rsidRDefault="00614296" w:rsidP="00E279C9">
      <w:pPr>
        <w:spacing w:after="0" w:line="240" w:lineRule="auto"/>
        <w:rPr>
          <w:rFonts w:ascii="Times New Roman" w:hAnsi="Times New Roman" w:cs="Times New Roman"/>
          <w:sz w:val="24"/>
          <w:szCs w:val="24"/>
        </w:rPr>
      </w:pPr>
    </w:p>
    <w:p w14:paraId="7F1307FE" w14:textId="77777777" w:rsidR="00614296" w:rsidRPr="0022719D" w:rsidRDefault="00614296" w:rsidP="00614296">
      <w:pPr>
        <w:spacing w:after="0" w:line="240" w:lineRule="auto"/>
        <w:rPr>
          <w:rFonts w:ascii="Times New Roman" w:hAnsi="Times New Roman" w:cs="Times New Roman"/>
          <w:sz w:val="24"/>
          <w:szCs w:val="24"/>
        </w:rPr>
      </w:pPr>
      <w:r w:rsidRPr="00614296">
        <w:rPr>
          <w:rFonts w:ascii="Times New Roman" w:hAnsi="Times New Roman" w:cs="Times New Roman"/>
          <w:i/>
          <w:iCs/>
          <w:sz w:val="24"/>
          <w:szCs w:val="24"/>
        </w:rPr>
        <w:t>Based on the record, the Commission finds that the detrimental effects on the source basin</w:t>
      </w:r>
      <w:r w:rsidR="00747E28">
        <w:rPr>
          <w:rFonts w:ascii="Times New Roman" w:hAnsi="Times New Roman" w:cs="Times New Roman"/>
          <w:i/>
          <w:iCs/>
          <w:sz w:val="24"/>
          <w:szCs w:val="24"/>
        </w:rPr>
        <w:t xml:space="preserve"> </w:t>
      </w:r>
      <w:r>
        <w:rPr>
          <w:rFonts w:ascii="Times New Roman" w:hAnsi="Times New Roman" w:cs="Times New Roman"/>
          <w:i/>
          <w:iCs/>
          <w:sz w:val="24"/>
          <w:szCs w:val="24"/>
        </w:rPr>
        <w:t>d</w:t>
      </w:r>
      <w:r w:rsidRPr="00614296">
        <w:rPr>
          <w:rFonts w:ascii="Times New Roman" w:hAnsi="Times New Roman" w:cs="Times New Roman"/>
          <w:i/>
          <w:iCs/>
          <w:sz w:val="24"/>
          <w:szCs w:val="24"/>
        </w:rPr>
        <w:t>escribed in G.S. § 143-215</w:t>
      </w:r>
      <w:r>
        <w:rPr>
          <w:rFonts w:ascii="Times New Roman" w:hAnsi="Times New Roman" w:cs="Times New Roman"/>
          <w:i/>
          <w:iCs/>
          <w:sz w:val="24"/>
          <w:szCs w:val="24"/>
        </w:rPr>
        <w:t>.22L</w:t>
      </w:r>
      <w:r w:rsidRPr="00614296">
        <w:rPr>
          <w:rFonts w:ascii="Times New Roman" w:hAnsi="Times New Roman" w:cs="Times New Roman"/>
          <w:i/>
          <w:iCs/>
          <w:sz w:val="24"/>
          <w:szCs w:val="24"/>
        </w:rPr>
        <w:t>(</w:t>
      </w:r>
      <w:r>
        <w:rPr>
          <w:rFonts w:ascii="Times New Roman" w:hAnsi="Times New Roman" w:cs="Times New Roman"/>
          <w:i/>
          <w:iCs/>
          <w:sz w:val="24"/>
          <w:szCs w:val="24"/>
        </w:rPr>
        <w:t>k</w:t>
      </w:r>
      <w:r w:rsidRPr="00614296">
        <w:rPr>
          <w:rFonts w:ascii="Times New Roman" w:hAnsi="Times New Roman" w:cs="Times New Roman"/>
          <w:i/>
          <w:iCs/>
          <w:sz w:val="24"/>
          <w:szCs w:val="24"/>
        </w:rPr>
        <w:t>)(2) will be insignificant.</w:t>
      </w:r>
      <w:r w:rsidR="00965276">
        <w:rPr>
          <w:rFonts w:ascii="Times New Roman" w:hAnsi="Times New Roman" w:cs="Times New Roman"/>
          <w:i/>
          <w:iCs/>
          <w:sz w:val="24"/>
          <w:szCs w:val="24"/>
        </w:rPr>
        <w:t xml:space="preserve">  Additionally, t</w:t>
      </w:r>
      <w:r w:rsidR="00965276" w:rsidRPr="00965276">
        <w:rPr>
          <w:rFonts w:ascii="Times New Roman" w:hAnsi="Times New Roman" w:cs="Times New Roman"/>
          <w:i/>
          <w:iCs/>
          <w:sz w:val="24"/>
          <w:szCs w:val="24"/>
        </w:rPr>
        <w:t xml:space="preserve">he Commission finds that it is reasonable to minimize the impacts of secondary effects caused by growth in the Towns of Cary, Apex and Morrisville and Wake County through the implementation of </w:t>
      </w:r>
      <w:r w:rsidR="00965276">
        <w:rPr>
          <w:rFonts w:ascii="Times New Roman" w:hAnsi="Times New Roman" w:cs="Times New Roman"/>
          <w:i/>
          <w:iCs/>
          <w:sz w:val="24"/>
          <w:szCs w:val="24"/>
        </w:rPr>
        <w:t xml:space="preserve">local </w:t>
      </w:r>
      <w:r w:rsidR="00965276" w:rsidRPr="00965276">
        <w:rPr>
          <w:rFonts w:ascii="Times New Roman" w:hAnsi="Times New Roman" w:cs="Times New Roman"/>
          <w:i/>
          <w:iCs/>
          <w:sz w:val="24"/>
          <w:szCs w:val="24"/>
        </w:rPr>
        <w:t>ordinances</w:t>
      </w:r>
      <w:r w:rsidR="00965276">
        <w:rPr>
          <w:rFonts w:ascii="Times New Roman" w:hAnsi="Times New Roman" w:cs="Times New Roman"/>
          <w:i/>
          <w:iCs/>
          <w:sz w:val="24"/>
          <w:szCs w:val="24"/>
        </w:rPr>
        <w:t xml:space="preserve"> for parts of their jurisdictions that are within the Jordan Lake watershed for the protection of the lake.</w:t>
      </w:r>
    </w:p>
    <w:p w14:paraId="182685F9" w14:textId="77777777" w:rsidR="00D05AEE" w:rsidRDefault="00D05AEE" w:rsidP="0037678C">
      <w:pPr>
        <w:spacing w:after="0" w:line="240" w:lineRule="auto"/>
        <w:contextualSpacing/>
      </w:pPr>
    </w:p>
    <w:p w14:paraId="18EE6E1D" w14:textId="77777777" w:rsidR="00E279C9" w:rsidRDefault="00E279C9" w:rsidP="0037678C">
      <w:pPr>
        <w:spacing w:after="0" w:line="240" w:lineRule="auto"/>
        <w:contextualSpacing/>
      </w:pPr>
    </w:p>
    <w:p w14:paraId="0E02FB0C" w14:textId="77777777" w:rsidR="00E279C9" w:rsidRDefault="00E279C9" w:rsidP="00E279C9">
      <w:pPr>
        <w:spacing w:after="0" w:line="240" w:lineRule="auto"/>
        <w:contextualSpacing/>
        <w:rPr>
          <w:rFonts w:ascii="Times New Roman" w:hAnsi="Times New Roman" w:cs="Times New Roman"/>
          <w:bCs/>
          <w:sz w:val="24"/>
          <w:szCs w:val="24"/>
        </w:rPr>
      </w:pPr>
      <w:bookmarkStart w:id="6" w:name="_Toc152550393"/>
      <w:bookmarkStart w:id="7" w:name="_Toc153359309"/>
      <w:r w:rsidRPr="00E279C9">
        <w:rPr>
          <w:rFonts w:ascii="Times New Roman" w:hAnsi="Times New Roman" w:cs="Times New Roman"/>
          <w:b/>
          <w:bCs/>
          <w:sz w:val="24"/>
          <w:szCs w:val="24"/>
        </w:rPr>
        <w:t>(</w:t>
      </w:r>
      <w:r w:rsidR="006179DD">
        <w:rPr>
          <w:rFonts w:ascii="Times New Roman" w:hAnsi="Times New Roman" w:cs="Times New Roman"/>
          <w:b/>
          <w:bCs/>
          <w:sz w:val="24"/>
          <w:szCs w:val="24"/>
        </w:rPr>
        <w:t>3</w:t>
      </w:r>
      <w:r w:rsidRPr="00E279C9">
        <w:rPr>
          <w:rFonts w:ascii="Times New Roman" w:hAnsi="Times New Roman" w:cs="Times New Roman"/>
          <w:b/>
          <w:bCs/>
          <w:sz w:val="24"/>
          <w:szCs w:val="24"/>
        </w:rPr>
        <w:t>) Cumulative Effects on the Source Major River Basin of Any Current or Projected Water Transfer or Consumptive Water Use</w:t>
      </w:r>
      <w:bookmarkEnd w:id="6"/>
      <w:bookmarkEnd w:id="7"/>
    </w:p>
    <w:p w14:paraId="2365AACB" w14:textId="77777777" w:rsidR="00246BEA" w:rsidRPr="00246BEA" w:rsidRDefault="00246BEA" w:rsidP="00246BEA">
      <w:pPr>
        <w:spacing w:after="0" w:line="240" w:lineRule="auto"/>
        <w:contextualSpacing/>
        <w:rPr>
          <w:rFonts w:ascii="Times New Roman" w:hAnsi="Times New Roman" w:cs="Times New Roman"/>
          <w:bCs/>
          <w:sz w:val="24"/>
          <w:szCs w:val="24"/>
        </w:rPr>
      </w:pPr>
      <w:r w:rsidRPr="00246BEA">
        <w:rPr>
          <w:rFonts w:ascii="Times New Roman" w:hAnsi="Times New Roman" w:cs="Times New Roman"/>
          <w:bCs/>
          <w:sz w:val="24"/>
          <w:szCs w:val="24"/>
        </w:rPr>
        <w:lastRenderedPageBreak/>
        <w:t>Local water supply plan data, including current and projected water use and water</w:t>
      </w:r>
      <w:r w:rsidR="00040A4A">
        <w:rPr>
          <w:rFonts w:ascii="Times New Roman" w:hAnsi="Times New Roman" w:cs="Times New Roman"/>
          <w:bCs/>
          <w:sz w:val="24"/>
          <w:szCs w:val="24"/>
        </w:rPr>
        <w:t xml:space="preserve"> </w:t>
      </w:r>
      <w:r w:rsidRPr="00246BEA">
        <w:rPr>
          <w:rFonts w:ascii="Times New Roman" w:hAnsi="Times New Roman" w:cs="Times New Roman"/>
          <w:bCs/>
          <w:sz w:val="24"/>
          <w:szCs w:val="24"/>
        </w:rPr>
        <w:t>transfers, were used to develop the input data sets for the Cape Fear</w:t>
      </w:r>
      <w:r>
        <w:rPr>
          <w:rFonts w:ascii="Times New Roman" w:hAnsi="Times New Roman" w:cs="Times New Roman"/>
          <w:bCs/>
          <w:sz w:val="24"/>
          <w:szCs w:val="24"/>
        </w:rPr>
        <w:t>-Neuse</w:t>
      </w:r>
      <w:r w:rsidRPr="00246BEA">
        <w:rPr>
          <w:rFonts w:ascii="Times New Roman" w:hAnsi="Times New Roman" w:cs="Times New Roman"/>
          <w:bCs/>
          <w:sz w:val="24"/>
          <w:szCs w:val="24"/>
        </w:rPr>
        <w:t xml:space="preserve"> River Basin</w:t>
      </w:r>
      <w:r>
        <w:rPr>
          <w:rFonts w:ascii="Times New Roman" w:hAnsi="Times New Roman" w:cs="Times New Roman"/>
          <w:bCs/>
          <w:sz w:val="24"/>
          <w:szCs w:val="24"/>
        </w:rPr>
        <w:t xml:space="preserve"> Hydrologic</w:t>
      </w:r>
      <w:r w:rsidRPr="00246BEA">
        <w:rPr>
          <w:rFonts w:ascii="Times New Roman" w:hAnsi="Times New Roman" w:cs="Times New Roman"/>
          <w:bCs/>
          <w:sz w:val="24"/>
          <w:szCs w:val="24"/>
        </w:rPr>
        <w:t xml:space="preserve"> Model</w:t>
      </w:r>
      <w:r w:rsidR="00183FD7">
        <w:rPr>
          <w:rFonts w:ascii="Times New Roman" w:hAnsi="Times New Roman" w:cs="Times New Roman"/>
          <w:bCs/>
          <w:sz w:val="24"/>
          <w:szCs w:val="24"/>
        </w:rPr>
        <w:t xml:space="preserve"> scenarios</w:t>
      </w:r>
      <w:r w:rsidRPr="00246BEA">
        <w:rPr>
          <w:rFonts w:ascii="Times New Roman" w:hAnsi="Times New Roman" w:cs="Times New Roman"/>
          <w:bCs/>
          <w:sz w:val="24"/>
          <w:szCs w:val="24"/>
        </w:rPr>
        <w:t>. The model was used to evaluate current and future scenarios of basin water use.</w:t>
      </w:r>
    </w:p>
    <w:p w14:paraId="0E55E067" w14:textId="77777777" w:rsidR="004A6698" w:rsidRDefault="004A6698" w:rsidP="008C7047">
      <w:pPr>
        <w:spacing w:after="0" w:line="240" w:lineRule="auto"/>
        <w:contextualSpacing/>
        <w:rPr>
          <w:rFonts w:ascii="Times New Roman" w:hAnsi="Times New Roman" w:cs="Times New Roman"/>
          <w:bCs/>
          <w:sz w:val="24"/>
          <w:szCs w:val="24"/>
        </w:rPr>
      </w:pPr>
    </w:p>
    <w:p w14:paraId="0F8E7ACE" w14:textId="77777777" w:rsidR="008C7047" w:rsidRPr="008C7047" w:rsidRDefault="008C7047" w:rsidP="008C7047">
      <w:pPr>
        <w:spacing w:after="0" w:line="240" w:lineRule="auto"/>
        <w:contextualSpacing/>
        <w:rPr>
          <w:rFonts w:ascii="Times New Roman" w:hAnsi="Times New Roman" w:cs="Times New Roman"/>
          <w:bCs/>
          <w:sz w:val="24"/>
          <w:szCs w:val="24"/>
        </w:rPr>
      </w:pPr>
      <w:r w:rsidRPr="008C7047">
        <w:rPr>
          <w:rFonts w:ascii="Times New Roman" w:hAnsi="Times New Roman" w:cs="Times New Roman"/>
          <w:bCs/>
          <w:sz w:val="24"/>
          <w:szCs w:val="24"/>
        </w:rPr>
        <w:t>A comparison of in</w:t>
      </w:r>
      <w:r w:rsidRPr="008C7047">
        <w:rPr>
          <w:rFonts w:ascii="Cambria Math" w:hAnsi="Cambria Math" w:cs="Cambria Math"/>
          <w:bCs/>
          <w:sz w:val="24"/>
          <w:szCs w:val="24"/>
        </w:rPr>
        <w:t>‐</w:t>
      </w:r>
      <w:r w:rsidRPr="008C7047">
        <w:rPr>
          <w:rFonts w:ascii="Times New Roman" w:hAnsi="Times New Roman" w:cs="Times New Roman"/>
          <w:bCs/>
          <w:sz w:val="24"/>
          <w:szCs w:val="24"/>
        </w:rPr>
        <w:t xml:space="preserve">stream flows under the 2045 Baseline and 2045 Requested IBT scenario was performed at the Lillington </w:t>
      </w:r>
      <w:r w:rsidR="00AE2400">
        <w:rPr>
          <w:rFonts w:ascii="Times New Roman" w:hAnsi="Times New Roman" w:cs="Times New Roman"/>
          <w:bCs/>
          <w:sz w:val="24"/>
          <w:szCs w:val="24"/>
        </w:rPr>
        <w:t xml:space="preserve">USGS </w:t>
      </w:r>
      <w:r w:rsidRPr="008C7047">
        <w:rPr>
          <w:rFonts w:ascii="Times New Roman" w:hAnsi="Times New Roman" w:cs="Times New Roman"/>
          <w:bCs/>
          <w:sz w:val="24"/>
          <w:szCs w:val="24"/>
        </w:rPr>
        <w:t xml:space="preserve">gage and at </w:t>
      </w:r>
      <w:r w:rsidR="00AE2400">
        <w:rPr>
          <w:rFonts w:ascii="Times New Roman" w:hAnsi="Times New Roman" w:cs="Times New Roman"/>
          <w:bCs/>
          <w:sz w:val="24"/>
          <w:szCs w:val="24"/>
        </w:rPr>
        <w:t xml:space="preserve">the </w:t>
      </w:r>
      <w:r w:rsidRPr="008C7047">
        <w:rPr>
          <w:rFonts w:ascii="Times New Roman" w:hAnsi="Times New Roman" w:cs="Times New Roman"/>
          <w:bCs/>
          <w:sz w:val="24"/>
          <w:szCs w:val="24"/>
        </w:rPr>
        <w:t>Fayetteville</w:t>
      </w:r>
      <w:r w:rsidR="00AE2400">
        <w:rPr>
          <w:rFonts w:ascii="Times New Roman" w:hAnsi="Times New Roman" w:cs="Times New Roman"/>
          <w:bCs/>
          <w:sz w:val="24"/>
          <w:szCs w:val="24"/>
        </w:rPr>
        <w:t xml:space="preserve"> PWC intake</w:t>
      </w:r>
      <w:r w:rsidRPr="008C7047">
        <w:rPr>
          <w:rFonts w:ascii="Times New Roman" w:hAnsi="Times New Roman" w:cs="Times New Roman"/>
          <w:bCs/>
          <w:sz w:val="24"/>
          <w:szCs w:val="24"/>
        </w:rPr>
        <w:t xml:space="preserve">. It was determined that on average there is only a 10 </w:t>
      </w:r>
      <w:proofErr w:type="spellStart"/>
      <w:r w:rsidRPr="008C7047">
        <w:rPr>
          <w:rFonts w:ascii="Times New Roman" w:hAnsi="Times New Roman" w:cs="Times New Roman"/>
          <w:bCs/>
          <w:sz w:val="24"/>
          <w:szCs w:val="24"/>
        </w:rPr>
        <w:t>cfs</w:t>
      </w:r>
      <w:proofErr w:type="spellEnd"/>
      <w:r w:rsidRPr="008C7047">
        <w:rPr>
          <w:rFonts w:ascii="Times New Roman" w:hAnsi="Times New Roman" w:cs="Times New Roman"/>
          <w:bCs/>
          <w:sz w:val="24"/>
          <w:szCs w:val="24"/>
        </w:rPr>
        <w:t xml:space="preserve"> (0.3 percent) difference between the scenarios for the period of record. During drought periods the 2045 Requested IBT scenario had a 0.2 to 1.9 percent increase in time below specific low flow targets (550 </w:t>
      </w:r>
      <w:proofErr w:type="spellStart"/>
      <w:r w:rsidRPr="008C7047">
        <w:rPr>
          <w:rFonts w:ascii="Times New Roman" w:hAnsi="Times New Roman" w:cs="Times New Roman"/>
          <w:bCs/>
          <w:sz w:val="24"/>
          <w:szCs w:val="24"/>
        </w:rPr>
        <w:t>cfs</w:t>
      </w:r>
      <w:proofErr w:type="spellEnd"/>
      <w:r w:rsidRPr="008C7047">
        <w:rPr>
          <w:rFonts w:ascii="Times New Roman" w:hAnsi="Times New Roman" w:cs="Times New Roman"/>
          <w:bCs/>
          <w:sz w:val="24"/>
          <w:szCs w:val="24"/>
        </w:rPr>
        <w:t xml:space="preserve"> and 250 </w:t>
      </w:r>
      <w:proofErr w:type="spellStart"/>
      <w:r w:rsidRPr="008C7047">
        <w:rPr>
          <w:rFonts w:ascii="Times New Roman" w:hAnsi="Times New Roman" w:cs="Times New Roman"/>
          <w:bCs/>
          <w:sz w:val="24"/>
          <w:szCs w:val="24"/>
        </w:rPr>
        <w:t>cfs</w:t>
      </w:r>
      <w:proofErr w:type="spellEnd"/>
      <w:r w:rsidRPr="008C7047">
        <w:rPr>
          <w:rFonts w:ascii="Times New Roman" w:hAnsi="Times New Roman" w:cs="Times New Roman"/>
          <w:bCs/>
          <w:sz w:val="24"/>
          <w:szCs w:val="24"/>
        </w:rPr>
        <w:t xml:space="preserve"> for Lillington; 600 </w:t>
      </w:r>
      <w:proofErr w:type="spellStart"/>
      <w:r w:rsidRPr="008C7047">
        <w:rPr>
          <w:rFonts w:ascii="Times New Roman" w:hAnsi="Times New Roman" w:cs="Times New Roman"/>
          <w:bCs/>
          <w:sz w:val="24"/>
          <w:szCs w:val="24"/>
        </w:rPr>
        <w:t>cfs</w:t>
      </w:r>
      <w:proofErr w:type="spellEnd"/>
      <w:r w:rsidRPr="008C7047">
        <w:rPr>
          <w:rFonts w:ascii="Times New Roman" w:hAnsi="Times New Roman" w:cs="Times New Roman"/>
          <w:bCs/>
          <w:sz w:val="24"/>
          <w:szCs w:val="24"/>
        </w:rPr>
        <w:t xml:space="preserve"> for Fayetteville). </w:t>
      </w:r>
      <w:r w:rsidRPr="008C7047">
        <w:rPr>
          <w:rFonts w:ascii="Times New Roman" w:hAnsi="Times New Roman" w:cs="Times New Roman"/>
          <w:bCs/>
          <w:sz w:val="24"/>
          <w:szCs w:val="24"/>
          <w:u w:val="single"/>
        </w:rPr>
        <w:t xml:space="preserve">These results indicate that the proposed increase in IBT will not affect the </w:t>
      </w:r>
      <w:r w:rsidR="00183FD7">
        <w:rPr>
          <w:rFonts w:ascii="Times New Roman" w:hAnsi="Times New Roman" w:cs="Times New Roman"/>
          <w:bCs/>
          <w:sz w:val="24"/>
          <w:szCs w:val="24"/>
          <w:u w:val="single"/>
        </w:rPr>
        <w:t xml:space="preserve">low-flow augmentation </w:t>
      </w:r>
      <w:r w:rsidRPr="008C7047">
        <w:rPr>
          <w:rFonts w:ascii="Times New Roman" w:hAnsi="Times New Roman" w:cs="Times New Roman"/>
          <w:bCs/>
          <w:sz w:val="24"/>
          <w:szCs w:val="24"/>
          <w:u w:val="single"/>
        </w:rPr>
        <w:t>pool sufficiently to reduce releases from Jordan Lake required to maintain in</w:t>
      </w:r>
      <w:r w:rsidRPr="008C7047">
        <w:rPr>
          <w:rFonts w:ascii="Cambria Math" w:hAnsi="Cambria Math" w:cs="Cambria Math"/>
          <w:bCs/>
          <w:sz w:val="24"/>
          <w:szCs w:val="24"/>
          <w:u w:val="single"/>
        </w:rPr>
        <w:t>‐</w:t>
      </w:r>
      <w:r w:rsidRPr="008C7047">
        <w:rPr>
          <w:rFonts w:ascii="Times New Roman" w:hAnsi="Times New Roman" w:cs="Times New Roman"/>
          <w:bCs/>
          <w:sz w:val="24"/>
          <w:szCs w:val="24"/>
          <w:u w:val="single"/>
        </w:rPr>
        <w:t>stream flows</w:t>
      </w:r>
      <w:r w:rsidR="00AE2400">
        <w:rPr>
          <w:rFonts w:ascii="Times New Roman" w:hAnsi="Times New Roman" w:cs="Times New Roman"/>
          <w:bCs/>
          <w:sz w:val="24"/>
          <w:szCs w:val="24"/>
          <w:u w:val="single"/>
        </w:rPr>
        <w:t xml:space="preserve"> (as scheduled by U.S. Army Corps of Engineers operation guidelines)</w:t>
      </w:r>
      <w:r w:rsidRPr="008C7047">
        <w:rPr>
          <w:rFonts w:ascii="Times New Roman" w:hAnsi="Times New Roman" w:cs="Times New Roman"/>
          <w:bCs/>
          <w:sz w:val="24"/>
          <w:szCs w:val="24"/>
          <w:u w:val="single"/>
        </w:rPr>
        <w:t>, even during periods of drought</w:t>
      </w:r>
      <w:r w:rsidRPr="008C7047">
        <w:rPr>
          <w:rFonts w:ascii="Times New Roman" w:hAnsi="Times New Roman" w:cs="Times New Roman"/>
          <w:bCs/>
          <w:sz w:val="24"/>
          <w:szCs w:val="24"/>
        </w:rPr>
        <w:t xml:space="preserve">. Downstream flow releases from Jordan Lake will remain subject to the USACE release regimes, and the target flows at the Lillington gage, </w:t>
      </w:r>
      <w:r w:rsidR="00183FD7">
        <w:rPr>
          <w:rFonts w:ascii="Times New Roman" w:hAnsi="Times New Roman" w:cs="Times New Roman"/>
          <w:bCs/>
          <w:sz w:val="24"/>
          <w:szCs w:val="24"/>
        </w:rPr>
        <w:t xml:space="preserve">intended to </w:t>
      </w:r>
      <w:r w:rsidRPr="008C7047">
        <w:rPr>
          <w:rFonts w:ascii="Times New Roman" w:hAnsi="Times New Roman" w:cs="Times New Roman"/>
          <w:bCs/>
          <w:sz w:val="24"/>
          <w:szCs w:val="24"/>
        </w:rPr>
        <w:t>protect in-stream aquatic habitat and resources, will continue to be met.</w:t>
      </w:r>
    </w:p>
    <w:p w14:paraId="6809EAD4" w14:textId="77777777" w:rsidR="008C7047" w:rsidRPr="008C7047" w:rsidRDefault="008C7047" w:rsidP="008C7047">
      <w:pPr>
        <w:spacing w:after="0" w:line="240" w:lineRule="auto"/>
        <w:contextualSpacing/>
        <w:rPr>
          <w:rFonts w:ascii="Times New Roman" w:hAnsi="Times New Roman" w:cs="Times New Roman"/>
          <w:bCs/>
          <w:sz w:val="24"/>
          <w:szCs w:val="24"/>
        </w:rPr>
      </w:pPr>
    </w:p>
    <w:p w14:paraId="5F82B77B" w14:textId="77777777" w:rsidR="008C7047" w:rsidRPr="008C7047" w:rsidRDefault="008C7047" w:rsidP="008C7047">
      <w:pPr>
        <w:spacing w:after="0" w:line="240" w:lineRule="auto"/>
        <w:contextualSpacing/>
        <w:rPr>
          <w:rFonts w:ascii="Times New Roman" w:hAnsi="Times New Roman" w:cs="Times New Roman"/>
          <w:bCs/>
          <w:sz w:val="24"/>
          <w:szCs w:val="24"/>
        </w:rPr>
      </w:pPr>
      <w:r w:rsidRPr="008C7047">
        <w:rPr>
          <w:rFonts w:ascii="Times New Roman" w:hAnsi="Times New Roman" w:cs="Times New Roman"/>
          <w:bCs/>
          <w:sz w:val="24"/>
          <w:szCs w:val="24"/>
        </w:rPr>
        <w:t xml:space="preserve">In addition to the key hydrologic indicators reviewed, Jordan Lake Drought Stages, as defined by the </w:t>
      </w:r>
      <w:r w:rsidRPr="008C7047">
        <w:rPr>
          <w:rFonts w:ascii="Times New Roman" w:hAnsi="Times New Roman" w:cs="Times New Roman"/>
          <w:bCs/>
          <w:i/>
          <w:iCs/>
          <w:sz w:val="24"/>
          <w:szCs w:val="24"/>
        </w:rPr>
        <w:t>Jordan Lake Drought Contingency Plan</w:t>
      </w:r>
      <w:r w:rsidR="00DD2ED2">
        <w:rPr>
          <w:rFonts w:ascii="Times New Roman" w:hAnsi="Times New Roman" w:cs="Times New Roman"/>
          <w:bCs/>
          <w:i/>
          <w:iCs/>
          <w:sz w:val="24"/>
          <w:szCs w:val="24"/>
        </w:rPr>
        <w:t xml:space="preserve"> </w:t>
      </w:r>
      <w:r w:rsidR="00DD2ED2" w:rsidRPr="00460065">
        <w:rPr>
          <w:rFonts w:ascii="Times New Roman" w:hAnsi="Times New Roman" w:cs="Times New Roman"/>
          <w:bCs/>
          <w:iCs/>
          <w:sz w:val="24"/>
          <w:szCs w:val="24"/>
        </w:rPr>
        <w:t>(USACE, 2008)</w:t>
      </w:r>
      <w:r w:rsidRPr="008C7047">
        <w:rPr>
          <w:rFonts w:ascii="Times New Roman" w:hAnsi="Times New Roman" w:cs="Times New Roman"/>
          <w:bCs/>
          <w:sz w:val="24"/>
          <w:szCs w:val="24"/>
        </w:rPr>
        <w:t xml:space="preserve">, and downstream water supply availability were </w:t>
      </w:r>
      <w:r w:rsidR="00AE2400">
        <w:rPr>
          <w:rFonts w:ascii="Times New Roman" w:hAnsi="Times New Roman" w:cs="Times New Roman"/>
          <w:bCs/>
          <w:sz w:val="24"/>
          <w:szCs w:val="24"/>
        </w:rPr>
        <w:t xml:space="preserve">also </w:t>
      </w:r>
      <w:r w:rsidRPr="008C7047">
        <w:rPr>
          <w:rFonts w:ascii="Times New Roman" w:hAnsi="Times New Roman" w:cs="Times New Roman"/>
          <w:bCs/>
          <w:sz w:val="24"/>
          <w:szCs w:val="24"/>
        </w:rPr>
        <w:t>reviewed. The following bullets highlight the results:</w:t>
      </w:r>
    </w:p>
    <w:p w14:paraId="34C5DC2D" w14:textId="77777777" w:rsidR="008C7047" w:rsidRDefault="008C7047" w:rsidP="008C7047">
      <w:pPr>
        <w:numPr>
          <w:ilvl w:val="0"/>
          <w:numId w:val="5"/>
        </w:numPr>
        <w:spacing w:after="0" w:line="240" w:lineRule="auto"/>
        <w:contextualSpacing/>
        <w:rPr>
          <w:rFonts w:ascii="Times New Roman" w:hAnsi="Times New Roman" w:cs="Times New Roman"/>
          <w:bCs/>
          <w:sz w:val="24"/>
          <w:szCs w:val="24"/>
        </w:rPr>
      </w:pPr>
      <w:r w:rsidRPr="008C7047">
        <w:rPr>
          <w:rFonts w:ascii="Times New Roman" w:hAnsi="Times New Roman" w:cs="Times New Roman"/>
          <w:bCs/>
          <w:sz w:val="24"/>
          <w:szCs w:val="24"/>
        </w:rPr>
        <w:t xml:space="preserve">The model results show that </w:t>
      </w:r>
      <w:r w:rsidRPr="008C7047">
        <w:rPr>
          <w:rFonts w:ascii="Times New Roman" w:hAnsi="Times New Roman" w:cs="Times New Roman"/>
          <w:bCs/>
          <w:sz w:val="24"/>
          <w:szCs w:val="24"/>
          <w:u w:val="single"/>
        </w:rPr>
        <w:t>all downstream demands</w:t>
      </w:r>
      <w:r w:rsidRPr="008C7047">
        <w:rPr>
          <w:rFonts w:ascii="Times New Roman" w:hAnsi="Times New Roman" w:cs="Times New Roman"/>
          <w:bCs/>
          <w:sz w:val="24"/>
          <w:szCs w:val="24"/>
        </w:rPr>
        <w:t xml:space="preserve"> (City of Sanford, Harnett County, Fayetteville PWC, </w:t>
      </w:r>
      <w:r w:rsidR="00011650" w:rsidRPr="008C7047">
        <w:rPr>
          <w:rFonts w:ascii="Times New Roman" w:hAnsi="Times New Roman" w:cs="Times New Roman"/>
          <w:bCs/>
          <w:sz w:val="24"/>
          <w:szCs w:val="24"/>
        </w:rPr>
        <w:t>City of Dunn</w:t>
      </w:r>
      <w:r w:rsidR="00011650">
        <w:rPr>
          <w:rFonts w:ascii="Times New Roman" w:hAnsi="Times New Roman" w:cs="Times New Roman"/>
          <w:bCs/>
          <w:sz w:val="24"/>
          <w:szCs w:val="24"/>
        </w:rPr>
        <w:t>,</w:t>
      </w:r>
      <w:r w:rsidR="00011650" w:rsidRPr="008C7047">
        <w:rPr>
          <w:rFonts w:ascii="Times New Roman" w:hAnsi="Times New Roman" w:cs="Times New Roman"/>
          <w:bCs/>
          <w:sz w:val="24"/>
          <w:szCs w:val="24"/>
        </w:rPr>
        <w:t xml:space="preserve"> </w:t>
      </w:r>
      <w:r w:rsidRPr="008C7047">
        <w:rPr>
          <w:rFonts w:ascii="Times New Roman" w:hAnsi="Times New Roman" w:cs="Times New Roman"/>
          <w:bCs/>
          <w:sz w:val="24"/>
          <w:szCs w:val="24"/>
        </w:rPr>
        <w:t xml:space="preserve">Smithfield Foods, Lower Cape Fear Water and Sewer Authority, and Cape Fear Public Utility Authority) </w:t>
      </w:r>
      <w:r w:rsidRPr="008C7047">
        <w:rPr>
          <w:rFonts w:ascii="Times New Roman" w:hAnsi="Times New Roman" w:cs="Times New Roman"/>
          <w:bCs/>
          <w:sz w:val="24"/>
          <w:szCs w:val="24"/>
          <w:u w:val="single"/>
        </w:rPr>
        <w:t>are met 100 percent of the time for all model scenarios</w:t>
      </w:r>
      <w:r w:rsidR="00246BEA">
        <w:rPr>
          <w:rFonts w:ascii="Times New Roman" w:hAnsi="Times New Roman" w:cs="Times New Roman"/>
          <w:bCs/>
          <w:sz w:val="24"/>
          <w:szCs w:val="24"/>
          <w:u w:val="single"/>
        </w:rPr>
        <w:t xml:space="preserve"> (see Table 3)</w:t>
      </w:r>
      <w:r w:rsidRPr="008C7047">
        <w:rPr>
          <w:rFonts w:ascii="Times New Roman" w:hAnsi="Times New Roman" w:cs="Times New Roman"/>
          <w:bCs/>
          <w:sz w:val="24"/>
          <w:szCs w:val="24"/>
          <w:u w:val="single"/>
        </w:rPr>
        <w:t>; no shortages result from the increase in future demands or from either of the scenarios with an increase in IBT</w:t>
      </w:r>
      <w:r w:rsidRPr="008C7047">
        <w:rPr>
          <w:rFonts w:ascii="Times New Roman" w:hAnsi="Times New Roman" w:cs="Times New Roman"/>
          <w:bCs/>
          <w:sz w:val="24"/>
          <w:szCs w:val="24"/>
        </w:rPr>
        <w:t>.  These results are based on water supply demand projections provided by these utilities and municipalities in their Local Water Supply Plans.</w:t>
      </w:r>
    </w:p>
    <w:p w14:paraId="259C72CE" w14:textId="77777777" w:rsidR="00460065" w:rsidRPr="00460065" w:rsidRDefault="00460065" w:rsidP="00460065">
      <w:pPr>
        <w:numPr>
          <w:ilvl w:val="0"/>
          <w:numId w:val="5"/>
        </w:numPr>
        <w:spacing w:after="0" w:line="240" w:lineRule="auto"/>
        <w:contextualSpacing/>
        <w:rPr>
          <w:rFonts w:ascii="Times New Roman" w:hAnsi="Times New Roman" w:cs="Times New Roman"/>
          <w:bCs/>
          <w:sz w:val="24"/>
          <w:szCs w:val="24"/>
        </w:rPr>
      </w:pPr>
      <w:r w:rsidRPr="00460065">
        <w:rPr>
          <w:rFonts w:ascii="Times New Roman" w:hAnsi="Times New Roman" w:cs="Times New Roman"/>
          <w:bCs/>
          <w:sz w:val="24"/>
          <w:szCs w:val="24"/>
        </w:rPr>
        <w:t xml:space="preserve">For all scenarios, there is no occurrence of a Stage 4 Drought, as defined in the </w:t>
      </w:r>
      <w:r w:rsidRPr="00460065">
        <w:rPr>
          <w:rFonts w:ascii="Times New Roman" w:hAnsi="Times New Roman" w:cs="Times New Roman"/>
          <w:bCs/>
          <w:i/>
          <w:iCs/>
          <w:sz w:val="24"/>
          <w:szCs w:val="24"/>
        </w:rPr>
        <w:t xml:space="preserve">Jordan Lake Drought Contingency Plan, </w:t>
      </w:r>
      <w:r w:rsidRPr="00460065">
        <w:rPr>
          <w:rFonts w:ascii="Times New Roman" w:hAnsi="Times New Roman" w:cs="Times New Roman"/>
          <w:bCs/>
          <w:sz w:val="24"/>
          <w:szCs w:val="24"/>
        </w:rPr>
        <w:t>during the entire period of record</w:t>
      </w:r>
      <w:r w:rsidR="00805A35">
        <w:rPr>
          <w:rFonts w:ascii="Times New Roman" w:hAnsi="Times New Roman" w:cs="Times New Roman"/>
          <w:bCs/>
          <w:sz w:val="24"/>
          <w:szCs w:val="24"/>
        </w:rPr>
        <w:t xml:space="preserve"> </w:t>
      </w:r>
      <w:r w:rsidR="00805A35">
        <w:rPr>
          <w:rFonts w:ascii="Times New Roman" w:hAnsi="Times New Roman" w:cs="Times New Roman"/>
          <w:sz w:val="24"/>
          <w:szCs w:val="24"/>
        </w:rPr>
        <w:t>(January 1930-September 2011)</w:t>
      </w:r>
      <w:r w:rsidRPr="00460065">
        <w:rPr>
          <w:rFonts w:ascii="Times New Roman" w:hAnsi="Times New Roman" w:cs="Times New Roman"/>
          <w:bCs/>
          <w:sz w:val="24"/>
          <w:szCs w:val="24"/>
        </w:rPr>
        <w:t>.</w:t>
      </w:r>
    </w:p>
    <w:p w14:paraId="7DED151C" w14:textId="77777777" w:rsidR="00460065" w:rsidRPr="00460065" w:rsidRDefault="00460065" w:rsidP="00460065">
      <w:pPr>
        <w:numPr>
          <w:ilvl w:val="0"/>
          <w:numId w:val="5"/>
        </w:numPr>
        <w:spacing w:after="0" w:line="240" w:lineRule="auto"/>
        <w:contextualSpacing/>
        <w:rPr>
          <w:rFonts w:ascii="Times New Roman" w:hAnsi="Times New Roman" w:cs="Times New Roman"/>
          <w:bCs/>
          <w:sz w:val="24"/>
          <w:szCs w:val="24"/>
        </w:rPr>
      </w:pPr>
      <w:r w:rsidRPr="00460065">
        <w:rPr>
          <w:rFonts w:ascii="Times New Roman" w:hAnsi="Times New Roman" w:cs="Times New Roman"/>
          <w:bCs/>
          <w:sz w:val="24"/>
          <w:szCs w:val="24"/>
        </w:rPr>
        <w:t>The frequencies and durations of Stage 1 and Stage 2 Droughts for all 2045 scenarios were greater than the 2010 Baseline scenario, as would be expected based on the increased withdrawals within the Cape Fear River basin and the assumed full utilization of the water supply pool.</w:t>
      </w:r>
    </w:p>
    <w:p w14:paraId="0B4FCFEE" w14:textId="77777777" w:rsidR="00246BEA" w:rsidRDefault="00246BEA" w:rsidP="00786C44">
      <w:pPr>
        <w:spacing w:after="0" w:line="240" w:lineRule="auto"/>
        <w:ind w:left="720"/>
        <w:contextualSpacing/>
        <w:rPr>
          <w:rFonts w:ascii="Times New Roman" w:hAnsi="Times New Roman" w:cs="Times New Roman"/>
          <w:bCs/>
          <w:sz w:val="24"/>
          <w:szCs w:val="24"/>
        </w:rPr>
      </w:pPr>
    </w:p>
    <w:p w14:paraId="0FE8A193" w14:textId="77777777" w:rsidR="00460065" w:rsidRDefault="00460065">
      <w:pPr>
        <w:rPr>
          <w:rFonts w:ascii="Times New Roman" w:hAnsi="Times New Roman" w:cs="Times New Roman"/>
          <w:b/>
          <w:bCs/>
          <w:sz w:val="24"/>
          <w:szCs w:val="24"/>
        </w:rPr>
      </w:pPr>
      <w:r>
        <w:rPr>
          <w:rFonts w:ascii="Times New Roman" w:hAnsi="Times New Roman" w:cs="Times New Roman"/>
          <w:b/>
          <w:bCs/>
          <w:sz w:val="24"/>
          <w:szCs w:val="24"/>
        </w:rPr>
        <w:br w:type="page"/>
      </w:r>
    </w:p>
    <w:p w14:paraId="6A8B3C26" w14:textId="77777777" w:rsidR="004E07CB" w:rsidRDefault="004E07CB" w:rsidP="004E07CB">
      <w:pPr>
        <w:spacing w:after="0" w:line="240" w:lineRule="auto"/>
        <w:rPr>
          <w:rFonts w:ascii="Times New Roman" w:hAnsi="Times New Roman" w:cs="Times New Roman"/>
          <w:b/>
          <w:bCs/>
          <w:sz w:val="24"/>
          <w:szCs w:val="24"/>
        </w:rPr>
      </w:pPr>
      <w:r w:rsidRPr="00786C44">
        <w:rPr>
          <w:rFonts w:ascii="Times New Roman" w:hAnsi="Times New Roman" w:cs="Times New Roman"/>
          <w:b/>
          <w:bCs/>
          <w:sz w:val="24"/>
          <w:szCs w:val="24"/>
        </w:rPr>
        <w:lastRenderedPageBreak/>
        <w:t>Table 3.</w:t>
      </w:r>
      <w:r>
        <w:rPr>
          <w:rFonts w:ascii="Times New Roman" w:hAnsi="Times New Roman" w:cs="Times New Roman"/>
          <w:bCs/>
          <w:sz w:val="24"/>
          <w:szCs w:val="24"/>
        </w:rPr>
        <w:t xml:space="preserve"> </w:t>
      </w:r>
      <w:r w:rsidRPr="00011650">
        <w:rPr>
          <w:rFonts w:ascii="Times New Roman" w:hAnsi="Times New Roman" w:cs="Times New Roman"/>
          <w:b/>
          <w:bCs/>
          <w:sz w:val="24"/>
          <w:szCs w:val="24"/>
        </w:rPr>
        <w:t>Comparison of the Downstream User Water Supply Availability</w:t>
      </w:r>
    </w:p>
    <w:tbl>
      <w:tblPr>
        <w:tblW w:w="7840" w:type="dxa"/>
        <w:tblInd w:w="93" w:type="dxa"/>
        <w:tblLook w:val="04A0" w:firstRow="1" w:lastRow="0" w:firstColumn="1" w:lastColumn="0" w:noHBand="0" w:noVBand="1"/>
      </w:tblPr>
      <w:tblGrid>
        <w:gridCol w:w="2560"/>
        <w:gridCol w:w="1320"/>
        <w:gridCol w:w="1320"/>
        <w:gridCol w:w="1320"/>
        <w:gridCol w:w="1320"/>
      </w:tblGrid>
      <w:tr w:rsidR="004E07CB" w:rsidRPr="004F2E6C" w14:paraId="68F11D4D" w14:textId="77777777" w:rsidTr="00BF2EF3">
        <w:trPr>
          <w:trHeight w:val="509"/>
        </w:trPr>
        <w:tc>
          <w:tcPr>
            <w:tcW w:w="7840" w:type="dxa"/>
            <w:gridSpan w:val="5"/>
            <w:vMerge w:val="restart"/>
            <w:tcBorders>
              <w:top w:val="nil"/>
              <w:left w:val="nil"/>
              <w:bottom w:val="nil"/>
              <w:right w:val="nil"/>
            </w:tcBorders>
            <w:shd w:val="clear" w:color="auto" w:fill="auto"/>
            <w:vAlign w:val="bottom"/>
            <w:hideMark/>
          </w:tcPr>
          <w:p w14:paraId="7A8F5D09" w14:textId="77777777" w:rsidR="004E07CB" w:rsidRPr="004E07CB" w:rsidRDefault="004E07CB" w:rsidP="004E07CB">
            <w:pPr>
              <w:spacing w:after="0" w:line="240" w:lineRule="auto"/>
              <w:rPr>
                <w:rFonts w:ascii="Calibri" w:eastAsia="Times New Roman" w:hAnsi="Calibri" w:cs="Times New Roman"/>
                <w:sz w:val="20"/>
                <w:szCs w:val="20"/>
              </w:rPr>
            </w:pPr>
            <w:r w:rsidRPr="004E07CB">
              <w:rPr>
                <w:rFonts w:ascii="Times New Roman" w:hAnsi="Times New Roman" w:cs="Times New Roman"/>
                <w:bCs/>
                <w:sz w:val="20"/>
                <w:szCs w:val="20"/>
              </w:rPr>
              <w:t>Percent of Time the Full Projected Water Supply Withdrawals are Met</w:t>
            </w:r>
            <w:r w:rsidRPr="004E07CB">
              <w:rPr>
                <w:rFonts w:ascii="Times New Roman" w:hAnsi="Times New Roman" w:cs="Times New Roman"/>
                <w:bCs/>
                <w:sz w:val="20"/>
                <w:szCs w:val="20"/>
                <w:vertAlign w:val="superscript"/>
              </w:rPr>
              <w:t>1</w:t>
            </w:r>
            <w:r w:rsidRPr="004E07CB">
              <w:rPr>
                <w:rFonts w:ascii="Calibri" w:eastAsia="Times New Roman" w:hAnsi="Calibri" w:cs="Times New Roman"/>
                <w:sz w:val="20"/>
                <w:szCs w:val="20"/>
              </w:rPr>
              <w:t xml:space="preserve"> </w:t>
            </w:r>
          </w:p>
        </w:tc>
      </w:tr>
      <w:tr w:rsidR="004E07CB" w:rsidRPr="004F2E6C" w14:paraId="1DEE282A" w14:textId="77777777" w:rsidTr="00BF2EF3">
        <w:trPr>
          <w:trHeight w:val="509"/>
        </w:trPr>
        <w:tc>
          <w:tcPr>
            <w:tcW w:w="7840" w:type="dxa"/>
            <w:gridSpan w:val="5"/>
            <w:vMerge/>
            <w:tcBorders>
              <w:top w:val="nil"/>
              <w:left w:val="nil"/>
              <w:bottom w:val="nil"/>
              <w:right w:val="nil"/>
            </w:tcBorders>
            <w:vAlign w:val="center"/>
            <w:hideMark/>
          </w:tcPr>
          <w:p w14:paraId="04FDF6B5" w14:textId="77777777" w:rsidR="004E07CB" w:rsidRPr="004F2E6C" w:rsidRDefault="004E07CB" w:rsidP="00BF2EF3">
            <w:pPr>
              <w:spacing w:after="0" w:line="240" w:lineRule="auto"/>
              <w:rPr>
                <w:rFonts w:ascii="Calibri" w:eastAsia="Times New Roman" w:hAnsi="Calibri" w:cs="Times New Roman"/>
                <w:sz w:val="24"/>
                <w:szCs w:val="24"/>
              </w:rPr>
            </w:pPr>
          </w:p>
        </w:tc>
      </w:tr>
      <w:tr w:rsidR="004E07CB" w:rsidRPr="004F2E6C" w14:paraId="72EEB66D" w14:textId="77777777" w:rsidTr="00BF2EF3">
        <w:trPr>
          <w:trHeight w:val="255"/>
        </w:trPr>
        <w:tc>
          <w:tcPr>
            <w:tcW w:w="7840" w:type="dxa"/>
            <w:gridSpan w:val="5"/>
            <w:tcBorders>
              <w:top w:val="nil"/>
              <w:left w:val="nil"/>
              <w:bottom w:val="single" w:sz="4" w:space="0" w:color="auto"/>
              <w:right w:val="nil"/>
            </w:tcBorders>
            <w:shd w:val="clear" w:color="auto" w:fill="auto"/>
            <w:vAlign w:val="bottom"/>
            <w:hideMark/>
          </w:tcPr>
          <w:p w14:paraId="5487A5C1" w14:textId="77777777" w:rsidR="004E07CB" w:rsidRPr="004F2E6C" w:rsidRDefault="004E07CB" w:rsidP="00BF2EF3">
            <w:pPr>
              <w:spacing w:after="0" w:line="240" w:lineRule="auto"/>
              <w:rPr>
                <w:rFonts w:ascii="Verdana" w:eastAsia="Times New Roman" w:hAnsi="Verdana" w:cs="Times New Roman"/>
                <w:sz w:val="20"/>
                <w:szCs w:val="20"/>
              </w:rPr>
            </w:pPr>
            <w:r w:rsidRPr="004F2E6C">
              <w:rPr>
                <w:rFonts w:ascii="Times New Roman" w:hAnsi="Times New Roman" w:cs="Times New Roman"/>
                <w:bCs/>
                <w:sz w:val="20"/>
                <w:szCs w:val="20"/>
              </w:rPr>
              <w:t>Demand values are presented in parentheses (MGD)</w:t>
            </w:r>
          </w:p>
        </w:tc>
      </w:tr>
      <w:tr w:rsidR="004E07CB" w:rsidRPr="004F2E6C" w14:paraId="7F9CBC5C" w14:textId="77777777" w:rsidTr="00BF2EF3">
        <w:trPr>
          <w:trHeight w:val="509"/>
        </w:trPr>
        <w:tc>
          <w:tcPr>
            <w:tcW w:w="2560" w:type="dxa"/>
            <w:vMerge w:val="restart"/>
            <w:tcBorders>
              <w:top w:val="nil"/>
              <w:left w:val="single" w:sz="4" w:space="0" w:color="auto"/>
              <w:bottom w:val="single" w:sz="4" w:space="0" w:color="000000"/>
              <w:right w:val="single" w:sz="4" w:space="0" w:color="FFFFFF"/>
            </w:tcBorders>
            <w:shd w:val="clear" w:color="000000" w:fill="C0C0C0"/>
            <w:vAlign w:val="center"/>
            <w:hideMark/>
          </w:tcPr>
          <w:p w14:paraId="4AD96138" w14:textId="77777777" w:rsidR="004E07CB" w:rsidRPr="004F2E6C" w:rsidRDefault="004E07CB" w:rsidP="00BF2EF3">
            <w:pPr>
              <w:spacing w:after="0" w:line="240" w:lineRule="auto"/>
              <w:jc w:val="center"/>
              <w:rPr>
                <w:rFonts w:ascii="Calibri" w:eastAsia="Times New Roman" w:hAnsi="Calibri" w:cs="Times New Roman"/>
                <w:b/>
                <w:bCs/>
                <w:sz w:val="18"/>
                <w:szCs w:val="18"/>
              </w:rPr>
            </w:pPr>
            <w:r w:rsidRPr="004F2E6C">
              <w:rPr>
                <w:rFonts w:ascii="Calibri" w:eastAsia="Times New Roman" w:hAnsi="Calibri" w:cs="Times New Roman"/>
                <w:b/>
                <w:bCs/>
                <w:sz w:val="18"/>
                <w:szCs w:val="18"/>
              </w:rPr>
              <w:t>Water System/Withdrawer</w:t>
            </w:r>
          </w:p>
        </w:tc>
        <w:tc>
          <w:tcPr>
            <w:tcW w:w="1320" w:type="dxa"/>
            <w:vMerge w:val="restart"/>
            <w:tcBorders>
              <w:top w:val="nil"/>
              <w:left w:val="single" w:sz="4" w:space="0" w:color="FFFFFF"/>
              <w:bottom w:val="single" w:sz="4" w:space="0" w:color="FFFFFF"/>
              <w:right w:val="single" w:sz="4" w:space="0" w:color="FFFFFF"/>
            </w:tcBorders>
            <w:shd w:val="clear" w:color="000000" w:fill="C0C0C0"/>
            <w:vAlign w:val="center"/>
            <w:hideMark/>
          </w:tcPr>
          <w:p w14:paraId="1073714C" w14:textId="77777777" w:rsidR="004E07CB" w:rsidRPr="004F2E6C" w:rsidRDefault="004E07CB" w:rsidP="00BF2EF3">
            <w:pPr>
              <w:spacing w:after="0" w:line="240" w:lineRule="auto"/>
              <w:jc w:val="center"/>
              <w:rPr>
                <w:rFonts w:ascii="Calibri" w:eastAsia="Times New Roman" w:hAnsi="Calibri" w:cs="Times New Roman"/>
                <w:b/>
                <w:bCs/>
                <w:sz w:val="18"/>
                <w:szCs w:val="18"/>
              </w:rPr>
            </w:pPr>
            <w:r w:rsidRPr="004F2E6C">
              <w:rPr>
                <w:rFonts w:ascii="Calibri" w:eastAsia="Times New Roman" w:hAnsi="Calibri" w:cs="Times New Roman"/>
                <w:b/>
                <w:bCs/>
                <w:sz w:val="18"/>
                <w:szCs w:val="18"/>
              </w:rPr>
              <w:t>2010 Baseline</w:t>
            </w:r>
          </w:p>
        </w:tc>
        <w:tc>
          <w:tcPr>
            <w:tcW w:w="1320" w:type="dxa"/>
            <w:vMerge w:val="restart"/>
            <w:tcBorders>
              <w:top w:val="nil"/>
              <w:left w:val="single" w:sz="4" w:space="0" w:color="FFFFFF"/>
              <w:bottom w:val="single" w:sz="4" w:space="0" w:color="FFFFFF"/>
              <w:right w:val="single" w:sz="4" w:space="0" w:color="FFFFFF"/>
            </w:tcBorders>
            <w:shd w:val="clear" w:color="000000" w:fill="C0C0C0"/>
            <w:vAlign w:val="center"/>
            <w:hideMark/>
          </w:tcPr>
          <w:p w14:paraId="37CE1CD1" w14:textId="77777777" w:rsidR="004E07CB" w:rsidRPr="004F2E6C" w:rsidRDefault="004E07CB" w:rsidP="00BF2EF3">
            <w:pPr>
              <w:spacing w:after="0" w:line="240" w:lineRule="auto"/>
              <w:jc w:val="center"/>
              <w:rPr>
                <w:rFonts w:ascii="Calibri" w:eastAsia="Times New Roman" w:hAnsi="Calibri" w:cs="Times New Roman"/>
                <w:b/>
                <w:bCs/>
                <w:sz w:val="18"/>
                <w:szCs w:val="18"/>
              </w:rPr>
            </w:pPr>
            <w:r w:rsidRPr="004F2E6C">
              <w:rPr>
                <w:rFonts w:ascii="Calibri" w:eastAsia="Times New Roman" w:hAnsi="Calibri" w:cs="Times New Roman"/>
                <w:b/>
                <w:bCs/>
                <w:sz w:val="18"/>
                <w:szCs w:val="18"/>
              </w:rPr>
              <w:t>2045 Baseline</w:t>
            </w:r>
          </w:p>
        </w:tc>
        <w:tc>
          <w:tcPr>
            <w:tcW w:w="1320" w:type="dxa"/>
            <w:vMerge w:val="restart"/>
            <w:tcBorders>
              <w:top w:val="nil"/>
              <w:left w:val="single" w:sz="4" w:space="0" w:color="FFFFFF"/>
              <w:bottom w:val="single" w:sz="4" w:space="0" w:color="FFFFFF"/>
              <w:right w:val="single" w:sz="4" w:space="0" w:color="FFFFFF"/>
            </w:tcBorders>
            <w:shd w:val="clear" w:color="000000" w:fill="C0C0C0"/>
            <w:vAlign w:val="center"/>
            <w:hideMark/>
          </w:tcPr>
          <w:p w14:paraId="79345E35" w14:textId="77777777" w:rsidR="004E07CB" w:rsidRPr="004F2E6C" w:rsidRDefault="004E07CB" w:rsidP="00BF2EF3">
            <w:pPr>
              <w:spacing w:after="0" w:line="240" w:lineRule="auto"/>
              <w:jc w:val="center"/>
              <w:rPr>
                <w:rFonts w:ascii="Calibri" w:eastAsia="Times New Roman" w:hAnsi="Calibri" w:cs="Times New Roman"/>
                <w:b/>
                <w:bCs/>
                <w:sz w:val="18"/>
                <w:szCs w:val="18"/>
              </w:rPr>
            </w:pPr>
            <w:r w:rsidRPr="004F2E6C">
              <w:rPr>
                <w:rFonts w:ascii="Calibri" w:eastAsia="Times New Roman" w:hAnsi="Calibri" w:cs="Times New Roman"/>
                <w:b/>
                <w:bCs/>
                <w:sz w:val="18"/>
                <w:szCs w:val="18"/>
              </w:rPr>
              <w:t>2045 Requested IBT</w:t>
            </w:r>
          </w:p>
        </w:tc>
        <w:tc>
          <w:tcPr>
            <w:tcW w:w="1320" w:type="dxa"/>
            <w:vMerge w:val="restart"/>
            <w:tcBorders>
              <w:top w:val="nil"/>
              <w:left w:val="single" w:sz="4" w:space="0" w:color="FFFFFF"/>
              <w:bottom w:val="single" w:sz="4" w:space="0" w:color="FFFFFF"/>
              <w:right w:val="single" w:sz="4" w:space="0" w:color="auto"/>
            </w:tcBorders>
            <w:shd w:val="clear" w:color="000000" w:fill="C0C0C0"/>
            <w:vAlign w:val="center"/>
            <w:hideMark/>
          </w:tcPr>
          <w:p w14:paraId="690F00C0" w14:textId="77777777" w:rsidR="004E07CB" w:rsidRPr="004F2E6C" w:rsidRDefault="004E07CB" w:rsidP="00BF2EF3">
            <w:pPr>
              <w:spacing w:after="0" w:line="240" w:lineRule="auto"/>
              <w:jc w:val="center"/>
              <w:rPr>
                <w:rFonts w:ascii="Calibri" w:eastAsia="Times New Roman" w:hAnsi="Calibri" w:cs="Times New Roman"/>
                <w:b/>
                <w:bCs/>
                <w:sz w:val="18"/>
                <w:szCs w:val="18"/>
              </w:rPr>
            </w:pPr>
            <w:r w:rsidRPr="004F2E6C">
              <w:rPr>
                <w:rFonts w:ascii="Calibri" w:eastAsia="Times New Roman" w:hAnsi="Calibri" w:cs="Times New Roman"/>
                <w:b/>
                <w:bCs/>
                <w:sz w:val="18"/>
                <w:szCs w:val="18"/>
              </w:rPr>
              <w:t>2045 Increased Neuse Discharge IBT</w:t>
            </w:r>
          </w:p>
        </w:tc>
      </w:tr>
      <w:tr w:rsidR="004E07CB" w:rsidRPr="004F2E6C" w14:paraId="4D9E380A" w14:textId="77777777" w:rsidTr="00BF2EF3">
        <w:trPr>
          <w:trHeight w:val="509"/>
        </w:trPr>
        <w:tc>
          <w:tcPr>
            <w:tcW w:w="2560" w:type="dxa"/>
            <w:vMerge/>
            <w:tcBorders>
              <w:top w:val="nil"/>
              <w:left w:val="single" w:sz="4" w:space="0" w:color="auto"/>
              <w:bottom w:val="single" w:sz="4" w:space="0" w:color="000000"/>
              <w:right w:val="single" w:sz="4" w:space="0" w:color="FFFFFF"/>
            </w:tcBorders>
            <w:vAlign w:val="center"/>
            <w:hideMark/>
          </w:tcPr>
          <w:p w14:paraId="3AF303DE"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FFFFFF"/>
              <w:right w:val="single" w:sz="4" w:space="0" w:color="FFFFFF"/>
            </w:tcBorders>
            <w:vAlign w:val="center"/>
            <w:hideMark/>
          </w:tcPr>
          <w:p w14:paraId="17E82B9A"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FFFFFF"/>
              <w:right w:val="single" w:sz="4" w:space="0" w:color="FFFFFF"/>
            </w:tcBorders>
            <w:vAlign w:val="center"/>
            <w:hideMark/>
          </w:tcPr>
          <w:p w14:paraId="40DD5F27"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FFFFFF"/>
              <w:right w:val="single" w:sz="4" w:space="0" w:color="FFFFFF"/>
            </w:tcBorders>
            <w:vAlign w:val="center"/>
            <w:hideMark/>
          </w:tcPr>
          <w:p w14:paraId="07983B74"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FFFFFF"/>
              <w:right w:val="single" w:sz="4" w:space="0" w:color="auto"/>
            </w:tcBorders>
            <w:vAlign w:val="center"/>
            <w:hideMark/>
          </w:tcPr>
          <w:p w14:paraId="762D9446" w14:textId="77777777" w:rsidR="004E07CB" w:rsidRPr="004F2E6C" w:rsidRDefault="004E07CB" w:rsidP="00BF2EF3">
            <w:pPr>
              <w:spacing w:after="0" w:line="240" w:lineRule="auto"/>
              <w:rPr>
                <w:rFonts w:ascii="Calibri" w:eastAsia="Times New Roman" w:hAnsi="Calibri" w:cs="Times New Roman"/>
                <w:b/>
                <w:bCs/>
                <w:sz w:val="18"/>
                <w:szCs w:val="18"/>
              </w:rPr>
            </w:pPr>
          </w:p>
        </w:tc>
      </w:tr>
      <w:tr w:rsidR="004E07CB" w:rsidRPr="004F2E6C" w14:paraId="44CB4034" w14:textId="77777777" w:rsidTr="00BF2EF3">
        <w:trPr>
          <w:trHeight w:val="509"/>
        </w:trPr>
        <w:tc>
          <w:tcPr>
            <w:tcW w:w="2560" w:type="dxa"/>
            <w:vMerge/>
            <w:tcBorders>
              <w:top w:val="nil"/>
              <w:left w:val="single" w:sz="4" w:space="0" w:color="auto"/>
              <w:bottom w:val="single" w:sz="4" w:space="0" w:color="000000"/>
              <w:right w:val="single" w:sz="4" w:space="0" w:color="FFFFFF"/>
            </w:tcBorders>
            <w:vAlign w:val="center"/>
            <w:hideMark/>
          </w:tcPr>
          <w:p w14:paraId="49D8C627"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FFFFFF"/>
              <w:right w:val="single" w:sz="4" w:space="0" w:color="FFFFFF"/>
            </w:tcBorders>
            <w:vAlign w:val="center"/>
            <w:hideMark/>
          </w:tcPr>
          <w:p w14:paraId="1C369CF0"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FFFFFF"/>
              <w:right w:val="single" w:sz="4" w:space="0" w:color="FFFFFF"/>
            </w:tcBorders>
            <w:vAlign w:val="center"/>
            <w:hideMark/>
          </w:tcPr>
          <w:p w14:paraId="762F63B3"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FFFFFF"/>
              <w:right w:val="single" w:sz="4" w:space="0" w:color="FFFFFF"/>
            </w:tcBorders>
            <w:vAlign w:val="center"/>
            <w:hideMark/>
          </w:tcPr>
          <w:p w14:paraId="1310B2EE"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FFFFFF"/>
              <w:right w:val="single" w:sz="4" w:space="0" w:color="auto"/>
            </w:tcBorders>
            <w:vAlign w:val="center"/>
            <w:hideMark/>
          </w:tcPr>
          <w:p w14:paraId="02AD1354" w14:textId="77777777" w:rsidR="004E07CB" w:rsidRPr="004F2E6C" w:rsidRDefault="004E07CB" w:rsidP="00BF2EF3">
            <w:pPr>
              <w:spacing w:after="0" w:line="240" w:lineRule="auto"/>
              <w:rPr>
                <w:rFonts w:ascii="Calibri" w:eastAsia="Times New Roman" w:hAnsi="Calibri" w:cs="Times New Roman"/>
                <w:b/>
                <w:bCs/>
                <w:sz w:val="18"/>
                <w:szCs w:val="18"/>
              </w:rPr>
            </w:pPr>
          </w:p>
        </w:tc>
      </w:tr>
      <w:tr w:rsidR="004E07CB" w:rsidRPr="004F2E6C" w14:paraId="63C5D6AF" w14:textId="77777777" w:rsidTr="00BF2EF3">
        <w:trPr>
          <w:trHeight w:val="509"/>
        </w:trPr>
        <w:tc>
          <w:tcPr>
            <w:tcW w:w="2560" w:type="dxa"/>
            <w:vMerge/>
            <w:tcBorders>
              <w:top w:val="nil"/>
              <w:left w:val="single" w:sz="4" w:space="0" w:color="auto"/>
              <w:bottom w:val="single" w:sz="4" w:space="0" w:color="000000"/>
              <w:right w:val="single" w:sz="4" w:space="0" w:color="FFFFFF"/>
            </w:tcBorders>
            <w:vAlign w:val="center"/>
            <w:hideMark/>
          </w:tcPr>
          <w:p w14:paraId="446AD7B2"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val="restart"/>
            <w:tcBorders>
              <w:top w:val="nil"/>
              <w:left w:val="single" w:sz="4" w:space="0" w:color="FFFFFF"/>
              <w:bottom w:val="single" w:sz="4" w:space="0" w:color="000000"/>
              <w:right w:val="single" w:sz="4" w:space="0" w:color="FFFFFF"/>
            </w:tcBorders>
            <w:shd w:val="clear" w:color="000000" w:fill="C0C0C0"/>
            <w:vAlign w:val="center"/>
            <w:hideMark/>
          </w:tcPr>
          <w:p w14:paraId="51E1991C" w14:textId="77777777" w:rsidR="004E07CB" w:rsidRPr="004F2E6C" w:rsidRDefault="004E07CB" w:rsidP="00BF2EF3">
            <w:pPr>
              <w:spacing w:after="0" w:line="240" w:lineRule="auto"/>
              <w:jc w:val="center"/>
              <w:rPr>
                <w:rFonts w:ascii="Calibri" w:eastAsia="Times New Roman" w:hAnsi="Calibri" w:cs="Times New Roman"/>
                <w:b/>
                <w:bCs/>
                <w:sz w:val="18"/>
                <w:szCs w:val="18"/>
              </w:rPr>
            </w:pPr>
            <w:r w:rsidRPr="004F2E6C">
              <w:rPr>
                <w:rFonts w:ascii="Calibri" w:eastAsia="Times New Roman" w:hAnsi="Calibri" w:cs="Times New Roman"/>
                <w:b/>
                <w:bCs/>
                <w:sz w:val="18"/>
                <w:szCs w:val="18"/>
              </w:rPr>
              <w:t> </w:t>
            </w:r>
          </w:p>
        </w:tc>
        <w:tc>
          <w:tcPr>
            <w:tcW w:w="1320" w:type="dxa"/>
            <w:vMerge w:val="restart"/>
            <w:tcBorders>
              <w:top w:val="nil"/>
              <w:left w:val="single" w:sz="4" w:space="0" w:color="FFFFFF"/>
              <w:bottom w:val="single" w:sz="4" w:space="0" w:color="000000"/>
              <w:right w:val="single" w:sz="4" w:space="0" w:color="FFFFFF"/>
            </w:tcBorders>
            <w:shd w:val="clear" w:color="000000" w:fill="C0C0C0"/>
            <w:vAlign w:val="center"/>
            <w:hideMark/>
          </w:tcPr>
          <w:p w14:paraId="56BBB205" w14:textId="77777777" w:rsidR="004E07CB" w:rsidRPr="004F2E6C" w:rsidRDefault="004E07CB" w:rsidP="00BF2EF3">
            <w:pPr>
              <w:spacing w:after="0" w:line="240" w:lineRule="auto"/>
              <w:jc w:val="center"/>
              <w:rPr>
                <w:rFonts w:ascii="Calibri" w:eastAsia="Times New Roman" w:hAnsi="Calibri" w:cs="Times New Roman"/>
                <w:b/>
                <w:bCs/>
                <w:sz w:val="18"/>
                <w:szCs w:val="18"/>
              </w:rPr>
            </w:pPr>
            <w:r w:rsidRPr="004F2E6C">
              <w:rPr>
                <w:rFonts w:ascii="Calibri" w:eastAsia="Times New Roman" w:hAnsi="Calibri" w:cs="Times New Roman"/>
                <w:b/>
                <w:bCs/>
                <w:sz w:val="18"/>
                <w:szCs w:val="18"/>
              </w:rPr>
              <w:t>Alt. 1 (no action) and 3a though 3e</w:t>
            </w:r>
          </w:p>
        </w:tc>
        <w:tc>
          <w:tcPr>
            <w:tcW w:w="1320" w:type="dxa"/>
            <w:vMerge w:val="restart"/>
            <w:tcBorders>
              <w:top w:val="nil"/>
              <w:left w:val="single" w:sz="4" w:space="0" w:color="FFFFFF"/>
              <w:bottom w:val="single" w:sz="4" w:space="0" w:color="000000"/>
              <w:right w:val="single" w:sz="4" w:space="0" w:color="FFFFFF"/>
            </w:tcBorders>
            <w:shd w:val="clear" w:color="000000" w:fill="C0C0C0"/>
            <w:vAlign w:val="center"/>
            <w:hideMark/>
          </w:tcPr>
          <w:p w14:paraId="79A94467" w14:textId="77777777" w:rsidR="004E07CB" w:rsidRPr="004F2E6C" w:rsidRDefault="004E07CB" w:rsidP="00BF2EF3">
            <w:pPr>
              <w:spacing w:after="0" w:line="240" w:lineRule="auto"/>
              <w:jc w:val="center"/>
              <w:rPr>
                <w:rFonts w:ascii="Calibri" w:eastAsia="Times New Roman" w:hAnsi="Calibri" w:cs="Times New Roman"/>
                <w:b/>
                <w:bCs/>
                <w:sz w:val="18"/>
                <w:szCs w:val="18"/>
              </w:rPr>
            </w:pPr>
            <w:r w:rsidRPr="004F2E6C">
              <w:rPr>
                <w:rFonts w:ascii="Calibri" w:eastAsia="Times New Roman" w:hAnsi="Calibri" w:cs="Times New Roman"/>
                <w:b/>
                <w:bCs/>
                <w:sz w:val="18"/>
                <w:szCs w:val="18"/>
              </w:rPr>
              <w:t>2a (preferred)</w:t>
            </w:r>
          </w:p>
        </w:tc>
        <w:tc>
          <w:tcPr>
            <w:tcW w:w="1320" w:type="dxa"/>
            <w:vMerge w:val="restart"/>
            <w:tcBorders>
              <w:top w:val="nil"/>
              <w:left w:val="single" w:sz="4" w:space="0" w:color="FFFFFF"/>
              <w:bottom w:val="single" w:sz="4" w:space="0" w:color="000000"/>
              <w:right w:val="single" w:sz="4" w:space="0" w:color="auto"/>
            </w:tcBorders>
            <w:shd w:val="clear" w:color="000000" w:fill="C0C0C0"/>
            <w:vAlign w:val="center"/>
            <w:hideMark/>
          </w:tcPr>
          <w:p w14:paraId="6DB21468" w14:textId="77777777" w:rsidR="004E07CB" w:rsidRPr="004F2E6C" w:rsidRDefault="004E07CB" w:rsidP="00BF2EF3">
            <w:pPr>
              <w:spacing w:after="0" w:line="240" w:lineRule="auto"/>
              <w:jc w:val="center"/>
              <w:rPr>
                <w:rFonts w:ascii="Calibri" w:eastAsia="Times New Roman" w:hAnsi="Calibri" w:cs="Times New Roman"/>
                <w:b/>
                <w:bCs/>
                <w:sz w:val="18"/>
                <w:szCs w:val="18"/>
              </w:rPr>
            </w:pPr>
            <w:r w:rsidRPr="004F2E6C">
              <w:rPr>
                <w:rFonts w:ascii="Calibri" w:eastAsia="Times New Roman" w:hAnsi="Calibri" w:cs="Times New Roman"/>
                <w:b/>
                <w:bCs/>
                <w:sz w:val="18"/>
                <w:szCs w:val="18"/>
              </w:rPr>
              <w:t>2b</w:t>
            </w:r>
          </w:p>
        </w:tc>
      </w:tr>
      <w:tr w:rsidR="004E07CB" w:rsidRPr="004F2E6C" w14:paraId="5C034E0A" w14:textId="77777777" w:rsidTr="00BF2EF3">
        <w:trPr>
          <w:trHeight w:val="509"/>
        </w:trPr>
        <w:tc>
          <w:tcPr>
            <w:tcW w:w="2560" w:type="dxa"/>
            <w:vMerge/>
            <w:tcBorders>
              <w:top w:val="nil"/>
              <w:left w:val="single" w:sz="4" w:space="0" w:color="auto"/>
              <w:bottom w:val="single" w:sz="4" w:space="0" w:color="000000"/>
              <w:right w:val="single" w:sz="4" w:space="0" w:color="FFFFFF"/>
            </w:tcBorders>
            <w:vAlign w:val="center"/>
            <w:hideMark/>
          </w:tcPr>
          <w:p w14:paraId="37C9EFFC"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000000"/>
              <w:right w:val="single" w:sz="4" w:space="0" w:color="FFFFFF"/>
            </w:tcBorders>
            <w:vAlign w:val="center"/>
            <w:hideMark/>
          </w:tcPr>
          <w:p w14:paraId="59086C6A"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000000"/>
              <w:right w:val="single" w:sz="4" w:space="0" w:color="FFFFFF"/>
            </w:tcBorders>
            <w:vAlign w:val="center"/>
            <w:hideMark/>
          </w:tcPr>
          <w:p w14:paraId="3333FE7E"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000000"/>
              <w:right w:val="single" w:sz="4" w:space="0" w:color="FFFFFF"/>
            </w:tcBorders>
            <w:vAlign w:val="center"/>
            <w:hideMark/>
          </w:tcPr>
          <w:p w14:paraId="6CB6F566" w14:textId="77777777" w:rsidR="004E07CB" w:rsidRPr="004F2E6C" w:rsidRDefault="004E07CB" w:rsidP="00BF2EF3">
            <w:pPr>
              <w:spacing w:after="0" w:line="240" w:lineRule="auto"/>
              <w:rPr>
                <w:rFonts w:ascii="Calibri" w:eastAsia="Times New Roman" w:hAnsi="Calibri" w:cs="Times New Roman"/>
                <w:b/>
                <w:bCs/>
                <w:sz w:val="18"/>
                <w:szCs w:val="18"/>
              </w:rPr>
            </w:pPr>
          </w:p>
        </w:tc>
        <w:tc>
          <w:tcPr>
            <w:tcW w:w="1320" w:type="dxa"/>
            <w:vMerge/>
            <w:tcBorders>
              <w:top w:val="nil"/>
              <w:left w:val="single" w:sz="4" w:space="0" w:color="FFFFFF"/>
              <w:bottom w:val="single" w:sz="4" w:space="0" w:color="000000"/>
              <w:right w:val="single" w:sz="4" w:space="0" w:color="auto"/>
            </w:tcBorders>
            <w:vAlign w:val="center"/>
            <w:hideMark/>
          </w:tcPr>
          <w:p w14:paraId="41F12ACA" w14:textId="77777777" w:rsidR="004E07CB" w:rsidRPr="004F2E6C" w:rsidRDefault="004E07CB" w:rsidP="00BF2EF3">
            <w:pPr>
              <w:spacing w:after="0" w:line="240" w:lineRule="auto"/>
              <w:rPr>
                <w:rFonts w:ascii="Calibri" w:eastAsia="Times New Roman" w:hAnsi="Calibri" w:cs="Times New Roman"/>
                <w:b/>
                <w:bCs/>
                <w:sz w:val="18"/>
                <w:szCs w:val="18"/>
              </w:rPr>
            </w:pPr>
          </w:p>
        </w:tc>
      </w:tr>
      <w:tr w:rsidR="004E07CB" w:rsidRPr="004F2E6C" w14:paraId="4102AF45" w14:textId="77777777" w:rsidTr="00BF2EF3">
        <w:trPr>
          <w:trHeight w:val="255"/>
        </w:trPr>
        <w:tc>
          <w:tcPr>
            <w:tcW w:w="2560" w:type="dxa"/>
            <w:tcBorders>
              <w:top w:val="nil"/>
              <w:left w:val="single" w:sz="4" w:space="0" w:color="auto"/>
              <w:bottom w:val="nil"/>
              <w:right w:val="nil"/>
            </w:tcBorders>
            <w:shd w:val="clear" w:color="auto" w:fill="auto"/>
            <w:hideMark/>
          </w:tcPr>
          <w:p w14:paraId="05D5BA7D" w14:textId="77777777" w:rsidR="004E07CB" w:rsidRPr="004F2E6C" w:rsidRDefault="004E07CB" w:rsidP="00BF2EF3">
            <w:pPr>
              <w:spacing w:after="0" w:line="240" w:lineRule="auto"/>
              <w:rPr>
                <w:rFonts w:ascii="Calibri" w:eastAsia="Times New Roman" w:hAnsi="Calibri" w:cs="Times New Roman"/>
                <w:sz w:val="20"/>
                <w:szCs w:val="20"/>
              </w:rPr>
            </w:pPr>
            <w:r w:rsidRPr="004F2E6C">
              <w:rPr>
                <w:rFonts w:ascii="Calibri" w:eastAsia="Times New Roman" w:hAnsi="Calibri" w:cs="Times New Roman"/>
                <w:sz w:val="20"/>
                <w:szCs w:val="20"/>
              </w:rPr>
              <w:t>City of Sanford</w:t>
            </w:r>
          </w:p>
        </w:tc>
        <w:tc>
          <w:tcPr>
            <w:tcW w:w="1320" w:type="dxa"/>
            <w:tcBorders>
              <w:top w:val="nil"/>
              <w:left w:val="nil"/>
              <w:bottom w:val="nil"/>
              <w:right w:val="nil"/>
            </w:tcBorders>
            <w:shd w:val="clear" w:color="auto" w:fill="auto"/>
            <w:hideMark/>
          </w:tcPr>
          <w:p w14:paraId="7360139D"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(6.54)</w:t>
            </w:r>
          </w:p>
        </w:tc>
        <w:tc>
          <w:tcPr>
            <w:tcW w:w="1320" w:type="dxa"/>
            <w:tcBorders>
              <w:top w:val="nil"/>
              <w:left w:val="nil"/>
              <w:bottom w:val="nil"/>
              <w:right w:val="nil"/>
            </w:tcBorders>
            <w:shd w:val="clear" w:color="auto" w:fill="auto"/>
            <w:hideMark/>
          </w:tcPr>
          <w:p w14:paraId="47DD75CE"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(17.83)</w:t>
            </w:r>
          </w:p>
        </w:tc>
        <w:tc>
          <w:tcPr>
            <w:tcW w:w="1320" w:type="dxa"/>
            <w:tcBorders>
              <w:top w:val="nil"/>
              <w:left w:val="nil"/>
              <w:bottom w:val="nil"/>
              <w:right w:val="nil"/>
            </w:tcBorders>
            <w:shd w:val="clear" w:color="auto" w:fill="auto"/>
            <w:hideMark/>
          </w:tcPr>
          <w:p w14:paraId="15FD3EC6"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(17.83)</w:t>
            </w:r>
          </w:p>
        </w:tc>
        <w:tc>
          <w:tcPr>
            <w:tcW w:w="1320" w:type="dxa"/>
            <w:tcBorders>
              <w:top w:val="nil"/>
              <w:left w:val="nil"/>
              <w:bottom w:val="nil"/>
              <w:right w:val="single" w:sz="4" w:space="0" w:color="auto"/>
            </w:tcBorders>
            <w:shd w:val="clear" w:color="auto" w:fill="auto"/>
            <w:hideMark/>
          </w:tcPr>
          <w:p w14:paraId="2F5DEABA"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(17.83)</w:t>
            </w:r>
          </w:p>
        </w:tc>
      </w:tr>
      <w:tr w:rsidR="004E07CB" w:rsidRPr="004F2E6C" w14:paraId="4054E042" w14:textId="77777777" w:rsidTr="00BF2EF3">
        <w:trPr>
          <w:trHeight w:val="282"/>
        </w:trPr>
        <w:tc>
          <w:tcPr>
            <w:tcW w:w="2560" w:type="dxa"/>
            <w:tcBorders>
              <w:top w:val="nil"/>
              <w:left w:val="single" w:sz="4" w:space="0" w:color="auto"/>
              <w:bottom w:val="nil"/>
              <w:right w:val="nil"/>
            </w:tcBorders>
            <w:shd w:val="clear" w:color="auto" w:fill="auto"/>
            <w:hideMark/>
          </w:tcPr>
          <w:p w14:paraId="1F0AD1C5" w14:textId="77777777" w:rsidR="004E07CB" w:rsidRPr="004F2E6C" w:rsidRDefault="004E07CB" w:rsidP="00BF2EF3">
            <w:pPr>
              <w:spacing w:after="0" w:line="240" w:lineRule="auto"/>
              <w:rPr>
                <w:rFonts w:ascii="Calibri" w:eastAsia="Times New Roman" w:hAnsi="Calibri" w:cs="Times New Roman"/>
                <w:sz w:val="20"/>
                <w:szCs w:val="20"/>
              </w:rPr>
            </w:pPr>
            <w:r w:rsidRPr="004F2E6C">
              <w:rPr>
                <w:rFonts w:ascii="Calibri" w:eastAsia="Times New Roman" w:hAnsi="Calibri" w:cs="Times New Roman"/>
                <w:sz w:val="20"/>
                <w:szCs w:val="20"/>
              </w:rPr>
              <w:t>Harnett County</w:t>
            </w:r>
          </w:p>
        </w:tc>
        <w:tc>
          <w:tcPr>
            <w:tcW w:w="1320" w:type="dxa"/>
            <w:tcBorders>
              <w:top w:val="nil"/>
              <w:left w:val="nil"/>
              <w:bottom w:val="nil"/>
              <w:right w:val="nil"/>
            </w:tcBorders>
            <w:shd w:val="clear" w:color="auto" w:fill="auto"/>
            <w:vAlign w:val="center"/>
            <w:hideMark/>
          </w:tcPr>
          <w:p w14:paraId="7D1E3506"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(16.28)</w:t>
            </w:r>
          </w:p>
        </w:tc>
        <w:tc>
          <w:tcPr>
            <w:tcW w:w="1320" w:type="dxa"/>
            <w:tcBorders>
              <w:top w:val="nil"/>
              <w:left w:val="nil"/>
              <w:bottom w:val="nil"/>
              <w:right w:val="nil"/>
            </w:tcBorders>
            <w:shd w:val="clear" w:color="auto" w:fill="auto"/>
            <w:vAlign w:val="center"/>
            <w:hideMark/>
          </w:tcPr>
          <w:p w14:paraId="0AE52BCE"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(50.36)</w:t>
            </w:r>
          </w:p>
        </w:tc>
        <w:tc>
          <w:tcPr>
            <w:tcW w:w="1320" w:type="dxa"/>
            <w:tcBorders>
              <w:top w:val="nil"/>
              <w:left w:val="nil"/>
              <w:bottom w:val="nil"/>
              <w:right w:val="nil"/>
            </w:tcBorders>
            <w:shd w:val="clear" w:color="auto" w:fill="auto"/>
            <w:vAlign w:val="center"/>
            <w:hideMark/>
          </w:tcPr>
          <w:p w14:paraId="14CE44CC"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(50.36)</w:t>
            </w:r>
          </w:p>
        </w:tc>
        <w:tc>
          <w:tcPr>
            <w:tcW w:w="1320" w:type="dxa"/>
            <w:tcBorders>
              <w:top w:val="nil"/>
              <w:left w:val="nil"/>
              <w:bottom w:val="nil"/>
              <w:right w:val="single" w:sz="4" w:space="0" w:color="auto"/>
            </w:tcBorders>
            <w:shd w:val="clear" w:color="auto" w:fill="auto"/>
            <w:vAlign w:val="center"/>
            <w:hideMark/>
          </w:tcPr>
          <w:p w14:paraId="4831FA1C"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(50.36)</w:t>
            </w:r>
          </w:p>
        </w:tc>
      </w:tr>
      <w:tr w:rsidR="004E07CB" w:rsidRPr="004F2E6C" w14:paraId="107CAB2D" w14:textId="77777777" w:rsidTr="00BF2EF3">
        <w:trPr>
          <w:trHeight w:val="255"/>
        </w:trPr>
        <w:tc>
          <w:tcPr>
            <w:tcW w:w="2560" w:type="dxa"/>
            <w:tcBorders>
              <w:top w:val="nil"/>
              <w:left w:val="single" w:sz="4" w:space="0" w:color="auto"/>
              <w:bottom w:val="nil"/>
              <w:right w:val="nil"/>
            </w:tcBorders>
            <w:shd w:val="clear" w:color="auto" w:fill="auto"/>
            <w:hideMark/>
          </w:tcPr>
          <w:p w14:paraId="132C26E3" w14:textId="77777777" w:rsidR="004E07CB" w:rsidRPr="004F2E6C" w:rsidRDefault="004E07CB" w:rsidP="00BF2EF3">
            <w:pPr>
              <w:spacing w:after="0" w:line="240" w:lineRule="auto"/>
              <w:rPr>
                <w:rFonts w:ascii="Calibri" w:eastAsia="Times New Roman" w:hAnsi="Calibri" w:cs="Times New Roman"/>
                <w:sz w:val="20"/>
                <w:szCs w:val="20"/>
              </w:rPr>
            </w:pPr>
            <w:r w:rsidRPr="004F2E6C">
              <w:rPr>
                <w:rFonts w:ascii="Calibri" w:eastAsia="Times New Roman" w:hAnsi="Calibri" w:cs="Times New Roman"/>
                <w:sz w:val="20"/>
                <w:szCs w:val="20"/>
              </w:rPr>
              <w:t>Fayetteville PWC</w:t>
            </w:r>
          </w:p>
        </w:tc>
        <w:tc>
          <w:tcPr>
            <w:tcW w:w="1320" w:type="dxa"/>
            <w:tcBorders>
              <w:top w:val="nil"/>
              <w:left w:val="nil"/>
              <w:bottom w:val="nil"/>
              <w:right w:val="nil"/>
            </w:tcBorders>
            <w:shd w:val="clear" w:color="auto" w:fill="auto"/>
            <w:hideMark/>
          </w:tcPr>
          <w:p w14:paraId="1FDC7CF4"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(29.38)</w:t>
            </w:r>
          </w:p>
        </w:tc>
        <w:tc>
          <w:tcPr>
            <w:tcW w:w="1320" w:type="dxa"/>
            <w:tcBorders>
              <w:top w:val="nil"/>
              <w:left w:val="nil"/>
              <w:bottom w:val="nil"/>
              <w:right w:val="nil"/>
            </w:tcBorders>
            <w:shd w:val="clear" w:color="auto" w:fill="auto"/>
            <w:hideMark/>
          </w:tcPr>
          <w:p w14:paraId="68B24FBD"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(69.04)</w:t>
            </w:r>
          </w:p>
        </w:tc>
        <w:tc>
          <w:tcPr>
            <w:tcW w:w="1320" w:type="dxa"/>
            <w:tcBorders>
              <w:top w:val="nil"/>
              <w:left w:val="nil"/>
              <w:bottom w:val="nil"/>
              <w:right w:val="nil"/>
            </w:tcBorders>
            <w:shd w:val="clear" w:color="auto" w:fill="auto"/>
            <w:hideMark/>
          </w:tcPr>
          <w:p w14:paraId="1BAA0138"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(69.04)</w:t>
            </w:r>
          </w:p>
        </w:tc>
        <w:tc>
          <w:tcPr>
            <w:tcW w:w="1320" w:type="dxa"/>
            <w:tcBorders>
              <w:top w:val="nil"/>
              <w:left w:val="nil"/>
              <w:bottom w:val="nil"/>
              <w:right w:val="single" w:sz="4" w:space="0" w:color="auto"/>
            </w:tcBorders>
            <w:shd w:val="clear" w:color="auto" w:fill="auto"/>
            <w:hideMark/>
          </w:tcPr>
          <w:p w14:paraId="63FD88F9"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(69.04)</w:t>
            </w:r>
          </w:p>
        </w:tc>
      </w:tr>
      <w:tr w:rsidR="004E07CB" w:rsidRPr="004F2E6C" w14:paraId="2F4044F3" w14:textId="77777777" w:rsidTr="00BF2EF3">
        <w:trPr>
          <w:trHeight w:val="255"/>
        </w:trPr>
        <w:tc>
          <w:tcPr>
            <w:tcW w:w="2560" w:type="dxa"/>
            <w:tcBorders>
              <w:top w:val="nil"/>
              <w:left w:val="single" w:sz="4" w:space="0" w:color="auto"/>
              <w:bottom w:val="nil"/>
              <w:right w:val="nil"/>
            </w:tcBorders>
            <w:shd w:val="clear" w:color="auto" w:fill="auto"/>
            <w:hideMark/>
          </w:tcPr>
          <w:p w14:paraId="19BF9459" w14:textId="77777777" w:rsidR="004E07CB" w:rsidRPr="004F2E6C" w:rsidRDefault="004E07CB" w:rsidP="00BF2EF3">
            <w:pPr>
              <w:spacing w:after="0" w:line="240" w:lineRule="auto"/>
              <w:rPr>
                <w:rFonts w:ascii="Calibri" w:eastAsia="Times New Roman" w:hAnsi="Calibri" w:cs="Times New Roman"/>
                <w:sz w:val="20"/>
                <w:szCs w:val="20"/>
              </w:rPr>
            </w:pPr>
            <w:r w:rsidRPr="004F2E6C">
              <w:rPr>
                <w:rFonts w:ascii="Calibri" w:eastAsia="Times New Roman" w:hAnsi="Calibri" w:cs="Times New Roman"/>
                <w:sz w:val="20"/>
                <w:szCs w:val="20"/>
              </w:rPr>
              <w:t>City of Dunn</w:t>
            </w:r>
          </w:p>
        </w:tc>
        <w:tc>
          <w:tcPr>
            <w:tcW w:w="1320" w:type="dxa"/>
            <w:tcBorders>
              <w:top w:val="nil"/>
              <w:left w:val="nil"/>
              <w:bottom w:val="nil"/>
              <w:right w:val="nil"/>
            </w:tcBorders>
            <w:shd w:val="clear" w:color="auto" w:fill="auto"/>
            <w:hideMark/>
          </w:tcPr>
          <w:p w14:paraId="65AADA3E"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(3.41)</w:t>
            </w:r>
          </w:p>
        </w:tc>
        <w:tc>
          <w:tcPr>
            <w:tcW w:w="1320" w:type="dxa"/>
            <w:tcBorders>
              <w:top w:val="nil"/>
              <w:left w:val="nil"/>
              <w:bottom w:val="nil"/>
              <w:right w:val="nil"/>
            </w:tcBorders>
            <w:shd w:val="clear" w:color="auto" w:fill="auto"/>
            <w:hideMark/>
          </w:tcPr>
          <w:p w14:paraId="66837A67"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(3.07)</w:t>
            </w:r>
          </w:p>
        </w:tc>
        <w:tc>
          <w:tcPr>
            <w:tcW w:w="1320" w:type="dxa"/>
            <w:tcBorders>
              <w:top w:val="nil"/>
              <w:left w:val="nil"/>
              <w:bottom w:val="nil"/>
              <w:right w:val="nil"/>
            </w:tcBorders>
            <w:shd w:val="clear" w:color="auto" w:fill="auto"/>
            <w:hideMark/>
          </w:tcPr>
          <w:p w14:paraId="5CFBA140"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(3.07)</w:t>
            </w:r>
          </w:p>
        </w:tc>
        <w:tc>
          <w:tcPr>
            <w:tcW w:w="1320" w:type="dxa"/>
            <w:tcBorders>
              <w:top w:val="nil"/>
              <w:left w:val="nil"/>
              <w:bottom w:val="nil"/>
              <w:right w:val="single" w:sz="4" w:space="0" w:color="auto"/>
            </w:tcBorders>
            <w:shd w:val="clear" w:color="auto" w:fill="auto"/>
            <w:hideMark/>
          </w:tcPr>
          <w:p w14:paraId="3C65FA4E"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(3.07)</w:t>
            </w:r>
          </w:p>
        </w:tc>
      </w:tr>
      <w:tr w:rsidR="004E07CB" w:rsidRPr="004F2E6C" w14:paraId="4840E8C2" w14:textId="77777777" w:rsidTr="00BF2EF3">
        <w:trPr>
          <w:trHeight w:val="255"/>
        </w:trPr>
        <w:tc>
          <w:tcPr>
            <w:tcW w:w="2560" w:type="dxa"/>
            <w:tcBorders>
              <w:top w:val="nil"/>
              <w:left w:val="single" w:sz="4" w:space="0" w:color="auto"/>
              <w:bottom w:val="nil"/>
              <w:right w:val="nil"/>
            </w:tcBorders>
            <w:shd w:val="clear" w:color="auto" w:fill="auto"/>
            <w:hideMark/>
          </w:tcPr>
          <w:p w14:paraId="4FA1E41C" w14:textId="77777777" w:rsidR="004E07CB" w:rsidRPr="004F2E6C" w:rsidRDefault="004E07CB" w:rsidP="00BF2EF3">
            <w:pPr>
              <w:spacing w:after="0" w:line="240" w:lineRule="auto"/>
              <w:rPr>
                <w:rFonts w:ascii="Calibri" w:eastAsia="Times New Roman" w:hAnsi="Calibri" w:cs="Times New Roman"/>
                <w:sz w:val="20"/>
                <w:szCs w:val="20"/>
              </w:rPr>
            </w:pPr>
            <w:r w:rsidRPr="004F2E6C">
              <w:rPr>
                <w:rFonts w:ascii="Calibri" w:eastAsia="Times New Roman" w:hAnsi="Calibri" w:cs="Times New Roman"/>
                <w:sz w:val="20"/>
                <w:szCs w:val="20"/>
              </w:rPr>
              <w:t>Smithfield Foods</w:t>
            </w:r>
          </w:p>
        </w:tc>
        <w:tc>
          <w:tcPr>
            <w:tcW w:w="1320" w:type="dxa"/>
            <w:tcBorders>
              <w:top w:val="nil"/>
              <w:left w:val="nil"/>
              <w:bottom w:val="nil"/>
              <w:right w:val="nil"/>
            </w:tcBorders>
            <w:shd w:val="clear" w:color="auto" w:fill="auto"/>
            <w:hideMark/>
          </w:tcPr>
          <w:p w14:paraId="10B8EB1A"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(2.25)</w:t>
            </w:r>
          </w:p>
        </w:tc>
        <w:tc>
          <w:tcPr>
            <w:tcW w:w="1320" w:type="dxa"/>
            <w:tcBorders>
              <w:top w:val="nil"/>
              <w:left w:val="nil"/>
              <w:bottom w:val="nil"/>
              <w:right w:val="nil"/>
            </w:tcBorders>
            <w:shd w:val="clear" w:color="auto" w:fill="auto"/>
            <w:hideMark/>
          </w:tcPr>
          <w:p w14:paraId="212011A0"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(2.25)</w:t>
            </w:r>
          </w:p>
        </w:tc>
        <w:tc>
          <w:tcPr>
            <w:tcW w:w="1320" w:type="dxa"/>
            <w:tcBorders>
              <w:top w:val="nil"/>
              <w:left w:val="nil"/>
              <w:bottom w:val="nil"/>
              <w:right w:val="nil"/>
            </w:tcBorders>
            <w:shd w:val="clear" w:color="auto" w:fill="auto"/>
            <w:hideMark/>
          </w:tcPr>
          <w:p w14:paraId="6650DE0C"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(2.25)</w:t>
            </w:r>
          </w:p>
        </w:tc>
        <w:tc>
          <w:tcPr>
            <w:tcW w:w="1320" w:type="dxa"/>
            <w:tcBorders>
              <w:top w:val="nil"/>
              <w:left w:val="nil"/>
              <w:bottom w:val="nil"/>
              <w:right w:val="single" w:sz="4" w:space="0" w:color="auto"/>
            </w:tcBorders>
            <w:shd w:val="clear" w:color="auto" w:fill="auto"/>
            <w:hideMark/>
          </w:tcPr>
          <w:p w14:paraId="476351AB"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(2.25)</w:t>
            </w:r>
          </w:p>
        </w:tc>
      </w:tr>
      <w:tr w:rsidR="004E07CB" w:rsidRPr="004F2E6C" w14:paraId="77243411" w14:textId="77777777" w:rsidTr="00BF2EF3">
        <w:trPr>
          <w:trHeight w:val="510"/>
        </w:trPr>
        <w:tc>
          <w:tcPr>
            <w:tcW w:w="2560" w:type="dxa"/>
            <w:tcBorders>
              <w:top w:val="nil"/>
              <w:left w:val="single" w:sz="4" w:space="0" w:color="auto"/>
              <w:bottom w:val="nil"/>
              <w:right w:val="nil"/>
            </w:tcBorders>
            <w:shd w:val="clear" w:color="auto" w:fill="auto"/>
            <w:hideMark/>
          </w:tcPr>
          <w:p w14:paraId="7D2E39EF" w14:textId="77777777" w:rsidR="004E07CB" w:rsidRPr="004F2E6C" w:rsidRDefault="004E07CB" w:rsidP="00BF2EF3">
            <w:pPr>
              <w:spacing w:after="0" w:line="240" w:lineRule="auto"/>
              <w:rPr>
                <w:rFonts w:ascii="Calibri" w:eastAsia="Times New Roman" w:hAnsi="Calibri" w:cs="Times New Roman"/>
                <w:sz w:val="20"/>
                <w:szCs w:val="20"/>
              </w:rPr>
            </w:pPr>
            <w:r w:rsidRPr="004F2E6C">
              <w:rPr>
                <w:rFonts w:ascii="Calibri" w:eastAsia="Times New Roman" w:hAnsi="Calibri" w:cs="Times New Roman"/>
                <w:sz w:val="20"/>
                <w:szCs w:val="20"/>
              </w:rPr>
              <w:t>Lower Cape Fear Water and Sewer Authority</w:t>
            </w:r>
          </w:p>
        </w:tc>
        <w:tc>
          <w:tcPr>
            <w:tcW w:w="1320" w:type="dxa"/>
            <w:tcBorders>
              <w:top w:val="nil"/>
              <w:left w:val="nil"/>
              <w:bottom w:val="nil"/>
              <w:right w:val="nil"/>
            </w:tcBorders>
            <w:shd w:val="clear" w:color="auto" w:fill="auto"/>
            <w:hideMark/>
          </w:tcPr>
          <w:p w14:paraId="71716F65"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(25.16)</w:t>
            </w:r>
          </w:p>
        </w:tc>
        <w:tc>
          <w:tcPr>
            <w:tcW w:w="1320" w:type="dxa"/>
            <w:tcBorders>
              <w:top w:val="nil"/>
              <w:left w:val="nil"/>
              <w:bottom w:val="nil"/>
              <w:right w:val="nil"/>
            </w:tcBorders>
            <w:shd w:val="clear" w:color="auto" w:fill="auto"/>
            <w:hideMark/>
          </w:tcPr>
          <w:p w14:paraId="27CB7359"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(20.79)</w:t>
            </w:r>
          </w:p>
        </w:tc>
        <w:tc>
          <w:tcPr>
            <w:tcW w:w="1320" w:type="dxa"/>
            <w:tcBorders>
              <w:top w:val="nil"/>
              <w:left w:val="nil"/>
              <w:bottom w:val="nil"/>
              <w:right w:val="nil"/>
            </w:tcBorders>
            <w:shd w:val="clear" w:color="auto" w:fill="auto"/>
            <w:hideMark/>
          </w:tcPr>
          <w:p w14:paraId="4314E856"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(20.79)</w:t>
            </w:r>
          </w:p>
        </w:tc>
        <w:tc>
          <w:tcPr>
            <w:tcW w:w="1320" w:type="dxa"/>
            <w:tcBorders>
              <w:top w:val="nil"/>
              <w:left w:val="nil"/>
              <w:bottom w:val="nil"/>
              <w:right w:val="single" w:sz="4" w:space="0" w:color="auto"/>
            </w:tcBorders>
            <w:shd w:val="clear" w:color="auto" w:fill="auto"/>
            <w:hideMark/>
          </w:tcPr>
          <w:p w14:paraId="1421FE44"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(20.79)</w:t>
            </w:r>
          </w:p>
        </w:tc>
      </w:tr>
      <w:tr w:rsidR="004E07CB" w:rsidRPr="004F2E6C" w14:paraId="467B49DD" w14:textId="77777777" w:rsidTr="00BF2EF3">
        <w:trPr>
          <w:trHeight w:val="510"/>
        </w:trPr>
        <w:tc>
          <w:tcPr>
            <w:tcW w:w="2560" w:type="dxa"/>
            <w:tcBorders>
              <w:top w:val="nil"/>
              <w:left w:val="single" w:sz="4" w:space="0" w:color="auto"/>
              <w:bottom w:val="nil"/>
              <w:right w:val="nil"/>
            </w:tcBorders>
            <w:shd w:val="clear" w:color="auto" w:fill="auto"/>
            <w:hideMark/>
          </w:tcPr>
          <w:p w14:paraId="42EE6750" w14:textId="77777777" w:rsidR="004E07CB" w:rsidRPr="004F2E6C" w:rsidRDefault="004E07CB" w:rsidP="00BF2EF3">
            <w:pPr>
              <w:spacing w:after="0" w:line="240" w:lineRule="auto"/>
              <w:rPr>
                <w:rFonts w:ascii="Calibri" w:eastAsia="Times New Roman" w:hAnsi="Calibri" w:cs="Times New Roman"/>
                <w:sz w:val="20"/>
                <w:szCs w:val="20"/>
              </w:rPr>
            </w:pPr>
            <w:r w:rsidRPr="004F2E6C">
              <w:rPr>
                <w:rFonts w:ascii="Calibri" w:eastAsia="Times New Roman" w:hAnsi="Calibri" w:cs="Times New Roman"/>
                <w:sz w:val="20"/>
                <w:szCs w:val="20"/>
              </w:rPr>
              <w:t>Cape Fear Public Utility Authority</w:t>
            </w:r>
          </w:p>
        </w:tc>
        <w:tc>
          <w:tcPr>
            <w:tcW w:w="1320" w:type="dxa"/>
            <w:tcBorders>
              <w:top w:val="nil"/>
              <w:left w:val="nil"/>
              <w:bottom w:val="nil"/>
              <w:right w:val="nil"/>
            </w:tcBorders>
            <w:shd w:val="clear" w:color="auto" w:fill="auto"/>
            <w:hideMark/>
          </w:tcPr>
          <w:p w14:paraId="4EFE3AB5"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(4.67)</w:t>
            </w:r>
          </w:p>
        </w:tc>
        <w:tc>
          <w:tcPr>
            <w:tcW w:w="1320" w:type="dxa"/>
            <w:tcBorders>
              <w:top w:val="nil"/>
              <w:left w:val="nil"/>
              <w:bottom w:val="nil"/>
              <w:right w:val="nil"/>
            </w:tcBorders>
            <w:shd w:val="clear" w:color="auto" w:fill="auto"/>
            <w:hideMark/>
          </w:tcPr>
          <w:p w14:paraId="0A1F1902"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(20.12)</w:t>
            </w:r>
          </w:p>
        </w:tc>
        <w:tc>
          <w:tcPr>
            <w:tcW w:w="1320" w:type="dxa"/>
            <w:tcBorders>
              <w:top w:val="nil"/>
              <w:left w:val="nil"/>
              <w:bottom w:val="nil"/>
              <w:right w:val="nil"/>
            </w:tcBorders>
            <w:shd w:val="clear" w:color="auto" w:fill="auto"/>
            <w:hideMark/>
          </w:tcPr>
          <w:p w14:paraId="660F20BD"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(20.12)</w:t>
            </w:r>
          </w:p>
        </w:tc>
        <w:tc>
          <w:tcPr>
            <w:tcW w:w="1320" w:type="dxa"/>
            <w:tcBorders>
              <w:top w:val="nil"/>
              <w:left w:val="nil"/>
              <w:bottom w:val="nil"/>
              <w:right w:val="single" w:sz="4" w:space="0" w:color="auto"/>
            </w:tcBorders>
            <w:shd w:val="clear" w:color="auto" w:fill="auto"/>
            <w:hideMark/>
          </w:tcPr>
          <w:p w14:paraId="6D67E9A5" w14:textId="77777777" w:rsidR="004E07CB" w:rsidRPr="004F2E6C" w:rsidRDefault="004E07CB" w:rsidP="00BF2EF3">
            <w:pPr>
              <w:spacing w:after="0" w:line="240" w:lineRule="auto"/>
              <w:jc w:val="center"/>
              <w:rPr>
                <w:rFonts w:ascii="Calibri" w:eastAsia="Times New Roman" w:hAnsi="Calibri" w:cs="Times New Roman"/>
                <w:sz w:val="20"/>
                <w:szCs w:val="20"/>
              </w:rPr>
            </w:pPr>
            <w:r w:rsidRPr="004F2E6C">
              <w:rPr>
                <w:rFonts w:ascii="Calibri" w:eastAsia="Times New Roman" w:hAnsi="Calibri" w:cs="Times New Roman"/>
                <w:sz w:val="20"/>
                <w:szCs w:val="20"/>
              </w:rPr>
              <w:t>100% (20.12)</w:t>
            </w:r>
          </w:p>
        </w:tc>
      </w:tr>
      <w:tr w:rsidR="004E07CB" w:rsidRPr="004F2E6C" w14:paraId="31387656" w14:textId="77777777" w:rsidTr="00BF2EF3">
        <w:trPr>
          <w:trHeight w:val="300"/>
        </w:trPr>
        <w:tc>
          <w:tcPr>
            <w:tcW w:w="2560" w:type="dxa"/>
            <w:tcBorders>
              <w:top w:val="nil"/>
              <w:left w:val="single" w:sz="4" w:space="0" w:color="auto"/>
              <w:bottom w:val="nil"/>
              <w:right w:val="nil"/>
            </w:tcBorders>
            <w:shd w:val="clear" w:color="auto" w:fill="auto"/>
            <w:noWrap/>
            <w:vAlign w:val="bottom"/>
            <w:hideMark/>
          </w:tcPr>
          <w:p w14:paraId="02CD84EC" w14:textId="77777777" w:rsidR="004E07CB" w:rsidRPr="004F2E6C" w:rsidRDefault="004E07CB" w:rsidP="00BF2EF3">
            <w:pPr>
              <w:spacing w:after="0" w:line="240" w:lineRule="auto"/>
              <w:jc w:val="center"/>
              <w:rPr>
                <w:rFonts w:ascii="Times New Roman" w:eastAsia="Times New Roman" w:hAnsi="Times New Roman" w:cs="Times New Roman"/>
              </w:rPr>
            </w:pPr>
            <w:r w:rsidRPr="004F2E6C">
              <w:rPr>
                <w:rFonts w:ascii="Times New Roman" w:eastAsia="Times New Roman" w:hAnsi="Times New Roman" w:cs="Times New Roman"/>
              </w:rPr>
              <w:t> </w:t>
            </w:r>
          </w:p>
        </w:tc>
        <w:tc>
          <w:tcPr>
            <w:tcW w:w="1320" w:type="dxa"/>
            <w:tcBorders>
              <w:top w:val="nil"/>
              <w:left w:val="nil"/>
              <w:bottom w:val="nil"/>
              <w:right w:val="nil"/>
            </w:tcBorders>
            <w:shd w:val="clear" w:color="auto" w:fill="auto"/>
            <w:noWrap/>
            <w:vAlign w:val="bottom"/>
            <w:hideMark/>
          </w:tcPr>
          <w:p w14:paraId="2170F8D9" w14:textId="77777777" w:rsidR="004E07CB" w:rsidRPr="004F2E6C" w:rsidRDefault="004E07CB" w:rsidP="00BF2EF3">
            <w:pPr>
              <w:spacing w:after="0" w:line="240" w:lineRule="auto"/>
              <w:rPr>
                <w:rFonts w:ascii="Verdana" w:eastAsia="Times New Roman" w:hAnsi="Verdana" w:cs="Times New Roman"/>
                <w:sz w:val="20"/>
                <w:szCs w:val="20"/>
              </w:rPr>
            </w:pPr>
          </w:p>
        </w:tc>
        <w:tc>
          <w:tcPr>
            <w:tcW w:w="1320" w:type="dxa"/>
            <w:tcBorders>
              <w:top w:val="nil"/>
              <w:left w:val="nil"/>
              <w:bottom w:val="nil"/>
              <w:right w:val="nil"/>
            </w:tcBorders>
            <w:shd w:val="clear" w:color="auto" w:fill="auto"/>
            <w:noWrap/>
            <w:vAlign w:val="bottom"/>
            <w:hideMark/>
          </w:tcPr>
          <w:p w14:paraId="06076FA2" w14:textId="77777777" w:rsidR="004E07CB" w:rsidRPr="004F2E6C" w:rsidRDefault="004E07CB" w:rsidP="00BF2EF3">
            <w:pPr>
              <w:spacing w:after="0" w:line="240" w:lineRule="auto"/>
              <w:rPr>
                <w:rFonts w:ascii="Verdana" w:eastAsia="Times New Roman" w:hAnsi="Verdana" w:cs="Times New Roman"/>
                <w:sz w:val="20"/>
                <w:szCs w:val="20"/>
              </w:rPr>
            </w:pPr>
          </w:p>
        </w:tc>
        <w:tc>
          <w:tcPr>
            <w:tcW w:w="1320" w:type="dxa"/>
            <w:tcBorders>
              <w:top w:val="nil"/>
              <w:left w:val="nil"/>
              <w:bottom w:val="nil"/>
              <w:right w:val="nil"/>
            </w:tcBorders>
            <w:shd w:val="clear" w:color="auto" w:fill="auto"/>
            <w:noWrap/>
            <w:vAlign w:val="bottom"/>
            <w:hideMark/>
          </w:tcPr>
          <w:p w14:paraId="66525950" w14:textId="77777777" w:rsidR="004E07CB" w:rsidRPr="004F2E6C" w:rsidRDefault="004E07CB" w:rsidP="00BF2EF3">
            <w:pPr>
              <w:spacing w:after="0" w:line="240" w:lineRule="auto"/>
              <w:rPr>
                <w:rFonts w:ascii="Verdana" w:eastAsia="Times New Roman" w:hAnsi="Verdana" w:cs="Times New Roman"/>
                <w:sz w:val="20"/>
                <w:szCs w:val="20"/>
              </w:rPr>
            </w:pPr>
          </w:p>
        </w:tc>
        <w:tc>
          <w:tcPr>
            <w:tcW w:w="1320" w:type="dxa"/>
            <w:tcBorders>
              <w:top w:val="nil"/>
              <w:left w:val="nil"/>
              <w:bottom w:val="nil"/>
              <w:right w:val="single" w:sz="4" w:space="0" w:color="auto"/>
            </w:tcBorders>
            <w:shd w:val="clear" w:color="auto" w:fill="auto"/>
            <w:noWrap/>
            <w:vAlign w:val="bottom"/>
            <w:hideMark/>
          </w:tcPr>
          <w:p w14:paraId="00394C80" w14:textId="77777777" w:rsidR="004E07CB" w:rsidRPr="004F2E6C" w:rsidRDefault="004E07CB" w:rsidP="00BF2EF3">
            <w:pPr>
              <w:spacing w:after="0" w:line="240" w:lineRule="auto"/>
              <w:rPr>
                <w:rFonts w:ascii="Verdana" w:eastAsia="Times New Roman" w:hAnsi="Verdana" w:cs="Times New Roman"/>
                <w:sz w:val="20"/>
                <w:szCs w:val="20"/>
              </w:rPr>
            </w:pPr>
            <w:r w:rsidRPr="004F2E6C">
              <w:rPr>
                <w:rFonts w:ascii="Verdana" w:eastAsia="Times New Roman" w:hAnsi="Verdana" w:cs="Times New Roman"/>
                <w:sz w:val="20"/>
                <w:szCs w:val="20"/>
              </w:rPr>
              <w:t> </w:t>
            </w:r>
          </w:p>
        </w:tc>
      </w:tr>
      <w:tr w:rsidR="004E07CB" w:rsidRPr="004F2E6C" w14:paraId="1FA8E5B4" w14:textId="77777777" w:rsidTr="00BF2EF3">
        <w:trPr>
          <w:trHeight w:val="259"/>
        </w:trPr>
        <w:tc>
          <w:tcPr>
            <w:tcW w:w="7840" w:type="dxa"/>
            <w:gridSpan w:val="5"/>
            <w:tcBorders>
              <w:top w:val="nil"/>
              <w:left w:val="single" w:sz="4" w:space="0" w:color="auto"/>
              <w:bottom w:val="single" w:sz="4" w:space="0" w:color="auto"/>
              <w:right w:val="single" w:sz="4" w:space="0" w:color="000000"/>
            </w:tcBorders>
            <w:shd w:val="clear" w:color="auto" w:fill="auto"/>
            <w:vAlign w:val="bottom"/>
            <w:hideMark/>
          </w:tcPr>
          <w:p w14:paraId="5E207EAF" w14:textId="77777777" w:rsidR="004E07CB" w:rsidRPr="004F2E6C" w:rsidRDefault="004E07CB" w:rsidP="00BF2EF3">
            <w:pPr>
              <w:spacing w:after="0" w:line="240" w:lineRule="auto"/>
              <w:jc w:val="both"/>
              <w:rPr>
                <w:rFonts w:ascii="Calibri" w:eastAsia="Times New Roman" w:hAnsi="Calibri" w:cs="Times New Roman"/>
                <w:sz w:val="16"/>
                <w:szCs w:val="16"/>
              </w:rPr>
            </w:pPr>
            <w:r w:rsidRPr="004F2E6C">
              <w:rPr>
                <w:rFonts w:ascii="Calibri" w:eastAsia="Times New Roman" w:hAnsi="Calibri" w:cs="Times New Roman"/>
                <w:sz w:val="16"/>
                <w:szCs w:val="16"/>
              </w:rPr>
              <w:t>1: The reliability for these systems is without the Water Shortage Response Plans being included in the model.</w:t>
            </w:r>
          </w:p>
        </w:tc>
      </w:tr>
    </w:tbl>
    <w:p w14:paraId="2D80F3F9" w14:textId="77777777" w:rsidR="004E07CB" w:rsidRDefault="004E07CB" w:rsidP="004E07CB">
      <w:pPr>
        <w:spacing w:after="0" w:line="240" w:lineRule="auto"/>
        <w:contextualSpacing/>
        <w:rPr>
          <w:rFonts w:ascii="Times New Roman" w:hAnsi="Times New Roman" w:cs="Times New Roman"/>
          <w:b/>
          <w:bCs/>
          <w:sz w:val="24"/>
          <w:szCs w:val="24"/>
        </w:rPr>
      </w:pPr>
    </w:p>
    <w:p w14:paraId="471C592B" w14:textId="77777777" w:rsidR="002B4BB9" w:rsidRDefault="002B4BB9" w:rsidP="008C7047">
      <w:pPr>
        <w:spacing w:after="0" w:line="240" w:lineRule="auto"/>
        <w:contextualSpacing/>
        <w:rPr>
          <w:rFonts w:ascii="Times New Roman" w:hAnsi="Times New Roman" w:cs="Times New Roman"/>
          <w:bCs/>
          <w:sz w:val="24"/>
          <w:szCs w:val="24"/>
        </w:rPr>
      </w:pPr>
    </w:p>
    <w:p w14:paraId="2595ABED" w14:textId="77777777" w:rsidR="008C7047" w:rsidRDefault="002B4BB9" w:rsidP="008C7047">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rPr>
        <w:t>T</w:t>
      </w:r>
      <w:r w:rsidR="008C7047" w:rsidRPr="008C7047">
        <w:rPr>
          <w:rFonts w:ascii="Times New Roman" w:hAnsi="Times New Roman" w:cs="Times New Roman"/>
          <w:bCs/>
          <w:sz w:val="24"/>
          <w:szCs w:val="24"/>
        </w:rPr>
        <w:t>he increase in wastewater discharge to the Cape Fear River from the WWRWRF result</w:t>
      </w:r>
      <w:r>
        <w:rPr>
          <w:rFonts w:ascii="Times New Roman" w:hAnsi="Times New Roman" w:cs="Times New Roman"/>
          <w:bCs/>
          <w:sz w:val="24"/>
          <w:szCs w:val="24"/>
        </w:rPr>
        <w:t>s</w:t>
      </w:r>
      <w:r w:rsidR="008C7047" w:rsidRPr="008C7047">
        <w:rPr>
          <w:rFonts w:ascii="Times New Roman" w:hAnsi="Times New Roman" w:cs="Times New Roman"/>
          <w:bCs/>
          <w:sz w:val="24"/>
          <w:szCs w:val="24"/>
        </w:rPr>
        <w:t xml:space="preserve"> in a reduced need for releases from Jordan Lake during drought periods</w:t>
      </w:r>
      <w:r>
        <w:rPr>
          <w:rFonts w:ascii="Times New Roman" w:hAnsi="Times New Roman" w:cs="Times New Roman"/>
          <w:bCs/>
          <w:sz w:val="24"/>
          <w:szCs w:val="24"/>
        </w:rPr>
        <w:t>; thereby resulting in</w:t>
      </w:r>
      <w:r w:rsidR="008C7047" w:rsidRPr="008C7047">
        <w:rPr>
          <w:rFonts w:ascii="Times New Roman" w:hAnsi="Times New Roman" w:cs="Times New Roman"/>
          <w:bCs/>
          <w:sz w:val="24"/>
          <w:szCs w:val="24"/>
        </w:rPr>
        <w:t xml:space="preserve"> a lower frequency of Stage 3 Droughts for the 2045 scenarios when compared to the 2010 Baseline scenario.</w:t>
      </w:r>
    </w:p>
    <w:p w14:paraId="79F16CC0" w14:textId="77777777" w:rsidR="008C7047" w:rsidRDefault="008C7047" w:rsidP="00747E28">
      <w:pPr>
        <w:spacing w:after="0" w:line="240" w:lineRule="auto"/>
        <w:contextualSpacing/>
        <w:rPr>
          <w:rFonts w:ascii="Times New Roman" w:hAnsi="Times New Roman" w:cs="Times New Roman"/>
          <w:sz w:val="24"/>
          <w:szCs w:val="24"/>
        </w:rPr>
      </w:pPr>
    </w:p>
    <w:p w14:paraId="3DE5F0CB" w14:textId="77777777" w:rsidR="00A14C0D" w:rsidRDefault="00A14C0D" w:rsidP="00A14C0D">
      <w:pPr>
        <w:spacing w:after="0" w:line="240" w:lineRule="auto"/>
        <w:contextualSpacing/>
        <w:rPr>
          <w:rFonts w:ascii="Times New Roman" w:hAnsi="Times New Roman" w:cs="Times New Roman"/>
          <w:sz w:val="24"/>
          <w:szCs w:val="24"/>
        </w:rPr>
      </w:pPr>
      <w:r w:rsidRPr="00A14C0D">
        <w:rPr>
          <w:rFonts w:ascii="Times New Roman" w:hAnsi="Times New Roman" w:cs="Times New Roman"/>
          <w:sz w:val="24"/>
          <w:szCs w:val="24"/>
        </w:rPr>
        <w:t xml:space="preserve">Under the 2045 Requested IBT scenario, there is a very small increase in </w:t>
      </w:r>
      <w:r w:rsidR="002B4BB9">
        <w:rPr>
          <w:rFonts w:ascii="Times New Roman" w:hAnsi="Times New Roman" w:cs="Times New Roman"/>
          <w:sz w:val="24"/>
          <w:szCs w:val="24"/>
        </w:rPr>
        <w:t xml:space="preserve">the </w:t>
      </w:r>
      <w:r w:rsidRPr="00A14C0D">
        <w:rPr>
          <w:rFonts w:ascii="Times New Roman" w:hAnsi="Times New Roman" w:cs="Times New Roman"/>
          <w:sz w:val="24"/>
          <w:szCs w:val="24"/>
        </w:rPr>
        <w:t xml:space="preserve">duration </w:t>
      </w:r>
      <w:r w:rsidR="002B4BB9">
        <w:rPr>
          <w:rFonts w:ascii="Times New Roman" w:hAnsi="Times New Roman" w:cs="Times New Roman"/>
          <w:sz w:val="24"/>
          <w:szCs w:val="24"/>
        </w:rPr>
        <w:t>of time when</w:t>
      </w:r>
      <w:r w:rsidRPr="00A14C0D">
        <w:rPr>
          <w:rFonts w:ascii="Times New Roman" w:hAnsi="Times New Roman" w:cs="Times New Roman"/>
          <w:sz w:val="24"/>
          <w:szCs w:val="24"/>
        </w:rPr>
        <w:t xml:space="preserve"> the lake level is below 210 feet msl (0.4 percent increase in duration over the period of record)</w:t>
      </w:r>
      <w:r w:rsidR="002B4BB9">
        <w:rPr>
          <w:rFonts w:ascii="Times New Roman" w:hAnsi="Times New Roman" w:cs="Times New Roman"/>
          <w:sz w:val="24"/>
          <w:szCs w:val="24"/>
        </w:rPr>
        <w:t xml:space="preserve"> </w:t>
      </w:r>
      <w:r w:rsidR="002B4BB9" w:rsidRPr="002B4BB9">
        <w:rPr>
          <w:rFonts w:ascii="Times New Roman" w:hAnsi="Times New Roman" w:cs="Times New Roman"/>
          <w:sz w:val="24"/>
          <w:szCs w:val="24"/>
        </w:rPr>
        <w:t>as compared to the 2045 baseline scenario</w:t>
      </w:r>
      <w:r w:rsidR="00183FD7">
        <w:rPr>
          <w:rFonts w:ascii="Times New Roman" w:hAnsi="Times New Roman" w:cs="Times New Roman"/>
          <w:sz w:val="24"/>
          <w:szCs w:val="24"/>
        </w:rPr>
        <w:t>.</w:t>
      </w:r>
      <w:r w:rsidR="002B4BB9">
        <w:rPr>
          <w:rFonts w:ascii="Times New Roman" w:hAnsi="Times New Roman" w:cs="Times New Roman"/>
          <w:sz w:val="24"/>
          <w:szCs w:val="24"/>
        </w:rPr>
        <w:t xml:space="preserve">  B</w:t>
      </w:r>
      <w:r w:rsidRPr="00A14C0D">
        <w:rPr>
          <w:rFonts w:ascii="Times New Roman" w:hAnsi="Times New Roman" w:cs="Times New Roman"/>
          <w:sz w:val="24"/>
          <w:szCs w:val="24"/>
        </w:rPr>
        <w:t xml:space="preserve">oth the water supply and </w:t>
      </w:r>
      <w:r w:rsidR="00183FD7">
        <w:rPr>
          <w:rFonts w:ascii="Times New Roman" w:hAnsi="Times New Roman" w:cs="Times New Roman"/>
          <w:sz w:val="24"/>
          <w:szCs w:val="24"/>
        </w:rPr>
        <w:t xml:space="preserve">low-flow augmentation </w:t>
      </w:r>
      <w:r w:rsidRPr="00A14C0D">
        <w:rPr>
          <w:rFonts w:ascii="Times New Roman" w:hAnsi="Times New Roman" w:cs="Times New Roman"/>
          <w:sz w:val="24"/>
          <w:szCs w:val="24"/>
        </w:rPr>
        <w:t>pools operate at lower levels for a very small percentage of the period of record (example: 0.6 percent increase in duration below 80 percent full for the water quality pool, as compared to the 2045 baseline scenario).</w:t>
      </w:r>
      <w:r w:rsidR="002B312E">
        <w:rPr>
          <w:rFonts w:ascii="Times New Roman" w:hAnsi="Times New Roman" w:cs="Times New Roman"/>
          <w:sz w:val="24"/>
          <w:szCs w:val="24"/>
        </w:rPr>
        <w:t xml:space="preserve">  See Appendix D of the EA for more results and discussion, particularly Table 11.</w:t>
      </w:r>
    </w:p>
    <w:p w14:paraId="39537D14" w14:textId="77777777" w:rsidR="00A14C0D" w:rsidRDefault="00A14C0D" w:rsidP="00A14C0D">
      <w:pPr>
        <w:spacing w:after="0" w:line="240" w:lineRule="auto"/>
        <w:contextualSpacing/>
        <w:rPr>
          <w:rFonts w:ascii="Times New Roman" w:hAnsi="Times New Roman" w:cs="Times New Roman"/>
          <w:sz w:val="24"/>
          <w:szCs w:val="24"/>
        </w:rPr>
      </w:pPr>
    </w:p>
    <w:p w14:paraId="52F2403B" w14:textId="77777777" w:rsidR="00C67488" w:rsidRPr="00C67488" w:rsidRDefault="00C67488" w:rsidP="00C67488">
      <w:pPr>
        <w:spacing w:after="0" w:line="240" w:lineRule="auto"/>
        <w:contextualSpacing/>
        <w:rPr>
          <w:rFonts w:ascii="Times New Roman" w:hAnsi="Times New Roman" w:cs="Times New Roman"/>
          <w:bCs/>
          <w:sz w:val="24"/>
          <w:szCs w:val="24"/>
        </w:rPr>
      </w:pPr>
      <w:r w:rsidRPr="00C67488">
        <w:rPr>
          <w:rFonts w:ascii="Times New Roman" w:hAnsi="Times New Roman" w:cs="Times New Roman"/>
          <w:bCs/>
          <w:sz w:val="24"/>
          <w:szCs w:val="24"/>
        </w:rPr>
        <w:t>The assessment of secondary and cumulative impacts (SCI) for both the source and receiving basins is presented in the Towns’ Secondary and Cumulative Impact Master Management Plan (SCIMMP</w:t>
      </w:r>
      <w:proofErr w:type="gramStart"/>
      <w:r w:rsidRPr="00C67488">
        <w:rPr>
          <w:rFonts w:ascii="Times New Roman" w:hAnsi="Times New Roman" w:cs="Times New Roman"/>
          <w:bCs/>
          <w:sz w:val="24"/>
          <w:szCs w:val="24"/>
        </w:rPr>
        <w:t>)(</w:t>
      </w:r>
      <w:proofErr w:type="gramEnd"/>
      <w:r w:rsidRPr="00C67488">
        <w:rPr>
          <w:rFonts w:ascii="Times New Roman" w:hAnsi="Times New Roman" w:cs="Times New Roman"/>
          <w:bCs/>
          <w:sz w:val="24"/>
          <w:szCs w:val="24"/>
        </w:rPr>
        <w:t xml:space="preserve">CH2M HILL, 2005a, 2005b, 2005c, 2014a, 2014b, and 2014c). The SCIMMPs </w:t>
      </w:r>
      <w:r w:rsidRPr="00C67488">
        <w:rPr>
          <w:rFonts w:ascii="Times New Roman" w:hAnsi="Times New Roman" w:cs="Times New Roman"/>
          <w:bCs/>
          <w:sz w:val="24"/>
          <w:szCs w:val="24"/>
        </w:rPr>
        <w:lastRenderedPageBreak/>
        <w:t xml:space="preserve">include a comprehensive description of mitigation programs to avoid or minimize SCI to environmental resources that could occur with the Towns’ land use plans and implementation of projects in the Towns’ infrastructure master plans.  The SCIMMPs discuss the federal, </w:t>
      </w:r>
      <w:r w:rsidR="00805A35">
        <w:rPr>
          <w:rFonts w:ascii="Times New Roman" w:hAnsi="Times New Roman" w:cs="Times New Roman"/>
          <w:bCs/>
          <w:sz w:val="24"/>
          <w:szCs w:val="24"/>
        </w:rPr>
        <w:t>s</w:t>
      </w:r>
      <w:r w:rsidRPr="00C67488">
        <w:rPr>
          <w:rFonts w:ascii="Times New Roman" w:hAnsi="Times New Roman" w:cs="Times New Roman"/>
          <w:bCs/>
          <w:sz w:val="24"/>
          <w:szCs w:val="24"/>
        </w:rPr>
        <w:t xml:space="preserve">tate, and local programs that mitigate the potential SCI related to growth facilitated to some extent by infrastructure and public utility projects, including this proposed increase in IBT. The SCIMMPs discuss the potential for SCI to occur and the programs designed to mitigate SCI to a level that is not expected to be significant. The SCIMMPs are included in this section by </w:t>
      </w:r>
      <w:proofErr w:type="gramStart"/>
      <w:r w:rsidRPr="00C67488">
        <w:rPr>
          <w:rFonts w:ascii="Times New Roman" w:hAnsi="Times New Roman" w:cs="Times New Roman"/>
          <w:bCs/>
          <w:sz w:val="24"/>
          <w:szCs w:val="24"/>
        </w:rPr>
        <w:t>reference, because</w:t>
      </w:r>
      <w:proofErr w:type="gramEnd"/>
      <w:r w:rsidRPr="00C67488">
        <w:rPr>
          <w:rFonts w:ascii="Times New Roman" w:hAnsi="Times New Roman" w:cs="Times New Roman"/>
          <w:bCs/>
          <w:sz w:val="24"/>
          <w:szCs w:val="24"/>
        </w:rPr>
        <w:t xml:space="preserve"> no construction is proposed as part of this IBT certificate modification, the only potential for direct effects is related to water resources. </w:t>
      </w:r>
    </w:p>
    <w:p w14:paraId="3296FAB7" w14:textId="77777777" w:rsidR="00C67488" w:rsidRDefault="00C67488" w:rsidP="00A14C0D">
      <w:pPr>
        <w:spacing w:after="0" w:line="240" w:lineRule="auto"/>
        <w:contextualSpacing/>
        <w:rPr>
          <w:rFonts w:ascii="Times New Roman" w:hAnsi="Times New Roman" w:cs="Times New Roman"/>
          <w:sz w:val="24"/>
          <w:szCs w:val="24"/>
        </w:rPr>
      </w:pPr>
    </w:p>
    <w:p w14:paraId="651D0BCE" w14:textId="77777777" w:rsidR="00A14C0D" w:rsidRDefault="00A14C0D" w:rsidP="00A14C0D">
      <w:pPr>
        <w:spacing w:after="0" w:line="240" w:lineRule="auto"/>
        <w:contextualSpacing/>
        <w:rPr>
          <w:rFonts w:ascii="Times New Roman" w:hAnsi="Times New Roman" w:cs="Times New Roman"/>
          <w:i/>
          <w:iCs/>
          <w:sz w:val="24"/>
          <w:szCs w:val="24"/>
        </w:rPr>
      </w:pPr>
      <w:r w:rsidRPr="00A14C0D">
        <w:rPr>
          <w:rFonts w:ascii="Times New Roman" w:hAnsi="Times New Roman" w:cs="Times New Roman"/>
          <w:i/>
          <w:iCs/>
          <w:sz w:val="24"/>
          <w:szCs w:val="24"/>
        </w:rPr>
        <w:t>Based on</w:t>
      </w:r>
      <w:r w:rsidR="00246BEA">
        <w:rPr>
          <w:rFonts w:ascii="Times New Roman" w:hAnsi="Times New Roman" w:cs="Times New Roman"/>
          <w:i/>
          <w:iCs/>
          <w:sz w:val="24"/>
          <w:szCs w:val="24"/>
        </w:rPr>
        <w:t xml:space="preserve"> the record</w:t>
      </w:r>
      <w:r w:rsidRPr="00A14C0D">
        <w:rPr>
          <w:rFonts w:ascii="Times New Roman" w:hAnsi="Times New Roman" w:cs="Times New Roman"/>
          <w:i/>
          <w:iCs/>
          <w:sz w:val="24"/>
          <w:szCs w:val="24"/>
        </w:rPr>
        <w:t>, the Commission finds that the cumulative effects of this and other future water</w:t>
      </w:r>
      <w:r>
        <w:rPr>
          <w:rFonts w:ascii="Times New Roman" w:hAnsi="Times New Roman" w:cs="Times New Roman"/>
          <w:i/>
          <w:iCs/>
          <w:sz w:val="24"/>
          <w:szCs w:val="24"/>
        </w:rPr>
        <w:t xml:space="preserve"> </w:t>
      </w:r>
      <w:r w:rsidRPr="00A14C0D">
        <w:rPr>
          <w:rFonts w:ascii="Times New Roman" w:hAnsi="Times New Roman" w:cs="Times New Roman"/>
          <w:i/>
          <w:iCs/>
          <w:sz w:val="24"/>
          <w:szCs w:val="24"/>
        </w:rPr>
        <w:t xml:space="preserve">transfers and consumptive water uses </w:t>
      </w:r>
      <w:r w:rsidR="00EF07DB">
        <w:rPr>
          <w:rFonts w:ascii="Times New Roman" w:hAnsi="Times New Roman" w:cs="Times New Roman"/>
          <w:i/>
          <w:iCs/>
          <w:sz w:val="24"/>
          <w:szCs w:val="24"/>
        </w:rPr>
        <w:t xml:space="preserve">as </w:t>
      </w:r>
      <w:r w:rsidRPr="00A14C0D">
        <w:rPr>
          <w:rFonts w:ascii="Times New Roman" w:hAnsi="Times New Roman" w:cs="Times New Roman"/>
          <w:i/>
          <w:iCs/>
          <w:sz w:val="24"/>
          <w:szCs w:val="24"/>
        </w:rPr>
        <w:t>described in G.S. § 143-215</w:t>
      </w:r>
      <w:r>
        <w:rPr>
          <w:rFonts w:ascii="Times New Roman" w:hAnsi="Times New Roman" w:cs="Times New Roman"/>
          <w:i/>
          <w:iCs/>
          <w:sz w:val="24"/>
          <w:szCs w:val="24"/>
        </w:rPr>
        <w:t>.22L</w:t>
      </w:r>
      <w:r w:rsidRPr="00A14C0D">
        <w:rPr>
          <w:rFonts w:ascii="Times New Roman" w:hAnsi="Times New Roman" w:cs="Times New Roman"/>
          <w:i/>
          <w:iCs/>
          <w:sz w:val="24"/>
          <w:szCs w:val="24"/>
        </w:rPr>
        <w:t>(</w:t>
      </w:r>
      <w:r>
        <w:rPr>
          <w:rFonts w:ascii="Times New Roman" w:hAnsi="Times New Roman" w:cs="Times New Roman"/>
          <w:i/>
          <w:iCs/>
          <w:sz w:val="24"/>
          <w:szCs w:val="24"/>
        </w:rPr>
        <w:t>k</w:t>
      </w:r>
      <w:r w:rsidRPr="00A14C0D">
        <w:rPr>
          <w:rFonts w:ascii="Times New Roman" w:hAnsi="Times New Roman" w:cs="Times New Roman"/>
          <w:i/>
          <w:iCs/>
          <w:sz w:val="24"/>
          <w:szCs w:val="24"/>
        </w:rPr>
        <w:t>)(</w:t>
      </w:r>
      <w:proofErr w:type="gramStart"/>
      <w:r>
        <w:rPr>
          <w:rFonts w:ascii="Times New Roman" w:hAnsi="Times New Roman" w:cs="Times New Roman"/>
          <w:i/>
          <w:iCs/>
          <w:sz w:val="24"/>
          <w:szCs w:val="24"/>
        </w:rPr>
        <w:t>3</w:t>
      </w:r>
      <w:r w:rsidRPr="00A14C0D">
        <w:rPr>
          <w:rFonts w:ascii="Times New Roman" w:hAnsi="Times New Roman" w:cs="Times New Roman"/>
          <w:i/>
          <w:iCs/>
          <w:sz w:val="24"/>
          <w:szCs w:val="24"/>
        </w:rPr>
        <w:t>)</w:t>
      </w:r>
      <w:r w:rsidR="00EF07DB">
        <w:rPr>
          <w:rFonts w:ascii="Times New Roman" w:hAnsi="Times New Roman" w:cs="Times New Roman"/>
          <w:i/>
          <w:iCs/>
          <w:sz w:val="24"/>
          <w:szCs w:val="24"/>
        </w:rPr>
        <w:t>will</w:t>
      </w:r>
      <w:proofErr w:type="gramEnd"/>
      <w:r w:rsidR="00EF07DB">
        <w:rPr>
          <w:rFonts w:ascii="Times New Roman" w:hAnsi="Times New Roman" w:cs="Times New Roman"/>
          <w:i/>
          <w:iCs/>
          <w:sz w:val="24"/>
          <w:szCs w:val="24"/>
        </w:rPr>
        <w:t xml:space="preserve"> be insignificant</w:t>
      </w:r>
      <w:r w:rsidR="00DE749C">
        <w:rPr>
          <w:rFonts w:ascii="Times New Roman" w:hAnsi="Times New Roman" w:cs="Times New Roman"/>
          <w:i/>
          <w:iCs/>
          <w:sz w:val="24"/>
          <w:szCs w:val="24"/>
        </w:rPr>
        <w:t xml:space="preserve"> </w:t>
      </w:r>
      <w:r w:rsidR="00DE749C" w:rsidRPr="00A14C0D">
        <w:rPr>
          <w:rFonts w:ascii="Times New Roman" w:hAnsi="Times New Roman" w:cs="Times New Roman"/>
          <w:i/>
          <w:iCs/>
          <w:sz w:val="24"/>
          <w:szCs w:val="24"/>
        </w:rPr>
        <w:t>on the source basin</w:t>
      </w:r>
      <w:r w:rsidRPr="00A14C0D">
        <w:rPr>
          <w:rFonts w:ascii="Times New Roman" w:hAnsi="Times New Roman" w:cs="Times New Roman"/>
          <w:i/>
          <w:iCs/>
          <w:sz w:val="24"/>
          <w:szCs w:val="24"/>
        </w:rPr>
        <w:t>.</w:t>
      </w:r>
    </w:p>
    <w:p w14:paraId="265AC90F" w14:textId="77777777" w:rsidR="0087380F" w:rsidRDefault="0087380F" w:rsidP="00A14C0D">
      <w:pPr>
        <w:spacing w:after="0" w:line="240" w:lineRule="auto"/>
        <w:contextualSpacing/>
        <w:rPr>
          <w:rFonts w:ascii="Times New Roman" w:hAnsi="Times New Roman" w:cs="Times New Roman"/>
          <w:i/>
          <w:iCs/>
          <w:sz w:val="24"/>
          <w:szCs w:val="24"/>
        </w:rPr>
      </w:pPr>
    </w:p>
    <w:p w14:paraId="03E01B85" w14:textId="77777777" w:rsidR="0087380F" w:rsidRDefault="0087380F" w:rsidP="00A14C0D">
      <w:pPr>
        <w:spacing w:after="0" w:line="240" w:lineRule="auto"/>
        <w:contextualSpacing/>
        <w:rPr>
          <w:rFonts w:ascii="Times New Roman" w:hAnsi="Times New Roman" w:cs="Times New Roman"/>
          <w:i/>
          <w:iCs/>
          <w:sz w:val="24"/>
          <w:szCs w:val="24"/>
        </w:rPr>
      </w:pPr>
    </w:p>
    <w:p w14:paraId="478C7357" w14:textId="77777777" w:rsidR="0087380F" w:rsidRDefault="0087380F" w:rsidP="00786C44">
      <w:pPr>
        <w:rPr>
          <w:rFonts w:ascii="Times New Roman" w:hAnsi="Times New Roman" w:cs="Times New Roman"/>
          <w:bCs/>
          <w:sz w:val="24"/>
          <w:szCs w:val="24"/>
        </w:rPr>
      </w:pPr>
      <w:bookmarkStart w:id="8" w:name="_Toc152550394"/>
      <w:bookmarkStart w:id="9" w:name="_Toc153359310"/>
      <w:r w:rsidRPr="0087380F">
        <w:rPr>
          <w:rFonts w:ascii="Times New Roman" w:hAnsi="Times New Roman" w:cs="Times New Roman"/>
          <w:b/>
          <w:bCs/>
          <w:sz w:val="24"/>
          <w:szCs w:val="24"/>
        </w:rPr>
        <w:t>(</w:t>
      </w:r>
      <w:r w:rsidR="006179DD">
        <w:rPr>
          <w:rFonts w:ascii="Times New Roman" w:hAnsi="Times New Roman" w:cs="Times New Roman"/>
          <w:b/>
          <w:bCs/>
          <w:sz w:val="24"/>
          <w:szCs w:val="24"/>
        </w:rPr>
        <w:t>4</w:t>
      </w:r>
      <w:r w:rsidRPr="0087380F">
        <w:rPr>
          <w:rFonts w:ascii="Times New Roman" w:hAnsi="Times New Roman" w:cs="Times New Roman"/>
          <w:b/>
          <w:bCs/>
          <w:sz w:val="24"/>
          <w:szCs w:val="24"/>
        </w:rPr>
        <w:t>) Detrimental Effects on the Receiving Basin</w:t>
      </w:r>
      <w:bookmarkEnd w:id="8"/>
      <w:bookmarkEnd w:id="9"/>
      <w:r w:rsidR="0056411D">
        <w:rPr>
          <w:rFonts w:ascii="Times New Roman" w:hAnsi="Times New Roman" w:cs="Times New Roman"/>
          <w:b/>
          <w:bCs/>
          <w:sz w:val="24"/>
          <w:szCs w:val="24"/>
        </w:rPr>
        <w:t>s</w:t>
      </w:r>
    </w:p>
    <w:p w14:paraId="7231A905" w14:textId="77777777" w:rsidR="00EF07DB" w:rsidRDefault="0056411D" w:rsidP="0056411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The receiving b</w:t>
      </w:r>
      <w:r w:rsidRPr="0056411D">
        <w:rPr>
          <w:rFonts w:ascii="Times New Roman" w:hAnsi="Times New Roman" w:cs="Times New Roman"/>
          <w:bCs/>
          <w:sz w:val="24"/>
          <w:szCs w:val="24"/>
        </w:rPr>
        <w:t>asins, to which water is transferred from Jordan Lake via both consumptive use and</w:t>
      </w:r>
      <w:r>
        <w:rPr>
          <w:rFonts w:ascii="Times New Roman" w:hAnsi="Times New Roman" w:cs="Times New Roman"/>
          <w:bCs/>
          <w:sz w:val="24"/>
          <w:szCs w:val="24"/>
        </w:rPr>
        <w:t xml:space="preserve"> </w:t>
      </w:r>
      <w:r w:rsidRPr="0056411D">
        <w:rPr>
          <w:rFonts w:ascii="Times New Roman" w:hAnsi="Times New Roman" w:cs="Times New Roman"/>
          <w:bCs/>
          <w:sz w:val="24"/>
          <w:szCs w:val="24"/>
        </w:rPr>
        <w:t>wastewater discharge</w:t>
      </w:r>
      <w:r>
        <w:rPr>
          <w:rFonts w:ascii="Times New Roman" w:hAnsi="Times New Roman" w:cs="Times New Roman"/>
          <w:bCs/>
          <w:sz w:val="24"/>
          <w:szCs w:val="24"/>
        </w:rPr>
        <w:t>, include</w:t>
      </w:r>
      <w:r w:rsidR="00DE749C">
        <w:rPr>
          <w:rFonts w:ascii="Times New Roman" w:hAnsi="Times New Roman" w:cs="Times New Roman"/>
          <w:bCs/>
          <w:sz w:val="24"/>
          <w:szCs w:val="24"/>
        </w:rPr>
        <w:t xml:space="preserve"> </w:t>
      </w:r>
      <w:r w:rsidR="00DE749C" w:rsidRPr="00DE749C">
        <w:rPr>
          <w:rFonts w:ascii="Times New Roman" w:hAnsi="Times New Roman" w:cs="Times New Roman"/>
          <w:bCs/>
          <w:sz w:val="24"/>
          <w:szCs w:val="24"/>
        </w:rPr>
        <w:t>primarily</w:t>
      </w:r>
      <w:r w:rsidRPr="00786C44">
        <w:rPr>
          <w:rFonts w:ascii="Times New Roman" w:hAnsi="Times New Roman" w:cs="Times New Roman"/>
          <w:sz w:val="24"/>
          <w:szCs w:val="24"/>
        </w:rPr>
        <w:t xml:space="preserve"> </w:t>
      </w:r>
      <w:r w:rsidRPr="00DE749C">
        <w:rPr>
          <w:rFonts w:ascii="Times New Roman" w:hAnsi="Times New Roman" w:cs="Times New Roman"/>
          <w:bCs/>
          <w:sz w:val="24"/>
          <w:szCs w:val="24"/>
        </w:rPr>
        <w:t>the</w:t>
      </w:r>
      <w:r w:rsidRPr="0056411D">
        <w:rPr>
          <w:rFonts w:ascii="Times New Roman" w:hAnsi="Times New Roman" w:cs="Times New Roman"/>
          <w:bCs/>
          <w:sz w:val="24"/>
          <w:szCs w:val="24"/>
        </w:rPr>
        <w:t xml:space="preserve"> Neuse River</w:t>
      </w:r>
      <w:r w:rsidR="00DE749C">
        <w:rPr>
          <w:rFonts w:ascii="Times New Roman" w:hAnsi="Times New Roman" w:cs="Times New Roman"/>
          <w:bCs/>
          <w:sz w:val="24"/>
          <w:szCs w:val="24"/>
        </w:rPr>
        <w:t xml:space="preserve"> basin as well as</w:t>
      </w:r>
      <w:r w:rsidR="00324977">
        <w:rPr>
          <w:rFonts w:ascii="Times New Roman" w:hAnsi="Times New Roman" w:cs="Times New Roman"/>
          <w:bCs/>
          <w:sz w:val="24"/>
          <w:szCs w:val="24"/>
        </w:rPr>
        <w:t xml:space="preserve"> </w:t>
      </w:r>
      <w:r>
        <w:rPr>
          <w:rFonts w:ascii="Times New Roman" w:hAnsi="Times New Roman" w:cs="Times New Roman"/>
          <w:bCs/>
          <w:sz w:val="24"/>
          <w:szCs w:val="24"/>
        </w:rPr>
        <w:t>the Cape Fear River basin</w:t>
      </w:r>
      <w:r w:rsidRPr="0056411D">
        <w:rPr>
          <w:rFonts w:ascii="Times New Roman" w:hAnsi="Times New Roman" w:cs="Times New Roman"/>
          <w:bCs/>
          <w:sz w:val="24"/>
          <w:szCs w:val="24"/>
        </w:rPr>
        <w:t>.</w:t>
      </w:r>
      <w:r>
        <w:rPr>
          <w:rFonts w:ascii="Times New Roman" w:hAnsi="Times New Roman" w:cs="Times New Roman"/>
          <w:bCs/>
          <w:sz w:val="24"/>
          <w:szCs w:val="24"/>
        </w:rPr>
        <w:t xml:space="preserve">   </w:t>
      </w:r>
    </w:p>
    <w:p w14:paraId="762E0B8A" w14:textId="77777777" w:rsidR="00EF07DB" w:rsidRDefault="00EF07DB" w:rsidP="0056411D">
      <w:pPr>
        <w:spacing w:after="0" w:line="240" w:lineRule="auto"/>
        <w:contextualSpacing/>
        <w:rPr>
          <w:rFonts w:ascii="Times New Roman" w:hAnsi="Times New Roman" w:cs="Times New Roman"/>
          <w:bCs/>
          <w:sz w:val="24"/>
          <w:szCs w:val="24"/>
        </w:rPr>
      </w:pPr>
    </w:p>
    <w:p w14:paraId="5F7DAE88" w14:textId="77777777" w:rsidR="00EF07DB" w:rsidRDefault="00EF07DB" w:rsidP="0056411D">
      <w:pPr>
        <w:spacing w:after="0" w:line="240" w:lineRule="auto"/>
        <w:contextualSpacing/>
        <w:rPr>
          <w:rFonts w:ascii="Times New Roman" w:hAnsi="Times New Roman" w:cs="Times New Roman"/>
          <w:bCs/>
          <w:sz w:val="24"/>
          <w:szCs w:val="24"/>
        </w:rPr>
      </w:pPr>
      <w:r w:rsidRPr="00786C44">
        <w:rPr>
          <w:rFonts w:ascii="Times New Roman" w:hAnsi="Times New Roman" w:cs="Times New Roman"/>
          <w:bCs/>
          <w:sz w:val="24"/>
          <w:szCs w:val="24"/>
          <w:u w:val="single"/>
        </w:rPr>
        <w:t>Neuse River basin</w:t>
      </w:r>
    </w:p>
    <w:p w14:paraId="739D8BEB" w14:textId="77777777" w:rsidR="00EF07DB" w:rsidRPr="00EF07DB" w:rsidRDefault="00EF07DB" w:rsidP="00EF07DB">
      <w:pPr>
        <w:spacing w:after="0" w:line="240" w:lineRule="auto"/>
        <w:contextualSpacing/>
        <w:rPr>
          <w:rFonts w:ascii="Times New Roman" w:hAnsi="Times New Roman" w:cs="Times New Roman"/>
          <w:bCs/>
          <w:sz w:val="24"/>
          <w:szCs w:val="24"/>
        </w:rPr>
      </w:pPr>
      <w:r w:rsidRPr="00EF07DB">
        <w:rPr>
          <w:rFonts w:ascii="Times New Roman" w:hAnsi="Times New Roman" w:cs="Times New Roman"/>
          <w:bCs/>
          <w:sz w:val="24"/>
          <w:szCs w:val="24"/>
        </w:rPr>
        <w:t>Wastewater discharges are expected to in</w:t>
      </w:r>
      <w:r>
        <w:rPr>
          <w:rFonts w:ascii="Times New Roman" w:hAnsi="Times New Roman" w:cs="Times New Roman"/>
          <w:bCs/>
          <w:sz w:val="24"/>
          <w:szCs w:val="24"/>
        </w:rPr>
        <w:t xml:space="preserve">crease in the Neuse River </w:t>
      </w:r>
      <w:proofErr w:type="gramStart"/>
      <w:r>
        <w:rPr>
          <w:rFonts w:ascii="Times New Roman" w:hAnsi="Times New Roman" w:cs="Times New Roman"/>
          <w:bCs/>
          <w:sz w:val="24"/>
          <w:szCs w:val="24"/>
        </w:rPr>
        <w:t>basin</w:t>
      </w:r>
      <w:r w:rsidRPr="00EF07DB">
        <w:rPr>
          <w:rFonts w:ascii="Times New Roman" w:hAnsi="Times New Roman" w:cs="Times New Roman"/>
          <w:bCs/>
          <w:sz w:val="24"/>
          <w:szCs w:val="24"/>
        </w:rPr>
        <w:t>, but</w:t>
      </w:r>
      <w:proofErr w:type="gramEnd"/>
      <w:r w:rsidRPr="00EF07DB">
        <w:rPr>
          <w:rFonts w:ascii="Times New Roman" w:hAnsi="Times New Roman" w:cs="Times New Roman"/>
          <w:bCs/>
          <w:sz w:val="24"/>
          <w:szCs w:val="24"/>
        </w:rPr>
        <w:t xml:space="preserve"> are planned to be within the limits of the current NPDES permitted flows. No additional water quantity or water quality impacts beyond those already accounted for in the NPDES permits are expected.</w:t>
      </w:r>
      <w:r w:rsidR="00DE749C">
        <w:rPr>
          <w:rFonts w:ascii="Times New Roman" w:hAnsi="Times New Roman" w:cs="Times New Roman"/>
          <w:bCs/>
          <w:sz w:val="24"/>
          <w:szCs w:val="24"/>
        </w:rPr>
        <w:t xml:space="preserve">  </w:t>
      </w:r>
      <w:r w:rsidR="00DE749C" w:rsidRPr="00DE749C">
        <w:rPr>
          <w:rFonts w:ascii="Times New Roman" w:hAnsi="Times New Roman" w:cs="Times New Roman"/>
          <w:bCs/>
          <w:sz w:val="24"/>
          <w:szCs w:val="24"/>
        </w:rPr>
        <w:t>Because stream flows in the Neuse River basin are not expected to change significantly due to the proposal, no impacts are likely to occur to navigation, recreation, or flooding.</w:t>
      </w:r>
    </w:p>
    <w:p w14:paraId="7E0DA184" w14:textId="77777777" w:rsidR="00EF07DB" w:rsidRPr="00EF07DB" w:rsidRDefault="00EF07DB" w:rsidP="00EF07DB">
      <w:pPr>
        <w:spacing w:after="0" w:line="240" w:lineRule="auto"/>
        <w:contextualSpacing/>
        <w:rPr>
          <w:rFonts w:ascii="Times New Roman" w:hAnsi="Times New Roman" w:cs="Times New Roman"/>
          <w:bCs/>
          <w:sz w:val="24"/>
          <w:szCs w:val="24"/>
        </w:rPr>
      </w:pPr>
    </w:p>
    <w:p w14:paraId="6BFA3B90" w14:textId="77777777" w:rsidR="00EF07DB" w:rsidRPr="00EF07DB" w:rsidRDefault="00246BEA" w:rsidP="00DD2ED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Within the Neuse River</w:t>
      </w:r>
      <w:r w:rsidR="00EF07DB">
        <w:rPr>
          <w:rFonts w:ascii="Times New Roman" w:hAnsi="Times New Roman" w:cs="Times New Roman"/>
          <w:bCs/>
          <w:sz w:val="24"/>
          <w:szCs w:val="24"/>
        </w:rPr>
        <w:t xml:space="preserve"> basin</w:t>
      </w:r>
      <w:r w:rsidR="00EF07DB" w:rsidRPr="00EF07DB">
        <w:rPr>
          <w:rFonts w:ascii="Times New Roman" w:hAnsi="Times New Roman" w:cs="Times New Roman"/>
          <w:bCs/>
          <w:sz w:val="24"/>
          <w:szCs w:val="24"/>
        </w:rPr>
        <w:t xml:space="preserve">, </w:t>
      </w:r>
      <w:r w:rsidR="006309ED" w:rsidRPr="006309ED">
        <w:rPr>
          <w:rFonts w:ascii="Times New Roman" w:hAnsi="Times New Roman" w:cs="Times New Roman"/>
          <w:bCs/>
          <w:sz w:val="24"/>
          <w:szCs w:val="24"/>
        </w:rPr>
        <w:t>the proposed IBT will not have direct impacts to</w:t>
      </w:r>
      <w:r w:rsidR="00EF07DB" w:rsidRPr="00EF07DB">
        <w:rPr>
          <w:rFonts w:ascii="Times New Roman" w:hAnsi="Times New Roman" w:cs="Times New Roman"/>
          <w:bCs/>
          <w:sz w:val="24"/>
          <w:szCs w:val="24"/>
        </w:rPr>
        <w:t xml:space="preserve"> soils, wildlife resources, land cover, agricultural land and prime farmland, forested resources, public lands and scenic and natural areas, archaeological and historic resources, air quality, noise levels, and toxic substances/hazardous wastes.  This </w:t>
      </w:r>
      <w:r w:rsidR="006309ED">
        <w:rPr>
          <w:rFonts w:ascii="Times New Roman" w:hAnsi="Times New Roman" w:cs="Times New Roman"/>
          <w:bCs/>
          <w:sz w:val="24"/>
          <w:szCs w:val="24"/>
        </w:rPr>
        <w:t>is because t</w:t>
      </w:r>
      <w:r w:rsidR="00EF07DB" w:rsidRPr="00EF07DB">
        <w:rPr>
          <w:rFonts w:ascii="Times New Roman" w:hAnsi="Times New Roman" w:cs="Times New Roman"/>
          <w:bCs/>
          <w:sz w:val="24"/>
          <w:szCs w:val="24"/>
        </w:rPr>
        <w:t>here are no construction activities directly associated with the proposed increase in IBT.</w:t>
      </w:r>
    </w:p>
    <w:p w14:paraId="79CBF1D4" w14:textId="77777777" w:rsidR="00DD2ED2" w:rsidRDefault="00DD2ED2" w:rsidP="003171D4">
      <w:pPr>
        <w:spacing w:after="0" w:line="240" w:lineRule="auto"/>
        <w:contextualSpacing/>
        <w:rPr>
          <w:rFonts w:ascii="Times New Roman" w:hAnsi="Times New Roman" w:cs="Times New Roman"/>
          <w:bCs/>
          <w:sz w:val="24"/>
          <w:szCs w:val="24"/>
        </w:rPr>
      </w:pPr>
    </w:p>
    <w:p w14:paraId="20094F39" w14:textId="77777777" w:rsidR="00C67488" w:rsidRPr="00C67488" w:rsidRDefault="00C67488" w:rsidP="00C67488">
      <w:pPr>
        <w:spacing w:after="0" w:line="240" w:lineRule="auto"/>
        <w:contextualSpacing/>
        <w:rPr>
          <w:rFonts w:ascii="Times New Roman" w:hAnsi="Times New Roman" w:cs="Times New Roman"/>
          <w:bCs/>
          <w:sz w:val="24"/>
          <w:szCs w:val="24"/>
        </w:rPr>
      </w:pPr>
      <w:r w:rsidRPr="00C67488">
        <w:rPr>
          <w:rFonts w:ascii="Times New Roman" w:hAnsi="Times New Roman" w:cs="Times New Roman"/>
          <w:bCs/>
          <w:sz w:val="24"/>
          <w:szCs w:val="24"/>
        </w:rPr>
        <w:t>The assessment of secondary and cumulative impacts (SCI) for both the source and receiving basins is presented in the Towns’ Secondary and Cumulative Impact Master Management Plan (SCIMMP</w:t>
      </w:r>
      <w:proofErr w:type="gramStart"/>
      <w:r w:rsidRPr="00C67488">
        <w:rPr>
          <w:rFonts w:ascii="Times New Roman" w:hAnsi="Times New Roman" w:cs="Times New Roman"/>
          <w:bCs/>
          <w:sz w:val="24"/>
          <w:szCs w:val="24"/>
        </w:rPr>
        <w:t>)(</w:t>
      </w:r>
      <w:proofErr w:type="gramEnd"/>
      <w:r w:rsidRPr="00C67488">
        <w:rPr>
          <w:rFonts w:ascii="Times New Roman" w:hAnsi="Times New Roman" w:cs="Times New Roman"/>
          <w:bCs/>
          <w:sz w:val="24"/>
          <w:szCs w:val="24"/>
        </w:rPr>
        <w:t xml:space="preserve">CH2M HILL, 2005a, 2005b, 2005c, 2014a, 2014b, and 2014c). The SCIMMPs include a comprehensive description of mitigation programs to avoid or minimize SCI to environmental resources that could occur with the Towns’ land use plans and implementation of projects in the Towns’ infrastructure master plans.  The SCIMMPs discuss the federal, </w:t>
      </w:r>
      <w:r w:rsidR="00805A35">
        <w:rPr>
          <w:rFonts w:ascii="Times New Roman" w:hAnsi="Times New Roman" w:cs="Times New Roman"/>
          <w:bCs/>
          <w:sz w:val="24"/>
          <w:szCs w:val="24"/>
        </w:rPr>
        <w:t>s</w:t>
      </w:r>
      <w:r w:rsidRPr="00C67488">
        <w:rPr>
          <w:rFonts w:ascii="Times New Roman" w:hAnsi="Times New Roman" w:cs="Times New Roman"/>
          <w:bCs/>
          <w:sz w:val="24"/>
          <w:szCs w:val="24"/>
        </w:rPr>
        <w:t xml:space="preserve">tate, and local programs that mitigate the potential SCI related to growth facilitated to some extent by infrastructure and public utility projects, including this proposed increase in IBT. The SCIMMPs discuss the potential for SCI to occur and the programs designed to mitigate SCI to a level that is not expected to be significant. The SCIMMPs are included in this section by </w:t>
      </w:r>
      <w:proofErr w:type="gramStart"/>
      <w:r w:rsidRPr="00C67488">
        <w:rPr>
          <w:rFonts w:ascii="Times New Roman" w:hAnsi="Times New Roman" w:cs="Times New Roman"/>
          <w:bCs/>
          <w:sz w:val="24"/>
          <w:szCs w:val="24"/>
        </w:rPr>
        <w:t>reference, because</w:t>
      </w:r>
      <w:proofErr w:type="gramEnd"/>
      <w:r w:rsidRPr="00C67488">
        <w:rPr>
          <w:rFonts w:ascii="Times New Roman" w:hAnsi="Times New Roman" w:cs="Times New Roman"/>
          <w:bCs/>
          <w:sz w:val="24"/>
          <w:szCs w:val="24"/>
        </w:rPr>
        <w:t xml:space="preserve"> </w:t>
      </w:r>
      <w:r w:rsidRPr="00C67488">
        <w:rPr>
          <w:rFonts w:ascii="Times New Roman" w:hAnsi="Times New Roman" w:cs="Times New Roman"/>
          <w:bCs/>
          <w:sz w:val="24"/>
          <w:szCs w:val="24"/>
        </w:rPr>
        <w:lastRenderedPageBreak/>
        <w:t xml:space="preserve">no construction is proposed as part of this IBT certificate modification, the only potential for direct effects is related to water resources. </w:t>
      </w:r>
    </w:p>
    <w:p w14:paraId="20310544" w14:textId="77777777" w:rsidR="00C67488" w:rsidRDefault="00C67488" w:rsidP="003171D4">
      <w:pPr>
        <w:spacing w:after="0" w:line="240" w:lineRule="auto"/>
        <w:contextualSpacing/>
        <w:rPr>
          <w:rFonts w:ascii="Times New Roman" w:hAnsi="Times New Roman" w:cs="Times New Roman"/>
          <w:bCs/>
          <w:sz w:val="24"/>
          <w:szCs w:val="24"/>
        </w:rPr>
      </w:pPr>
    </w:p>
    <w:p w14:paraId="13A3C717" w14:textId="77777777" w:rsidR="00EF07DB" w:rsidRPr="00EF07DB" w:rsidRDefault="00EF07DB" w:rsidP="003171D4">
      <w:pPr>
        <w:spacing w:after="0" w:line="240" w:lineRule="auto"/>
        <w:contextualSpacing/>
        <w:rPr>
          <w:rFonts w:ascii="Times New Roman" w:hAnsi="Times New Roman" w:cs="Times New Roman"/>
          <w:bCs/>
          <w:sz w:val="24"/>
          <w:szCs w:val="24"/>
        </w:rPr>
      </w:pPr>
      <w:r w:rsidRPr="00EF07DB">
        <w:rPr>
          <w:rFonts w:ascii="Times New Roman" w:hAnsi="Times New Roman" w:cs="Times New Roman"/>
          <w:bCs/>
          <w:sz w:val="24"/>
          <w:szCs w:val="24"/>
        </w:rPr>
        <w:t>Any future facility construction needed to meet 2045 water demands will undergo a separate environmental permitting process and assessment of potential environmental impacts.</w:t>
      </w:r>
    </w:p>
    <w:p w14:paraId="0D19787A" w14:textId="77777777" w:rsidR="00EF07DB" w:rsidRPr="00EF07DB" w:rsidRDefault="00EF07DB" w:rsidP="0056411D">
      <w:pPr>
        <w:spacing w:after="0" w:line="240" w:lineRule="auto"/>
        <w:contextualSpacing/>
        <w:rPr>
          <w:rFonts w:ascii="Times New Roman" w:hAnsi="Times New Roman" w:cs="Times New Roman"/>
          <w:bCs/>
          <w:sz w:val="24"/>
          <w:szCs w:val="24"/>
        </w:rPr>
      </w:pPr>
    </w:p>
    <w:p w14:paraId="252F9FDD" w14:textId="77777777" w:rsidR="00EF07DB" w:rsidRPr="00EF07DB" w:rsidRDefault="00EF07DB" w:rsidP="0056411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u w:val="single"/>
        </w:rPr>
        <w:t>Cape Fear River basin</w:t>
      </w:r>
    </w:p>
    <w:p w14:paraId="2F1495F6" w14:textId="77777777" w:rsidR="0087380F" w:rsidRDefault="00015115" w:rsidP="0056411D">
      <w:pPr>
        <w:spacing w:after="0" w:line="240" w:lineRule="auto"/>
        <w:contextualSpacing/>
        <w:rPr>
          <w:rFonts w:ascii="Times New Roman" w:hAnsi="Times New Roman" w:cs="Times New Roman"/>
          <w:bCs/>
          <w:sz w:val="24"/>
          <w:szCs w:val="24"/>
        </w:rPr>
      </w:pPr>
      <w:r w:rsidRPr="00015115">
        <w:rPr>
          <w:rFonts w:ascii="Times New Roman" w:hAnsi="Times New Roman" w:cs="Times New Roman"/>
          <w:bCs/>
          <w:sz w:val="24"/>
          <w:szCs w:val="24"/>
        </w:rPr>
        <w:t xml:space="preserve">There have been no measurable impacts on the Jordan Lake water surface elevation or downstream flow patterns </w:t>
      </w:r>
      <w:proofErr w:type="gramStart"/>
      <w:r w:rsidRPr="00015115">
        <w:rPr>
          <w:rFonts w:ascii="Times New Roman" w:hAnsi="Times New Roman" w:cs="Times New Roman"/>
          <w:bCs/>
          <w:sz w:val="24"/>
          <w:szCs w:val="24"/>
        </w:rPr>
        <w:t>as a result of</w:t>
      </w:r>
      <w:proofErr w:type="gramEnd"/>
      <w:r w:rsidRPr="00015115">
        <w:rPr>
          <w:rFonts w:ascii="Times New Roman" w:hAnsi="Times New Roman" w:cs="Times New Roman"/>
          <w:bCs/>
          <w:sz w:val="24"/>
          <w:szCs w:val="24"/>
        </w:rPr>
        <w:t xml:space="preserve"> the applicants’ current withdrawal and IBT. </w:t>
      </w:r>
      <w:r w:rsidR="007F4EAA" w:rsidRPr="007F4EAA">
        <w:rPr>
          <w:rFonts w:ascii="Times New Roman" w:hAnsi="Times New Roman" w:cs="Times New Roman"/>
          <w:bCs/>
          <w:sz w:val="24"/>
          <w:szCs w:val="24"/>
        </w:rPr>
        <w:t>Refer to Table 2 in the discussion of Finding No. 2 for a presentation of the modeling results for key hydrologic indicators, including Jordan Lake levels and flow of the Cape Fear River at Lillington and Fayetteville.</w:t>
      </w:r>
      <w:r w:rsidR="007F4EAA">
        <w:rPr>
          <w:rFonts w:ascii="Times New Roman" w:hAnsi="Times New Roman" w:cs="Times New Roman"/>
          <w:bCs/>
          <w:sz w:val="24"/>
          <w:szCs w:val="24"/>
        </w:rPr>
        <w:t xml:space="preserve">  </w:t>
      </w:r>
      <w:r w:rsidR="0056411D" w:rsidRPr="0056411D">
        <w:rPr>
          <w:rFonts w:ascii="Times New Roman" w:hAnsi="Times New Roman" w:cs="Times New Roman"/>
          <w:bCs/>
          <w:sz w:val="24"/>
          <w:szCs w:val="24"/>
        </w:rPr>
        <w:t>Aquatic resources in Jordan Lake, its tributaries, and in the downstream reaches of the Haw River and Cape</w:t>
      </w:r>
      <w:r w:rsidR="00E83275">
        <w:rPr>
          <w:rFonts w:ascii="Times New Roman" w:hAnsi="Times New Roman" w:cs="Times New Roman"/>
          <w:bCs/>
          <w:sz w:val="24"/>
          <w:szCs w:val="24"/>
        </w:rPr>
        <w:t xml:space="preserve"> </w:t>
      </w:r>
      <w:r w:rsidR="0056411D" w:rsidRPr="0056411D">
        <w:rPr>
          <w:rFonts w:ascii="Times New Roman" w:hAnsi="Times New Roman" w:cs="Times New Roman"/>
          <w:bCs/>
          <w:sz w:val="24"/>
          <w:szCs w:val="24"/>
        </w:rPr>
        <w:t>Fear River are not expected to be directly impacted by the proposed increase in water withdrawal from</w:t>
      </w:r>
      <w:r w:rsidR="00E83275">
        <w:rPr>
          <w:rFonts w:ascii="Times New Roman" w:hAnsi="Times New Roman" w:cs="Times New Roman"/>
          <w:bCs/>
          <w:sz w:val="24"/>
          <w:szCs w:val="24"/>
        </w:rPr>
        <w:t xml:space="preserve"> </w:t>
      </w:r>
      <w:r w:rsidR="0056411D" w:rsidRPr="0056411D">
        <w:rPr>
          <w:rFonts w:ascii="Times New Roman" w:hAnsi="Times New Roman" w:cs="Times New Roman"/>
          <w:bCs/>
          <w:sz w:val="24"/>
          <w:szCs w:val="24"/>
        </w:rPr>
        <w:t>Jordan Lake.</w:t>
      </w:r>
      <w:r w:rsidR="00C67488">
        <w:rPr>
          <w:rFonts w:ascii="Times New Roman" w:hAnsi="Times New Roman" w:cs="Times New Roman"/>
          <w:bCs/>
          <w:sz w:val="24"/>
          <w:szCs w:val="24"/>
        </w:rPr>
        <w:t xml:space="preserve"> </w:t>
      </w:r>
      <w:r w:rsidR="0056411D" w:rsidRPr="0056411D">
        <w:rPr>
          <w:rFonts w:ascii="Times New Roman" w:hAnsi="Times New Roman" w:cs="Times New Roman"/>
          <w:bCs/>
          <w:sz w:val="24"/>
          <w:szCs w:val="24"/>
        </w:rPr>
        <w:t>Lake levels are not expected to be significantly altered, and downstream flow releases from</w:t>
      </w:r>
      <w:r w:rsidR="0056411D">
        <w:rPr>
          <w:rFonts w:ascii="Times New Roman" w:hAnsi="Times New Roman" w:cs="Times New Roman"/>
          <w:bCs/>
          <w:sz w:val="24"/>
          <w:szCs w:val="24"/>
        </w:rPr>
        <w:t xml:space="preserve"> </w:t>
      </w:r>
      <w:r w:rsidR="0056411D" w:rsidRPr="0056411D">
        <w:rPr>
          <w:rFonts w:ascii="Times New Roman" w:hAnsi="Times New Roman" w:cs="Times New Roman"/>
          <w:bCs/>
          <w:sz w:val="24"/>
          <w:szCs w:val="24"/>
        </w:rPr>
        <w:t>Jordan Lake will remain subject to the USACE release regimes. In</w:t>
      </w:r>
      <w:r w:rsidR="0056411D" w:rsidRPr="0056411D">
        <w:rPr>
          <w:rFonts w:ascii="Cambria Math" w:hAnsi="Cambria Math" w:cs="Cambria Math"/>
          <w:bCs/>
          <w:sz w:val="24"/>
          <w:szCs w:val="24"/>
        </w:rPr>
        <w:t>‐</w:t>
      </w:r>
      <w:r w:rsidR="0056411D" w:rsidRPr="0056411D">
        <w:rPr>
          <w:rFonts w:ascii="Times New Roman" w:hAnsi="Times New Roman" w:cs="Times New Roman"/>
          <w:bCs/>
          <w:sz w:val="24"/>
          <w:szCs w:val="24"/>
        </w:rPr>
        <w:t>stream flow patterns will not be impacted,</w:t>
      </w:r>
      <w:r w:rsidR="00E83275">
        <w:rPr>
          <w:rFonts w:ascii="Times New Roman" w:hAnsi="Times New Roman" w:cs="Times New Roman"/>
          <w:bCs/>
          <w:sz w:val="24"/>
          <w:szCs w:val="24"/>
        </w:rPr>
        <w:t xml:space="preserve"> </w:t>
      </w:r>
      <w:r w:rsidR="0056411D" w:rsidRPr="0056411D">
        <w:rPr>
          <w:rFonts w:ascii="Times New Roman" w:hAnsi="Times New Roman" w:cs="Times New Roman"/>
          <w:bCs/>
          <w:sz w:val="24"/>
          <w:szCs w:val="24"/>
        </w:rPr>
        <w:t>and the target flows at the Lillington gage, which protect in</w:t>
      </w:r>
      <w:r w:rsidR="0056411D" w:rsidRPr="0056411D">
        <w:rPr>
          <w:rFonts w:ascii="Cambria Math" w:hAnsi="Cambria Math" w:cs="Cambria Math"/>
          <w:bCs/>
          <w:sz w:val="24"/>
          <w:szCs w:val="24"/>
        </w:rPr>
        <w:t>‐</w:t>
      </w:r>
      <w:r w:rsidR="0056411D" w:rsidRPr="0056411D">
        <w:rPr>
          <w:rFonts w:ascii="Times New Roman" w:hAnsi="Times New Roman" w:cs="Times New Roman"/>
          <w:bCs/>
          <w:sz w:val="24"/>
          <w:szCs w:val="24"/>
        </w:rPr>
        <w:t xml:space="preserve">stream aquatic habitat, aquatic </w:t>
      </w:r>
      <w:proofErr w:type="gramStart"/>
      <w:r w:rsidR="0056411D" w:rsidRPr="0056411D">
        <w:rPr>
          <w:rFonts w:ascii="Times New Roman" w:hAnsi="Times New Roman" w:cs="Times New Roman"/>
          <w:bCs/>
          <w:sz w:val="24"/>
          <w:szCs w:val="24"/>
        </w:rPr>
        <w:t>resources</w:t>
      </w:r>
      <w:proofErr w:type="gramEnd"/>
      <w:r w:rsidR="0056411D" w:rsidRPr="0056411D">
        <w:rPr>
          <w:rFonts w:ascii="Times New Roman" w:hAnsi="Times New Roman" w:cs="Times New Roman"/>
          <w:bCs/>
          <w:sz w:val="24"/>
          <w:szCs w:val="24"/>
        </w:rPr>
        <w:t xml:space="preserve"> and</w:t>
      </w:r>
      <w:r w:rsidR="00E83275">
        <w:rPr>
          <w:rFonts w:ascii="Times New Roman" w:hAnsi="Times New Roman" w:cs="Times New Roman"/>
          <w:bCs/>
          <w:sz w:val="24"/>
          <w:szCs w:val="24"/>
        </w:rPr>
        <w:t xml:space="preserve"> </w:t>
      </w:r>
      <w:r w:rsidR="0056411D" w:rsidRPr="0056411D">
        <w:rPr>
          <w:rFonts w:ascii="Times New Roman" w:hAnsi="Times New Roman" w:cs="Times New Roman"/>
          <w:bCs/>
          <w:sz w:val="24"/>
          <w:szCs w:val="24"/>
        </w:rPr>
        <w:t>water quality, will continue to be met.</w:t>
      </w:r>
      <w:r w:rsidR="00C67488">
        <w:rPr>
          <w:rFonts w:ascii="Times New Roman" w:hAnsi="Times New Roman" w:cs="Times New Roman"/>
          <w:bCs/>
          <w:sz w:val="24"/>
          <w:szCs w:val="24"/>
        </w:rPr>
        <w:t xml:space="preserve">    </w:t>
      </w:r>
    </w:p>
    <w:p w14:paraId="43C9CC71" w14:textId="77777777" w:rsidR="00DE749C" w:rsidRDefault="00DE749C" w:rsidP="0056411D">
      <w:pPr>
        <w:spacing w:after="0" w:line="240" w:lineRule="auto"/>
        <w:contextualSpacing/>
        <w:rPr>
          <w:rFonts w:ascii="Times New Roman" w:hAnsi="Times New Roman" w:cs="Times New Roman"/>
          <w:bCs/>
          <w:sz w:val="24"/>
          <w:szCs w:val="24"/>
        </w:rPr>
      </w:pPr>
    </w:p>
    <w:p w14:paraId="2FB4EF3B" w14:textId="77777777" w:rsidR="00DE749C" w:rsidRDefault="00163053" w:rsidP="00DE749C">
      <w:pPr>
        <w:spacing w:after="0" w:line="240" w:lineRule="auto"/>
        <w:contextualSpacing/>
        <w:rPr>
          <w:rFonts w:ascii="Times New Roman" w:hAnsi="Times New Roman" w:cs="Times New Roman"/>
          <w:bCs/>
          <w:sz w:val="24"/>
          <w:szCs w:val="24"/>
        </w:rPr>
      </w:pPr>
      <w:r w:rsidRPr="00B82290">
        <w:rPr>
          <w:rFonts w:ascii="Times New Roman" w:hAnsi="Times New Roman" w:cs="Times New Roman"/>
          <w:bCs/>
          <w:sz w:val="24"/>
          <w:szCs w:val="24"/>
        </w:rPr>
        <w:t xml:space="preserve">The hydrologic modeling and impact analyses that were conducted for the Environmental Assessment have </w:t>
      </w:r>
      <w:proofErr w:type="gramStart"/>
      <w:r w:rsidRPr="00B82290">
        <w:rPr>
          <w:rFonts w:ascii="Times New Roman" w:hAnsi="Times New Roman" w:cs="Times New Roman"/>
          <w:bCs/>
          <w:sz w:val="24"/>
          <w:szCs w:val="24"/>
        </w:rPr>
        <w:t>taken into account</w:t>
      </w:r>
      <w:proofErr w:type="gramEnd"/>
      <w:r w:rsidRPr="00B82290">
        <w:rPr>
          <w:rFonts w:ascii="Times New Roman" w:hAnsi="Times New Roman" w:cs="Times New Roman"/>
          <w:bCs/>
          <w:sz w:val="24"/>
          <w:szCs w:val="24"/>
        </w:rPr>
        <w:t xml:space="preserve"> discharges to the Cape Fear River from the Western Wake Regional Water Reclamation Facility (WWRWRF).</w:t>
      </w:r>
      <w:r w:rsidR="007F4EAA">
        <w:rPr>
          <w:rFonts w:ascii="Times New Roman" w:hAnsi="Times New Roman" w:cs="Times New Roman"/>
          <w:bCs/>
          <w:sz w:val="24"/>
          <w:szCs w:val="24"/>
        </w:rPr>
        <w:t xml:space="preserve">  A</w:t>
      </w:r>
      <w:r w:rsidR="007F4EAA" w:rsidRPr="004E07CB">
        <w:rPr>
          <w:rFonts w:ascii="Times New Roman" w:hAnsi="Times New Roman" w:cs="Times New Roman"/>
          <w:sz w:val="24"/>
          <w:szCs w:val="24"/>
        </w:rPr>
        <w:t>s required by §143-215.22L(k)(</w:t>
      </w:r>
      <w:r w:rsidR="007F4EAA">
        <w:rPr>
          <w:rFonts w:ascii="Times New Roman" w:hAnsi="Times New Roman" w:cs="Times New Roman"/>
          <w:sz w:val="24"/>
          <w:szCs w:val="24"/>
        </w:rPr>
        <w:t>4</w:t>
      </w:r>
      <w:r w:rsidR="007F4EAA" w:rsidRPr="004E07CB">
        <w:rPr>
          <w:rFonts w:ascii="Times New Roman" w:hAnsi="Times New Roman" w:cs="Times New Roman"/>
          <w:sz w:val="24"/>
          <w:szCs w:val="24"/>
        </w:rPr>
        <w:t>),</w:t>
      </w:r>
      <w:r w:rsidR="007F4EAA">
        <w:rPr>
          <w:rFonts w:ascii="Times New Roman" w:hAnsi="Times New Roman" w:cs="Times New Roman"/>
          <w:sz w:val="24"/>
          <w:szCs w:val="24"/>
        </w:rPr>
        <w:t xml:space="preserve"> this modeling also used water demand projections supplied by Local Water Supply Plans.</w:t>
      </w:r>
      <w:r>
        <w:rPr>
          <w:rFonts w:ascii="Times New Roman" w:hAnsi="Times New Roman" w:cs="Times New Roman"/>
          <w:bCs/>
          <w:sz w:val="24"/>
          <w:szCs w:val="24"/>
        </w:rPr>
        <w:t xml:space="preserve">  It is expected that these discharges </w:t>
      </w:r>
      <w:r w:rsidR="007F4EAA">
        <w:rPr>
          <w:rFonts w:ascii="Times New Roman" w:hAnsi="Times New Roman" w:cs="Times New Roman"/>
          <w:bCs/>
          <w:sz w:val="24"/>
          <w:szCs w:val="24"/>
        </w:rPr>
        <w:t xml:space="preserve">from the WWRWRF </w:t>
      </w:r>
      <w:r>
        <w:rPr>
          <w:rFonts w:ascii="Times New Roman" w:hAnsi="Times New Roman" w:cs="Times New Roman"/>
          <w:bCs/>
          <w:sz w:val="24"/>
          <w:szCs w:val="24"/>
        </w:rPr>
        <w:t xml:space="preserve">will not only </w:t>
      </w:r>
      <w:proofErr w:type="gramStart"/>
      <w:r>
        <w:rPr>
          <w:rFonts w:ascii="Times New Roman" w:hAnsi="Times New Roman" w:cs="Times New Roman"/>
          <w:bCs/>
          <w:sz w:val="24"/>
          <w:szCs w:val="24"/>
        </w:rPr>
        <w:t>continue, but</w:t>
      </w:r>
      <w:proofErr w:type="gramEnd"/>
      <w:r>
        <w:rPr>
          <w:rFonts w:ascii="Times New Roman" w:hAnsi="Times New Roman" w:cs="Times New Roman"/>
          <w:bCs/>
          <w:sz w:val="24"/>
          <w:szCs w:val="24"/>
        </w:rPr>
        <w:t xml:space="preserve"> will increase in the future as withdrawals from Jordan Lake increase to support the expected growth, while more fully utilizing existing infrastructure.  </w:t>
      </w:r>
      <w:r w:rsidR="007F4EAA">
        <w:rPr>
          <w:rFonts w:ascii="Times New Roman" w:hAnsi="Times New Roman" w:cs="Times New Roman"/>
          <w:bCs/>
          <w:sz w:val="24"/>
          <w:szCs w:val="24"/>
        </w:rPr>
        <w:t>M</w:t>
      </w:r>
      <w:r>
        <w:rPr>
          <w:rFonts w:ascii="Times New Roman" w:hAnsi="Times New Roman" w:cs="Times New Roman"/>
          <w:bCs/>
          <w:sz w:val="24"/>
          <w:szCs w:val="24"/>
        </w:rPr>
        <w:t>odeling results project a lower frequency of Stage 3 droughts for the 2045 scenarios when compared to the 2010 baseline scenario.  This is due to the increase in wastewater discharge to the Cape Fear River from the WWRWRF, which results in a reduced need for releases from Jordan Lake during drought</w:t>
      </w:r>
      <w:r w:rsidRPr="00B82290">
        <w:rPr>
          <w:rFonts w:ascii="Times New Roman" w:hAnsi="Times New Roman" w:cs="Times New Roman"/>
          <w:bCs/>
          <w:sz w:val="24"/>
          <w:szCs w:val="24"/>
        </w:rPr>
        <w:t xml:space="preserve">.  </w:t>
      </w:r>
      <w:r w:rsidR="007D5701" w:rsidRPr="00B82290">
        <w:rPr>
          <w:rFonts w:ascii="Times New Roman" w:hAnsi="Times New Roman" w:cs="Times New Roman"/>
          <w:bCs/>
          <w:sz w:val="24"/>
          <w:szCs w:val="24"/>
        </w:rPr>
        <w:t xml:space="preserve">For the applicants to fully utilize their projected Jordan Lake water allocation, water will need to be returned to </w:t>
      </w:r>
      <w:proofErr w:type="gramStart"/>
      <w:r w:rsidR="007D5701" w:rsidRPr="00B82290">
        <w:rPr>
          <w:rFonts w:ascii="Times New Roman" w:hAnsi="Times New Roman" w:cs="Times New Roman"/>
          <w:bCs/>
          <w:sz w:val="24"/>
          <w:szCs w:val="24"/>
        </w:rPr>
        <w:t>be in compliance with</w:t>
      </w:r>
      <w:proofErr w:type="gramEnd"/>
      <w:r w:rsidR="007D5701" w:rsidRPr="00B82290">
        <w:rPr>
          <w:rFonts w:ascii="Times New Roman" w:hAnsi="Times New Roman" w:cs="Times New Roman"/>
          <w:bCs/>
          <w:sz w:val="24"/>
          <w:szCs w:val="24"/>
        </w:rPr>
        <w:t xml:space="preserve"> the requested transfer amount.</w:t>
      </w:r>
      <w:r w:rsidR="007D5701" w:rsidRPr="007D5701">
        <w:rPr>
          <w:rFonts w:ascii="Times New Roman" w:hAnsi="Times New Roman" w:cs="Times New Roman"/>
          <w:bCs/>
          <w:sz w:val="24"/>
          <w:szCs w:val="24"/>
        </w:rPr>
        <w:t xml:space="preserve"> </w:t>
      </w:r>
      <w:r w:rsidR="007D5701">
        <w:rPr>
          <w:rFonts w:ascii="Times New Roman" w:hAnsi="Times New Roman" w:cs="Times New Roman"/>
          <w:bCs/>
          <w:sz w:val="24"/>
          <w:szCs w:val="24"/>
        </w:rPr>
        <w:t>It is expected that w</w:t>
      </w:r>
      <w:r w:rsidR="00DE749C" w:rsidRPr="00DE749C">
        <w:rPr>
          <w:rFonts w:ascii="Times New Roman" w:hAnsi="Times New Roman" w:cs="Times New Roman"/>
          <w:bCs/>
          <w:sz w:val="24"/>
          <w:szCs w:val="24"/>
        </w:rPr>
        <w:t xml:space="preserve">ater quality will be protected </w:t>
      </w:r>
      <w:r w:rsidR="007D5701">
        <w:rPr>
          <w:rFonts w:ascii="Times New Roman" w:hAnsi="Times New Roman" w:cs="Times New Roman"/>
          <w:bCs/>
          <w:sz w:val="24"/>
          <w:szCs w:val="24"/>
        </w:rPr>
        <w:t xml:space="preserve">from the expected increase in </w:t>
      </w:r>
      <w:proofErr w:type="gramStart"/>
      <w:r w:rsidR="007D5701">
        <w:rPr>
          <w:rFonts w:ascii="Times New Roman" w:hAnsi="Times New Roman" w:cs="Times New Roman"/>
          <w:bCs/>
          <w:sz w:val="24"/>
          <w:szCs w:val="24"/>
        </w:rPr>
        <w:t>waste water</w:t>
      </w:r>
      <w:proofErr w:type="gramEnd"/>
      <w:r w:rsidR="007D5701">
        <w:rPr>
          <w:rFonts w:ascii="Times New Roman" w:hAnsi="Times New Roman" w:cs="Times New Roman"/>
          <w:bCs/>
          <w:sz w:val="24"/>
          <w:szCs w:val="24"/>
        </w:rPr>
        <w:t xml:space="preserve"> discharge </w:t>
      </w:r>
      <w:r w:rsidR="00DE749C" w:rsidRPr="00DE749C">
        <w:rPr>
          <w:rFonts w:ascii="Times New Roman" w:hAnsi="Times New Roman" w:cs="Times New Roman"/>
          <w:bCs/>
          <w:sz w:val="24"/>
          <w:szCs w:val="24"/>
        </w:rPr>
        <w:t>because the WWRWRF has more stringent nutrient removal criteria in its NPDES permit than any other facility in the Middle Cape Fear River basin.</w:t>
      </w:r>
    </w:p>
    <w:p w14:paraId="4B4A7EA7" w14:textId="77777777" w:rsidR="00FD707E" w:rsidRDefault="00FD707E" w:rsidP="00DE749C">
      <w:pPr>
        <w:spacing w:after="0" w:line="240" w:lineRule="auto"/>
        <w:contextualSpacing/>
        <w:rPr>
          <w:rFonts w:ascii="Times New Roman" w:hAnsi="Times New Roman" w:cs="Times New Roman"/>
          <w:bCs/>
          <w:sz w:val="24"/>
          <w:szCs w:val="24"/>
        </w:rPr>
      </w:pPr>
    </w:p>
    <w:p w14:paraId="03E9ACCE" w14:textId="77777777" w:rsidR="00FD707E" w:rsidRPr="00DE749C" w:rsidRDefault="00FD707E" w:rsidP="00DE749C">
      <w:pPr>
        <w:spacing w:after="0" w:line="240" w:lineRule="auto"/>
        <w:contextualSpacing/>
        <w:rPr>
          <w:rFonts w:ascii="Times New Roman" w:hAnsi="Times New Roman" w:cs="Times New Roman"/>
          <w:bCs/>
          <w:sz w:val="24"/>
          <w:szCs w:val="24"/>
        </w:rPr>
      </w:pPr>
    </w:p>
    <w:p w14:paraId="36971009" w14:textId="77777777" w:rsidR="00B46C61" w:rsidRPr="00307CCB" w:rsidRDefault="00307CCB" w:rsidP="00307CCB">
      <w:pPr>
        <w:spacing w:after="0" w:line="240" w:lineRule="auto"/>
        <w:contextualSpacing/>
        <w:rPr>
          <w:rFonts w:ascii="Times New Roman" w:hAnsi="Times New Roman" w:cs="Times New Roman"/>
          <w:sz w:val="24"/>
          <w:szCs w:val="24"/>
        </w:rPr>
      </w:pPr>
      <w:r w:rsidRPr="00307CCB">
        <w:rPr>
          <w:rFonts w:ascii="Times New Roman" w:hAnsi="Times New Roman" w:cs="Times New Roman"/>
          <w:i/>
          <w:iCs/>
          <w:sz w:val="24"/>
          <w:szCs w:val="24"/>
        </w:rPr>
        <w:t xml:space="preserve">Based on the record, the Commission finds that detrimental effects on the </w:t>
      </w:r>
      <w:r>
        <w:rPr>
          <w:rFonts w:ascii="Times New Roman" w:hAnsi="Times New Roman" w:cs="Times New Roman"/>
          <w:i/>
          <w:iCs/>
          <w:sz w:val="24"/>
          <w:szCs w:val="24"/>
        </w:rPr>
        <w:t>receiving</w:t>
      </w:r>
      <w:r w:rsidRPr="00307CCB">
        <w:rPr>
          <w:rFonts w:ascii="Times New Roman" w:hAnsi="Times New Roman" w:cs="Times New Roman"/>
          <w:i/>
          <w:iCs/>
          <w:sz w:val="24"/>
          <w:szCs w:val="24"/>
        </w:rPr>
        <w:t xml:space="preserve"> basin</w:t>
      </w:r>
      <w:r>
        <w:rPr>
          <w:rFonts w:ascii="Times New Roman" w:hAnsi="Times New Roman" w:cs="Times New Roman"/>
          <w:i/>
          <w:iCs/>
          <w:sz w:val="24"/>
          <w:szCs w:val="24"/>
        </w:rPr>
        <w:t>s</w:t>
      </w:r>
      <w:r w:rsidRPr="00307CCB">
        <w:rPr>
          <w:rFonts w:ascii="Times New Roman" w:hAnsi="Times New Roman" w:cs="Times New Roman"/>
          <w:i/>
          <w:iCs/>
          <w:sz w:val="24"/>
          <w:szCs w:val="24"/>
        </w:rPr>
        <w:t xml:space="preserve"> </w:t>
      </w:r>
      <w:r>
        <w:rPr>
          <w:rFonts w:ascii="Times New Roman" w:hAnsi="Times New Roman" w:cs="Times New Roman"/>
          <w:i/>
          <w:iCs/>
          <w:sz w:val="24"/>
          <w:szCs w:val="24"/>
        </w:rPr>
        <w:t xml:space="preserve">as </w:t>
      </w:r>
      <w:r w:rsidRPr="00307CCB">
        <w:rPr>
          <w:rFonts w:ascii="Times New Roman" w:hAnsi="Times New Roman" w:cs="Times New Roman"/>
          <w:i/>
          <w:iCs/>
          <w:sz w:val="24"/>
          <w:szCs w:val="24"/>
        </w:rPr>
        <w:t xml:space="preserve">described </w:t>
      </w:r>
      <w:proofErr w:type="gramStart"/>
      <w:r w:rsidRPr="00307CCB">
        <w:rPr>
          <w:rFonts w:ascii="Times New Roman" w:hAnsi="Times New Roman" w:cs="Times New Roman"/>
          <w:i/>
          <w:iCs/>
          <w:sz w:val="24"/>
          <w:szCs w:val="24"/>
        </w:rPr>
        <w:t>in  §</w:t>
      </w:r>
      <w:proofErr w:type="gramEnd"/>
      <w:r w:rsidRPr="00307CCB">
        <w:rPr>
          <w:rFonts w:ascii="Times New Roman" w:hAnsi="Times New Roman" w:cs="Times New Roman"/>
          <w:i/>
          <w:iCs/>
          <w:sz w:val="24"/>
          <w:szCs w:val="24"/>
        </w:rPr>
        <w:t xml:space="preserve"> 143-215.22L(k)(</w:t>
      </w:r>
      <w:r>
        <w:rPr>
          <w:rFonts w:ascii="Times New Roman" w:hAnsi="Times New Roman" w:cs="Times New Roman"/>
          <w:i/>
          <w:iCs/>
          <w:sz w:val="24"/>
          <w:szCs w:val="24"/>
        </w:rPr>
        <w:t>4</w:t>
      </w:r>
      <w:r w:rsidRPr="00307CCB">
        <w:rPr>
          <w:rFonts w:ascii="Times New Roman" w:hAnsi="Times New Roman" w:cs="Times New Roman"/>
          <w:i/>
          <w:iCs/>
          <w:sz w:val="24"/>
          <w:szCs w:val="24"/>
        </w:rPr>
        <w:t>) will be insignificant.</w:t>
      </w:r>
      <w:r w:rsidR="00CF78BE">
        <w:rPr>
          <w:rFonts w:ascii="Times New Roman" w:hAnsi="Times New Roman" w:cs="Times New Roman"/>
          <w:i/>
          <w:iCs/>
          <w:sz w:val="24"/>
          <w:szCs w:val="24"/>
        </w:rPr>
        <w:t xml:space="preserve">  The transfer will support continued population growth and the associated impacts of that growth.  These impacts include effects on wastewater assimilation, fish and wildlife habitat, and water quality </w:t>
      </w:r>
      <w:proofErr w:type="gramStart"/>
      <w:r w:rsidR="00CF78BE">
        <w:rPr>
          <w:rFonts w:ascii="Times New Roman" w:hAnsi="Times New Roman" w:cs="Times New Roman"/>
          <w:i/>
          <w:iCs/>
          <w:sz w:val="24"/>
          <w:szCs w:val="24"/>
        </w:rPr>
        <w:t>similar to</w:t>
      </w:r>
      <w:proofErr w:type="gramEnd"/>
      <w:r w:rsidR="00CF78BE">
        <w:rPr>
          <w:rFonts w:ascii="Times New Roman" w:hAnsi="Times New Roman" w:cs="Times New Roman"/>
          <w:i/>
          <w:iCs/>
          <w:sz w:val="24"/>
          <w:szCs w:val="24"/>
        </w:rPr>
        <w:t xml:space="preserve"> the secondary growth effects described in Finding No. 2.  However, these impacts will be minimal.</w:t>
      </w:r>
    </w:p>
    <w:p w14:paraId="5C4F01C2" w14:textId="77777777" w:rsidR="008D4E44" w:rsidRPr="008D4E44" w:rsidRDefault="008D4E44" w:rsidP="008D4E44">
      <w:pPr>
        <w:spacing w:after="0" w:line="240" w:lineRule="auto"/>
        <w:contextualSpacing/>
        <w:rPr>
          <w:rFonts w:ascii="Times New Roman" w:hAnsi="Times New Roman" w:cs="Times New Roman"/>
          <w:b/>
          <w:bCs/>
          <w:sz w:val="24"/>
          <w:szCs w:val="24"/>
        </w:rPr>
      </w:pPr>
      <w:bookmarkStart w:id="10" w:name="_Toc152550395"/>
      <w:bookmarkStart w:id="11" w:name="_Toc152490264"/>
      <w:bookmarkStart w:id="12" w:name="_Toc153359311"/>
      <w:r w:rsidRPr="008D4E44">
        <w:rPr>
          <w:rFonts w:ascii="Times New Roman" w:hAnsi="Times New Roman" w:cs="Times New Roman"/>
          <w:b/>
          <w:bCs/>
          <w:sz w:val="24"/>
          <w:szCs w:val="24"/>
        </w:rPr>
        <w:t>(</w:t>
      </w:r>
      <w:r w:rsidR="006179DD">
        <w:rPr>
          <w:rFonts w:ascii="Times New Roman" w:hAnsi="Times New Roman" w:cs="Times New Roman"/>
          <w:b/>
          <w:bCs/>
          <w:sz w:val="24"/>
          <w:szCs w:val="24"/>
        </w:rPr>
        <w:t>5</w:t>
      </w:r>
      <w:r w:rsidRPr="008D4E44">
        <w:rPr>
          <w:rFonts w:ascii="Times New Roman" w:hAnsi="Times New Roman" w:cs="Times New Roman"/>
          <w:b/>
          <w:bCs/>
          <w:sz w:val="24"/>
          <w:szCs w:val="24"/>
        </w:rPr>
        <w:t>) Reasonable Alternatives to the Proposed Transfer</w:t>
      </w:r>
      <w:bookmarkEnd w:id="10"/>
      <w:bookmarkEnd w:id="11"/>
      <w:bookmarkEnd w:id="12"/>
    </w:p>
    <w:p w14:paraId="5E035D2C" w14:textId="77777777" w:rsidR="00D945EA" w:rsidRPr="00D945EA" w:rsidRDefault="00D945EA" w:rsidP="00D945EA">
      <w:pPr>
        <w:spacing w:after="0" w:line="240" w:lineRule="auto"/>
        <w:contextualSpacing/>
        <w:rPr>
          <w:rFonts w:ascii="Times New Roman" w:hAnsi="Times New Roman" w:cs="Times New Roman"/>
          <w:sz w:val="24"/>
          <w:szCs w:val="24"/>
        </w:rPr>
      </w:pPr>
      <w:r w:rsidRPr="00D945EA">
        <w:rPr>
          <w:rFonts w:ascii="Times New Roman" w:hAnsi="Times New Roman" w:cs="Times New Roman"/>
          <w:sz w:val="24"/>
          <w:szCs w:val="24"/>
        </w:rPr>
        <w:t>Several alternatives to the proposed project were defined and evaluated for their ability to meet the Towns’ water supply needs through 2045</w:t>
      </w:r>
      <w:r w:rsidR="005615C5">
        <w:rPr>
          <w:rFonts w:ascii="Times New Roman" w:hAnsi="Times New Roman" w:cs="Times New Roman"/>
          <w:sz w:val="24"/>
          <w:szCs w:val="24"/>
        </w:rPr>
        <w:t>, as described in Section 4.1 of the EA document</w:t>
      </w:r>
      <w:r w:rsidRPr="00D945EA">
        <w:rPr>
          <w:rFonts w:ascii="Times New Roman" w:hAnsi="Times New Roman" w:cs="Times New Roman"/>
          <w:sz w:val="24"/>
          <w:szCs w:val="24"/>
        </w:rPr>
        <w:t xml:space="preserve">. </w:t>
      </w:r>
      <w:r w:rsidRPr="00D945EA">
        <w:rPr>
          <w:rFonts w:ascii="Times New Roman" w:hAnsi="Times New Roman" w:cs="Times New Roman"/>
          <w:sz w:val="24"/>
          <w:szCs w:val="24"/>
        </w:rPr>
        <w:lastRenderedPageBreak/>
        <w:t>The following three categories of alternatives, with a total of eight water supply alternatives, were evaluated</w:t>
      </w:r>
      <w:r>
        <w:rPr>
          <w:rFonts w:ascii="Times New Roman" w:hAnsi="Times New Roman" w:cs="Times New Roman"/>
          <w:sz w:val="24"/>
          <w:szCs w:val="24"/>
        </w:rPr>
        <w:t xml:space="preserve"> and summarized below</w:t>
      </w:r>
      <w:r w:rsidRPr="00D945EA">
        <w:rPr>
          <w:rFonts w:ascii="Times New Roman" w:hAnsi="Times New Roman" w:cs="Times New Roman"/>
          <w:sz w:val="24"/>
          <w:szCs w:val="24"/>
        </w:rPr>
        <w:t>:</w:t>
      </w:r>
    </w:p>
    <w:p w14:paraId="421A37D4" w14:textId="77777777" w:rsidR="00D945EA" w:rsidRPr="00D945EA" w:rsidRDefault="00D945EA" w:rsidP="00D945EA">
      <w:pPr>
        <w:spacing w:after="0" w:line="240" w:lineRule="auto"/>
        <w:contextualSpacing/>
        <w:rPr>
          <w:rFonts w:ascii="Times New Roman" w:hAnsi="Times New Roman" w:cs="Times New Roman"/>
          <w:sz w:val="24"/>
          <w:szCs w:val="24"/>
        </w:rPr>
      </w:pPr>
    </w:p>
    <w:p w14:paraId="02DC8780" w14:textId="77777777" w:rsidR="00D945EA" w:rsidRDefault="00D945EA" w:rsidP="00D945EA">
      <w:pPr>
        <w:spacing w:after="0" w:line="240" w:lineRule="auto"/>
        <w:contextualSpacing/>
        <w:rPr>
          <w:rFonts w:ascii="Times New Roman" w:hAnsi="Times New Roman" w:cs="Times New Roman"/>
          <w:sz w:val="24"/>
          <w:szCs w:val="24"/>
        </w:rPr>
      </w:pPr>
      <w:r w:rsidRPr="00D945EA">
        <w:rPr>
          <w:rFonts w:ascii="Times New Roman" w:hAnsi="Times New Roman" w:cs="Times New Roman"/>
          <w:sz w:val="24"/>
          <w:szCs w:val="24"/>
        </w:rPr>
        <w:t xml:space="preserve">1.   No action (Updated 2001 IBT Certificate; 22 </w:t>
      </w:r>
      <w:r w:rsidR="009F1A7C">
        <w:rPr>
          <w:rFonts w:ascii="Times New Roman" w:hAnsi="Times New Roman" w:cs="Times New Roman"/>
          <w:sz w:val="24"/>
          <w:szCs w:val="24"/>
        </w:rPr>
        <w:t>MGD</w:t>
      </w:r>
      <w:r w:rsidRPr="00D945EA">
        <w:rPr>
          <w:rFonts w:ascii="Times New Roman" w:hAnsi="Times New Roman" w:cs="Times New Roman"/>
          <w:sz w:val="24"/>
          <w:szCs w:val="24"/>
        </w:rPr>
        <w:t xml:space="preserve"> total IBT)</w:t>
      </w:r>
      <w:r w:rsidR="00CD5D5E">
        <w:rPr>
          <w:rFonts w:ascii="Times New Roman" w:hAnsi="Times New Roman" w:cs="Times New Roman"/>
          <w:sz w:val="24"/>
          <w:szCs w:val="24"/>
        </w:rPr>
        <w:t>:</w:t>
      </w:r>
    </w:p>
    <w:p w14:paraId="6146F7EA" w14:textId="77777777" w:rsidR="00CD5D5E" w:rsidRDefault="00CD5D5E" w:rsidP="00D945EA">
      <w:pPr>
        <w:spacing w:after="0" w:line="240" w:lineRule="auto"/>
        <w:contextualSpacing/>
        <w:rPr>
          <w:rFonts w:ascii="Times New Roman" w:hAnsi="Times New Roman" w:cs="Times New Roman"/>
          <w:sz w:val="24"/>
          <w:szCs w:val="24"/>
        </w:rPr>
      </w:pPr>
    </w:p>
    <w:p w14:paraId="7AA1B19C" w14:textId="77777777" w:rsidR="005615C5" w:rsidRPr="003171D4" w:rsidRDefault="00CD5D5E" w:rsidP="00CD5D5E">
      <w:pPr>
        <w:pStyle w:val="ListParagraph"/>
        <w:numPr>
          <w:ilvl w:val="0"/>
          <w:numId w:val="10"/>
        </w:numPr>
        <w:spacing w:after="0" w:line="240" w:lineRule="auto"/>
        <w:rPr>
          <w:rFonts w:ascii="Times New Roman" w:hAnsi="Times New Roman" w:cs="Times New Roman"/>
          <w:sz w:val="24"/>
          <w:szCs w:val="24"/>
          <w:u w:val="single"/>
        </w:rPr>
      </w:pPr>
      <w:r w:rsidRPr="003171D4">
        <w:rPr>
          <w:rFonts w:ascii="Times New Roman" w:hAnsi="Times New Roman" w:cs="Times New Roman"/>
          <w:b/>
          <w:sz w:val="24"/>
          <w:szCs w:val="24"/>
          <w:u w:val="single"/>
        </w:rPr>
        <w:t>Alternative 1</w:t>
      </w:r>
      <w:r w:rsidRPr="003171D4">
        <w:rPr>
          <w:rFonts w:ascii="Times New Roman" w:hAnsi="Times New Roman" w:cs="Times New Roman"/>
          <w:sz w:val="24"/>
          <w:szCs w:val="24"/>
          <w:u w:val="single"/>
        </w:rPr>
        <w:t xml:space="preserve"> - </w:t>
      </w:r>
      <w:r w:rsidR="005615C5" w:rsidRPr="003171D4">
        <w:rPr>
          <w:rFonts w:ascii="Times New Roman" w:hAnsi="Times New Roman" w:cs="Times New Roman"/>
          <w:sz w:val="24"/>
          <w:szCs w:val="24"/>
          <w:u w:val="single"/>
        </w:rPr>
        <w:t>No action</w:t>
      </w:r>
    </w:p>
    <w:p w14:paraId="2827AA34" w14:textId="77777777" w:rsidR="00D945EA" w:rsidRPr="003171D4" w:rsidRDefault="00D945EA" w:rsidP="00460065">
      <w:pPr>
        <w:spacing w:after="0" w:line="240" w:lineRule="auto"/>
        <w:ind w:left="720"/>
        <w:rPr>
          <w:rFonts w:ascii="Times New Roman" w:hAnsi="Times New Roman" w:cs="Times New Roman"/>
          <w:sz w:val="24"/>
          <w:szCs w:val="24"/>
        </w:rPr>
      </w:pPr>
      <w:r w:rsidRPr="003171D4">
        <w:rPr>
          <w:rFonts w:ascii="Times New Roman" w:hAnsi="Times New Roman" w:cs="Times New Roman"/>
          <w:sz w:val="24"/>
          <w:szCs w:val="24"/>
        </w:rPr>
        <w:t xml:space="preserve">Under Alternative 1, no actions designed to meet projected demands through 2045 would be undertaken; the Towns would receive an Updated 2001 IBT Certificate limiting transfers from the Haw River basin to 22 </w:t>
      </w:r>
      <w:r w:rsidR="009F1A7C" w:rsidRPr="003171D4">
        <w:rPr>
          <w:rFonts w:ascii="Times New Roman" w:hAnsi="Times New Roman" w:cs="Times New Roman"/>
          <w:sz w:val="24"/>
          <w:szCs w:val="24"/>
        </w:rPr>
        <w:t>MGD</w:t>
      </w:r>
      <w:r w:rsidR="006309ED" w:rsidRPr="006309ED">
        <w:rPr>
          <w:rFonts w:ascii="Times New Roman" w:hAnsi="Times New Roman" w:cs="Times New Roman"/>
          <w:sz w:val="24"/>
          <w:szCs w:val="24"/>
        </w:rPr>
        <w:t>, reflecting the recent statutory change to a maximum month average day measurement</w:t>
      </w:r>
      <w:r w:rsidRPr="003171D4">
        <w:rPr>
          <w:rFonts w:ascii="Times New Roman" w:hAnsi="Times New Roman" w:cs="Times New Roman"/>
          <w:sz w:val="24"/>
          <w:szCs w:val="24"/>
        </w:rPr>
        <w:t xml:space="preserve">. The Towns would limit future development and utility services so that no additional water would be transferred to the Neuse River basin above 20 </w:t>
      </w:r>
      <w:r w:rsidR="009F1A7C" w:rsidRPr="003171D4">
        <w:rPr>
          <w:rFonts w:ascii="Times New Roman" w:hAnsi="Times New Roman" w:cs="Times New Roman"/>
          <w:sz w:val="24"/>
          <w:szCs w:val="24"/>
        </w:rPr>
        <w:t>MGD</w:t>
      </w:r>
      <w:r w:rsidRPr="003171D4">
        <w:rPr>
          <w:rFonts w:ascii="Times New Roman" w:hAnsi="Times New Roman" w:cs="Times New Roman"/>
          <w:sz w:val="24"/>
          <w:szCs w:val="24"/>
        </w:rPr>
        <w:t xml:space="preserve">, essentially stopping all development and any increase in water use after 2016. Additional transfer to the Cape Fear River basin would remain less than 2 </w:t>
      </w:r>
      <w:r w:rsidR="009F1A7C" w:rsidRPr="003171D4">
        <w:rPr>
          <w:rFonts w:ascii="Times New Roman" w:hAnsi="Times New Roman" w:cs="Times New Roman"/>
          <w:sz w:val="24"/>
          <w:szCs w:val="24"/>
        </w:rPr>
        <w:t>MGD</w:t>
      </w:r>
      <w:r w:rsidRPr="003171D4">
        <w:rPr>
          <w:rFonts w:ascii="Times New Roman" w:hAnsi="Times New Roman" w:cs="Times New Roman"/>
          <w:sz w:val="24"/>
          <w:szCs w:val="24"/>
        </w:rPr>
        <w:t>.</w:t>
      </w:r>
      <w:r w:rsidR="0067307C" w:rsidRPr="003171D4">
        <w:rPr>
          <w:rFonts w:ascii="Times New Roman" w:hAnsi="Times New Roman" w:cs="Times New Roman"/>
          <w:sz w:val="24"/>
          <w:szCs w:val="24"/>
        </w:rPr>
        <w:t xml:space="preserve">  </w:t>
      </w:r>
      <w:r w:rsidRPr="003171D4">
        <w:rPr>
          <w:rFonts w:ascii="Times New Roman" w:hAnsi="Times New Roman" w:cs="Times New Roman"/>
          <w:sz w:val="24"/>
          <w:szCs w:val="24"/>
        </w:rPr>
        <w:t xml:space="preserve">This alternative is not considered feasible because the </w:t>
      </w:r>
      <w:r w:rsidR="00197C96" w:rsidRPr="003171D4">
        <w:rPr>
          <w:rFonts w:ascii="Times New Roman" w:hAnsi="Times New Roman" w:cs="Times New Roman"/>
          <w:sz w:val="24"/>
          <w:szCs w:val="24"/>
        </w:rPr>
        <w:t>applicant</w:t>
      </w:r>
      <w:r w:rsidRPr="003171D4">
        <w:rPr>
          <w:rFonts w:ascii="Times New Roman" w:hAnsi="Times New Roman" w:cs="Times New Roman"/>
          <w:sz w:val="24"/>
          <w:szCs w:val="24"/>
        </w:rPr>
        <w:t xml:space="preserve"> would be unable to meet </w:t>
      </w:r>
      <w:r w:rsidR="005615C5" w:rsidRPr="003171D4">
        <w:rPr>
          <w:rFonts w:ascii="Times New Roman" w:hAnsi="Times New Roman" w:cs="Times New Roman"/>
          <w:sz w:val="24"/>
          <w:szCs w:val="24"/>
        </w:rPr>
        <w:t xml:space="preserve">projected </w:t>
      </w:r>
      <w:r w:rsidRPr="003171D4">
        <w:rPr>
          <w:rFonts w:ascii="Times New Roman" w:hAnsi="Times New Roman" w:cs="Times New Roman"/>
          <w:sz w:val="24"/>
          <w:szCs w:val="24"/>
        </w:rPr>
        <w:t>water</w:t>
      </w:r>
      <w:r w:rsidR="005615C5" w:rsidRPr="003171D4">
        <w:rPr>
          <w:rFonts w:ascii="Times New Roman" w:hAnsi="Times New Roman" w:cs="Times New Roman"/>
          <w:sz w:val="24"/>
          <w:szCs w:val="24"/>
        </w:rPr>
        <w:t xml:space="preserve"> supply</w:t>
      </w:r>
      <w:r w:rsidRPr="003171D4">
        <w:rPr>
          <w:rFonts w:ascii="Times New Roman" w:hAnsi="Times New Roman" w:cs="Times New Roman"/>
          <w:sz w:val="24"/>
          <w:szCs w:val="24"/>
        </w:rPr>
        <w:t xml:space="preserve"> needs of their customers</w:t>
      </w:r>
      <w:r w:rsidR="005615C5" w:rsidRPr="003171D4">
        <w:rPr>
          <w:rFonts w:ascii="Times New Roman" w:hAnsi="Times New Roman" w:cs="Times New Roman"/>
          <w:sz w:val="24"/>
          <w:szCs w:val="24"/>
        </w:rPr>
        <w:t xml:space="preserve"> in the Neuse River basin</w:t>
      </w:r>
      <w:r w:rsidRPr="003171D4">
        <w:rPr>
          <w:rFonts w:ascii="Times New Roman" w:hAnsi="Times New Roman" w:cs="Times New Roman"/>
          <w:sz w:val="24"/>
          <w:szCs w:val="24"/>
        </w:rPr>
        <w:t xml:space="preserve">.  </w:t>
      </w:r>
    </w:p>
    <w:p w14:paraId="14B96289" w14:textId="77777777" w:rsidR="00460065" w:rsidRDefault="00460065">
      <w:pPr>
        <w:rPr>
          <w:rFonts w:ascii="Times New Roman" w:hAnsi="Times New Roman" w:cs="Times New Roman"/>
          <w:b/>
          <w:sz w:val="24"/>
          <w:szCs w:val="24"/>
        </w:rPr>
      </w:pPr>
    </w:p>
    <w:p w14:paraId="2705ECD9" w14:textId="77777777" w:rsidR="00D945EA" w:rsidRPr="00D945EA" w:rsidRDefault="00460065" w:rsidP="00D945E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D945EA" w:rsidRPr="00D945EA">
        <w:rPr>
          <w:rFonts w:ascii="Times New Roman" w:hAnsi="Times New Roman" w:cs="Times New Roman"/>
          <w:sz w:val="24"/>
          <w:szCs w:val="24"/>
        </w:rPr>
        <w:t>.   Increase IBT:</w:t>
      </w:r>
    </w:p>
    <w:p w14:paraId="295C1AD3" w14:textId="77777777" w:rsidR="00D945EA" w:rsidRPr="00D945EA" w:rsidRDefault="00D945EA" w:rsidP="00D945EA">
      <w:pPr>
        <w:spacing w:after="0" w:line="240" w:lineRule="auto"/>
        <w:contextualSpacing/>
        <w:rPr>
          <w:rFonts w:ascii="Times New Roman" w:hAnsi="Times New Roman" w:cs="Times New Roman"/>
          <w:sz w:val="24"/>
          <w:szCs w:val="24"/>
        </w:rPr>
      </w:pPr>
    </w:p>
    <w:p w14:paraId="4D7DC9E6" w14:textId="77777777" w:rsidR="00D945EA" w:rsidRDefault="0067307C" w:rsidP="00D945EA">
      <w:pPr>
        <w:pStyle w:val="ListParagraph"/>
        <w:numPr>
          <w:ilvl w:val="0"/>
          <w:numId w:val="8"/>
        </w:numPr>
        <w:spacing w:after="0" w:line="240" w:lineRule="auto"/>
        <w:rPr>
          <w:rFonts w:ascii="Times New Roman" w:hAnsi="Times New Roman" w:cs="Times New Roman"/>
          <w:sz w:val="24"/>
          <w:szCs w:val="24"/>
        </w:rPr>
      </w:pPr>
      <w:r w:rsidRPr="003171D4">
        <w:rPr>
          <w:rFonts w:ascii="Times New Roman" w:hAnsi="Times New Roman" w:cs="Times New Roman"/>
          <w:b/>
          <w:sz w:val="24"/>
          <w:szCs w:val="24"/>
          <w:u w:val="single"/>
        </w:rPr>
        <w:t xml:space="preserve">Alternative </w:t>
      </w:r>
      <w:r w:rsidR="00D945EA" w:rsidRPr="003171D4">
        <w:rPr>
          <w:rFonts w:ascii="Times New Roman" w:hAnsi="Times New Roman" w:cs="Times New Roman"/>
          <w:b/>
          <w:sz w:val="24"/>
          <w:szCs w:val="24"/>
          <w:u w:val="single"/>
        </w:rPr>
        <w:t>2a</w:t>
      </w:r>
      <w:r w:rsidR="00D945EA" w:rsidRPr="003171D4">
        <w:rPr>
          <w:rFonts w:ascii="Times New Roman" w:hAnsi="Times New Roman" w:cs="Times New Roman"/>
          <w:sz w:val="24"/>
          <w:szCs w:val="24"/>
          <w:u w:val="single"/>
        </w:rPr>
        <w:t xml:space="preserve"> – Increase in IBT to meet 2045 demands (</w:t>
      </w:r>
      <w:r w:rsidR="00D945EA" w:rsidRPr="003171D4">
        <w:rPr>
          <w:rFonts w:ascii="Times New Roman" w:hAnsi="Times New Roman" w:cs="Times New Roman"/>
          <w:b/>
          <w:sz w:val="24"/>
          <w:szCs w:val="24"/>
          <w:u w:val="single"/>
        </w:rPr>
        <w:t>Proposed IBT Certificate Modification</w:t>
      </w:r>
      <w:r w:rsidR="00D945EA" w:rsidRPr="003171D4">
        <w:rPr>
          <w:rFonts w:ascii="Times New Roman" w:hAnsi="Times New Roman" w:cs="Times New Roman"/>
          <w:sz w:val="24"/>
          <w:szCs w:val="24"/>
          <w:u w:val="single"/>
        </w:rPr>
        <w:t xml:space="preserve">; 33 </w:t>
      </w:r>
      <w:r w:rsidR="009F1A7C" w:rsidRPr="003171D4">
        <w:rPr>
          <w:rFonts w:ascii="Times New Roman" w:hAnsi="Times New Roman" w:cs="Times New Roman"/>
          <w:sz w:val="24"/>
          <w:szCs w:val="24"/>
          <w:u w:val="single"/>
        </w:rPr>
        <w:t>MGD</w:t>
      </w:r>
      <w:r w:rsidR="00D945EA" w:rsidRPr="003171D4">
        <w:rPr>
          <w:rFonts w:ascii="Times New Roman" w:hAnsi="Times New Roman" w:cs="Times New Roman"/>
          <w:sz w:val="24"/>
          <w:szCs w:val="24"/>
          <w:u w:val="single"/>
        </w:rPr>
        <w:t xml:space="preserve"> total IBT</w:t>
      </w:r>
      <w:r w:rsidR="00D945EA" w:rsidRPr="00D945EA">
        <w:rPr>
          <w:rFonts w:ascii="Times New Roman" w:hAnsi="Times New Roman" w:cs="Times New Roman"/>
          <w:sz w:val="24"/>
          <w:szCs w:val="24"/>
        </w:rPr>
        <w:t>)</w:t>
      </w:r>
    </w:p>
    <w:p w14:paraId="6DB74DB3" w14:textId="77777777" w:rsidR="00CD5D5E" w:rsidRPr="00CD5D5E" w:rsidRDefault="00CD5D5E" w:rsidP="00CD5D5E">
      <w:pPr>
        <w:pStyle w:val="ListParagraph"/>
        <w:spacing w:after="0" w:line="240" w:lineRule="auto"/>
        <w:rPr>
          <w:rFonts w:ascii="Times New Roman" w:hAnsi="Times New Roman" w:cs="Times New Roman"/>
          <w:sz w:val="24"/>
          <w:szCs w:val="24"/>
        </w:rPr>
      </w:pPr>
      <w:r w:rsidRPr="00CD5D5E">
        <w:rPr>
          <w:rFonts w:ascii="Times New Roman" w:hAnsi="Times New Roman" w:cs="Times New Roman"/>
          <w:sz w:val="24"/>
          <w:szCs w:val="24"/>
        </w:rPr>
        <w:t>Under Alternative 2a, the Towns would increase their Jordan Lake withdrawal consistent with future water</w:t>
      </w:r>
      <w:r>
        <w:rPr>
          <w:rFonts w:ascii="Times New Roman" w:hAnsi="Times New Roman" w:cs="Times New Roman"/>
          <w:sz w:val="24"/>
          <w:szCs w:val="24"/>
        </w:rPr>
        <w:t xml:space="preserve"> </w:t>
      </w:r>
      <w:r w:rsidRPr="00CD5D5E">
        <w:rPr>
          <w:rFonts w:ascii="Times New Roman" w:hAnsi="Times New Roman" w:cs="Times New Roman"/>
          <w:sz w:val="24"/>
          <w:szCs w:val="24"/>
        </w:rPr>
        <w:t>demand projections for 2045 (pending the separate Round 4 allocation process) and update the IBT certificate to address IBT through the 30-year planning period ending in 2045 (the previous IBT certificate was based on a 30-year planning period ending in 2030).</w:t>
      </w:r>
    </w:p>
    <w:p w14:paraId="2C2CC15E" w14:textId="77777777" w:rsidR="00CD5D5E" w:rsidRPr="00CD5D5E" w:rsidRDefault="00CD5D5E" w:rsidP="00CD5D5E">
      <w:pPr>
        <w:pStyle w:val="ListParagraph"/>
        <w:spacing w:after="0" w:line="240" w:lineRule="auto"/>
        <w:rPr>
          <w:rFonts w:ascii="Times New Roman" w:hAnsi="Times New Roman" w:cs="Times New Roman"/>
          <w:sz w:val="24"/>
          <w:szCs w:val="24"/>
        </w:rPr>
      </w:pPr>
    </w:p>
    <w:p w14:paraId="4C02F802" w14:textId="77777777" w:rsidR="00CD5D5E" w:rsidRDefault="00CD5D5E" w:rsidP="00CD5D5E">
      <w:pPr>
        <w:pStyle w:val="ListParagraph"/>
        <w:spacing w:after="0" w:line="240" w:lineRule="auto"/>
        <w:rPr>
          <w:rFonts w:ascii="Times New Roman" w:hAnsi="Times New Roman" w:cs="Times New Roman"/>
          <w:sz w:val="24"/>
          <w:szCs w:val="24"/>
        </w:rPr>
      </w:pPr>
      <w:r w:rsidRPr="00CD5D5E">
        <w:rPr>
          <w:rFonts w:ascii="Times New Roman" w:hAnsi="Times New Roman" w:cs="Times New Roman"/>
          <w:sz w:val="24"/>
          <w:szCs w:val="24"/>
        </w:rPr>
        <w:t xml:space="preserve">Alternative 2a would meet the demands through 2045 by transferring up to 33 </w:t>
      </w:r>
      <w:r w:rsidR="009F1A7C">
        <w:rPr>
          <w:rFonts w:ascii="Times New Roman" w:hAnsi="Times New Roman" w:cs="Times New Roman"/>
          <w:sz w:val="24"/>
          <w:szCs w:val="24"/>
        </w:rPr>
        <w:t>MGD</w:t>
      </w:r>
      <w:r w:rsidRPr="00CD5D5E">
        <w:rPr>
          <w:rFonts w:ascii="Times New Roman" w:hAnsi="Times New Roman" w:cs="Times New Roman"/>
          <w:sz w:val="24"/>
          <w:szCs w:val="24"/>
        </w:rPr>
        <w:t xml:space="preserve"> from the Haw River basin (Jordan Lake); expanding the C</w:t>
      </w:r>
      <w:r>
        <w:rPr>
          <w:rFonts w:ascii="Times New Roman" w:hAnsi="Times New Roman" w:cs="Times New Roman"/>
          <w:sz w:val="24"/>
          <w:szCs w:val="24"/>
        </w:rPr>
        <w:t>ary/</w:t>
      </w:r>
      <w:r w:rsidRPr="00CD5D5E">
        <w:rPr>
          <w:rFonts w:ascii="Times New Roman" w:hAnsi="Times New Roman" w:cs="Times New Roman"/>
          <w:sz w:val="24"/>
          <w:szCs w:val="24"/>
        </w:rPr>
        <w:t>A</w:t>
      </w:r>
      <w:r>
        <w:rPr>
          <w:rFonts w:ascii="Times New Roman" w:hAnsi="Times New Roman" w:cs="Times New Roman"/>
          <w:sz w:val="24"/>
          <w:szCs w:val="24"/>
        </w:rPr>
        <w:t xml:space="preserve">pex </w:t>
      </w:r>
      <w:r w:rsidRPr="00CD5D5E">
        <w:rPr>
          <w:rFonts w:ascii="Times New Roman" w:hAnsi="Times New Roman" w:cs="Times New Roman"/>
          <w:sz w:val="24"/>
          <w:szCs w:val="24"/>
        </w:rPr>
        <w:t>W</w:t>
      </w:r>
      <w:r>
        <w:rPr>
          <w:rFonts w:ascii="Times New Roman" w:hAnsi="Times New Roman" w:cs="Times New Roman"/>
          <w:sz w:val="24"/>
          <w:szCs w:val="24"/>
        </w:rPr>
        <w:t xml:space="preserve">ater </w:t>
      </w:r>
      <w:r w:rsidRPr="00CD5D5E">
        <w:rPr>
          <w:rFonts w:ascii="Times New Roman" w:hAnsi="Times New Roman" w:cs="Times New Roman"/>
          <w:sz w:val="24"/>
          <w:szCs w:val="24"/>
        </w:rPr>
        <w:t>T</w:t>
      </w:r>
      <w:r>
        <w:rPr>
          <w:rFonts w:ascii="Times New Roman" w:hAnsi="Times New Roman" w:cs="Times New Roman"/>
          <w:sz w:val="24"/>
          <w:szCs w:val="24"/>
        </w:rPr>
        <w:t xml:space="preserve">reatment </w:t>
      </w:r>
      <w:r w:rsidRPr="00CD5D5E">
        <w:rPr>
          <w:rFonts w:ascii="Times New Roman" w:hAnsi="Times New Roman" w:cs="Times New Roman"/>
          <w:sz w:val="24"/>
          <w:szCs w:val="24"/>
        </w:rPr>
        <w:t>F</w:t>
      </w:r>
      <w:r>
        <w:rPr>
          <w:rFonts w:ascii="Times New Roman" w:hAnsi="Times New Roman" w:cs="Times New Roman"/>
          <w:sz w:val="24"/>
          <w:szCs w:val="24"/>
        </w:rPr>
        <w:t>acility</w:t>
      </w:r>
      <w:r w:rsidR="00783EC1">
        <w:rPr>
          <w:rFonts w:ascii="Times New Roman" w:hAnsi="Times New Roman" w:cs="Times New Roman"/>
          <w:sz w:val="24"/>
          <w:szCs w:val="24"/>
        </w:rPr>
        <w:t xml:space="preserve"> (CAWTF)</w:t>
      </w:r>
      <w:r w:rsidRPr="00CD5D5E">
        <w:rPr>
          <w:rFonts w:ascii="Times New Roman" w:hAnsi="Times New Roman" w:cs="Times New Roman"/>
          <w:sz w:val="24"/>
          <w:szCs w:val="24"/>
        </w:rPr>
        <w:t xml:space="preserve"> to 72 </w:t>
      </w:r>
      <w:r w:rsidR="009F1A7C">
        <w:rPr>
          <w:rFonts w:ascii="Times New Roman" w:hAnsi="Times New Roman" w:cs="Times New Roman"/>
          <w:sz w:val="24"/>
          <w:szCs w:val="24"/>
        </w:rPr>
        <w:t>MGD</w:t>
      </w:r>
      <w:r w:rsidRPr="00CD5D5E">
        <w:rPr>
          <w:rFonts w:ascii="Times New Roman" w:hAnsi="Times New Roman" w:cs="Times New Roman"/>
          <w:sz w:val="24"/>
          <w:szCs w:val="24"/>
        </w:rPr>
        <w:t>; using existing wastewater treatment facilities; and continuing water resources management measures to minimize IBT. The Towns intend to continue to use their existing W</w:t>
      </w:r>
      <w:r>
        <w:rPr>
          <w:rFonts w:ascii="Times New Roman" w:hAnsi="Times New Roman" w:cs="Times New Roman"/>
          <w:sz w:val="24"/>
          <w:szCs w:val="24"/>
        </w:rPr>
        <w:t xml:space="preserve">ater </w:t>
      </w:r>
      <w:r w:rsidRPr="00CD5D5E">
        <w:rPr>
          <w:rFonts w:ascii="Times New Roman" w:hAnsi="Times New Roman" w:cs="Times New Roman"/>
          <w:sz w:val="24"/>
          <w:szCs w:val="24"/>
        </w:rPr>
        <w:t>R</w:t>
      </w:r>
      <w:r>
        <w:rPr>
          <w:rFonts w:ascii="Times New Roman" w:hAnsi="Times New Roman" w:cs="Times New Roman"/>
          <w:sz w:val="24"/>
          <w:szCs w:val="24"/>
        </w:rPr>
        <w:t xml:space="preserve">eclamation </w:t>
      </w:r>
      <w:r w:rsidRPr="00CD5D5E">
        <w:rPr>
          <w:rFonts w:ascii="Times New Roman" w:hAnsi="Times New Roman" w:cs="Times New Roman"/>
          <w:sz w:val="24"/>
          <w:szCs w:val="24"/>
        </w:rPr>
        <w:t>F</w:t>
      </w:r>
      <w:r>
        <w:rPr>
          <w:rFonts w:ascii="Times New Roman" w:hAnsi="Times New Roman" w:cs="Times New Roman"/>
          <w:sz w:val="24"/>
          <w:szCs w:val="24"/>
        </w:rPr>
        <w:t>acilitie</w:t>
      </w:r>
      <w:r w:rsidRPr="00CD5D5E">
        <w:rPr>
          <w:rFonts w:ascii="Times New Roman" w:hAnsi="Times New Roman" w:cs="Times New Roman"/>
          <w:sz w:val="24"/>
          <w:szCs w:val="24"/>
        </w:rPr>
        <w:t>s (North Cary, South Cary, Apex, and W</w:t>
      </w:r>
      <w:r>
        <w:rPr>
          <w:rFonts w:ascii="Times New Roman" w:hAnsi="Times New Roman" w:cs="Times New Roman"/>
          <w:sz w:val="24"/>
          <w:szCs w:val="24"/>
        </w:rPr>
        <w:t xml:space="preserve">estern </w:t>
      </w:r>
      <w:r w:rsidRPr="00CD5D5E">
        <w:rPr>
          <w:rFonts w:ascii="Times New Roman" w:hAnsi="Times New Roman" w:cs="Times New Roman"/>
          <w:sz w:val="24"/>
          <w:szCs w:val="24"/>
        </w:rPr>
        <w:t>W</w:t>
      </w:r>
      <w:r>
        <w:rPr>
          <w:rFonts w:ascii="Times New Roman" w:hAnsi="Times New Roman" w:cs="Times New Roman"/>
          <w:sz w:val="24"/>
          <w:szCs w:val="24"/>
        </w:rPr>
        <w:t xml:space="preserve">ake </w:t>
      </w:r>
      <w:r w:rsidRPr="00CD5D5E">
        <w:rPr>
          <w:rFonts w:ascii="Times New Roman" w:hAnsi="Times New Roman" w:cs="Times New Roman"/>
          <w:sz w:val="24"/>
          <w:szCs w:val="24"/>
        </w:rPr>
        <w:t>R</w:t>
      </w:r>
      <w:r>
        <w:rPr>
          <w:rFonts w:ascii="Times New Roman" w:hAnsi="Times New Roman" w:cs="Times New Roman"/>
          <w:sz w:val="24"/>
          <w:szCs w:val="24"/>
        </w:rPr>
        <w:t xml:space="preserve">egional </w:t>
      </w:r>
      <w:r w:rsidRPr="00CD5D5E">
        <w:rPr>
          <w:rFonts w:ascii="Times New Roman" w:hAnsi="Times New Roman" w:cs="Times New Roman"/>
          <w:sz w:val="24"/>
          <w:szCs w:val="24"/>
        </w:rPr>
        <w:t>W</w:t>
      </w:r>
      <w:r>
        <w:rPr>
          <w:rFonts w:ascii="Times New Roman" w:hAnsi="Times New Roman" w:cs="Times New Roman"/>
          <w:sz w:val="24"/>
          <w:szCs w:val="24"/>
        </w:rPr>
        <w:t xml:space="preserve">ater </w:t>
      </w:r>
      <w:r w:rsidRPr="00CD5D5E">
        <w:rPr>
          <w:rFonts w:ascii="Times New Roman" w:hAnsi="Times New Roman" w:cs="Times New Roman"/>
          <w:sz w:val="24"/>
          <w:szCs w:val="24"/>
        </w:rPr>
        <w:t>R</w:t>
      </w:r>
      <w:r>
        <w:rPr>
          <w:rFonts w:ascii="Times New Roman" w:hAnsi="Times New Roman" w:cs="Times New Roman"/>
          <w:sz w:val="24"/>
          <w:szCs w:val="24"/>
        </w:rPr>
        <w:t xml:space="preserve">eclamation </w:t>
      </w:r>
      <w:r w:rsidRPr="00CD5D5E">
        <w:rPr>
          <w:rFonts w:ascii="Times New Roman" w:hAnsi="Times New Roman" w:cs="Times New Roman"/>
          <w:sz w:val="24"/>
          <w:szCs w:val="24"/>
        </w:rPr>
        <w:t>F</w:t>
      </w:r>
      <w:r>
        <w:rPr>
          <w:rFonts w:ascii="Times New Roman" w:hAnsi="Times New Roman" w:cs="Times New Roman"/>
          <w:sz w:val="24"/>
          <w:szCs w:val="24"/>
        </w:rPr>
        <w:t>acility (WWRWRF)</w:t>
      </w:r>
      <w:r w:rsidRPr="00CD5D5E">
        <w:rPr>
          <w:rFonts w:ascii="Times New Roman" w:hAnsi="Times New Roman" w:cs="Times New Roman"/>
          <w:sz w:val="24"/>
          <w:szCs w:val="24"/>
        </w:rPr>
        <w:t>) to treat wastewater. The WWRWRF discharge returns treated wastewater effluent to the Cape Fear River basin</w:t>
      </w:r>
      <w:r w:rsidR="005615C5">
        <w:rPr>
          <w:rFonts w:ascii="Times New Roman" w:hAnsi="Times New Roman" w:cs="Times New Roman"/>
          <w:sz w:val="24"/>
          <w:szCs w:val="24"/>
        </w:rPr>
        <w:t>;</w:t>
      </w:r>
      <w:r w:rsidRPr="00CD5D5E">
        <w:rPr>
          <w:rFonts w:ascii="Times New Roman" w:hAnsi="Times New Roman" w:cs="Times New Roman"/>
          <w:sz w:val="24"/>
          <w:szCs w:val="24"/>
        </w:rPr>
        <w:t xml:space="preserve"> thereby</w:t>
      </w:r>
      <w:r w:rsidR="005615C5">
        <w:rPr>
          <w:rFonts w:ascii="Times New Roman" w:hAnsi="Times New Roman" w:cs="Times New Roman"/>
          <w:sz w:val="24"/>
          <w:szCs w:val="24"/>
        </w:rPr>
        <w:t>,</w:t>
      </w:r>
      <w:r w:rsidRPr="00CD5D5E">
        <w:rPr>
          <w:rFonts w:ascii="Times New Roman" w:hAnsi="Times New Roman" w:cs="Times New Roman"/>
          <w:sz w:val="24"/>
          <w:szCs w:val="24"/>
        </w:rPr>
        <w:t xml:space="preserve"> reducing IBT</w:t>
      </w:r>
      <w:r w:rsidR="005615C5">
        <w:rPr>
          <w:rFonts w:ascii="Times New Roman" w:hAnsi="Times New Roman" w:cs="Times New Roman"/>
          <w:sz w:val="24"/>
          <w:szCs w:val="24"/>
        </w:rPr>
        <w:t>s</w:t>
      </w:r>
      <w:r w:rsidRPr="00CD5D5E">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CD5D5E">
        <w:rPr>
          <w:rFonts w:ascii="Times New Roman" w:hAnsi="Times New Roman" w:cs="Times New Roman"/>
          <w:sz w:val="24"/>
          <w:szCs w:val="24"/>
        </w:rPr>
        <w:t>estimate</w:t>
      </w:r>
      <w:r>
        <w:rPr>
          <w:rFonts w:ascii="Times New Roman" w:hAnsi="Times New Roman" w:cs="Times New Roman"/>
          <w:sz w:val="24"/>
          <w:szCs w:val="24"/>
        </w:rPr>
        <w:t>d</w:t>
      </w:r>
      <w:r w:rsidRPr="00CD5D5E">
        <w:rPr>
          <w:rFonts w:ascii="Times New Roman" w:hAnsi="Times New Roman" w:cs="Times New Roman"/>
          <w:sz w:val="24"/>
          <w:szCs w:val="24"/>
        </w:rPr>
        <w:t xml:space="preserve"> that by 2045, the WWRWRF will discharge </w:t>
      </w:r>
      <w:r w:rsidR="002669FC">
        <w:rPr>
          <w:rFonts w:ascii="Times New Roman" w:hAnsi="Times New Roman" w:cs="Times New Roman"/>
          <w:sz w:val="24"/>
          <w:szCs w:val="24"/>
        </w:rPr>
        <w:t xml:space="preserve">approximately </w:t>
      </w:r>
      <w:r w:rsidRPr="00CD5D5E">
        <w:rPr>
          <w:rFonts w:ascii="Times New Roman" w:hAnsi="Times New Roman" w:cs="Times New Roman"/>
          <w:sz w:val="24"/>
          <w:szCs w:val="24"/>
        </w:rPr>
        <w:t xml:space="preserve">12 </w:t>
      </w:r>
      <w:r w:rsidR="009F1A7C">
        <w:rPr>
          <w:rFonts w:ascii="Times New Roman" w:hAnsi="Times New Roman" w:cs="Times New Roman"/>
          <w:sz w:val="24"/>
          <w:szCs w:val="24"/>
        </w:rPr>
        <w:t>MGD</w:t>
      </w:r>
      <w:r w:rsidRPr="00CD5D5E">
        <w:rPr>
          <w:rFonts w:ascii="Times New Roman" w:hAnsi="Times New Roman" w:cs="Times New Roman"/>
          <w:sz w:val="24"/>
          <w:szCs w:val="24"/>
        </w:rPr>
        <w:t xml:space="preserve"> on an annual average day basis to the Cape Fear River basin.</w:t>
      </w:r>
    </w:p>
    <w:p w14:paraId="28F13BCC" w14:textId="77777777" w:rsidR="0067307C" w:rsidRPr="00D945EA" w:rsidRDefault="0067307C" w:rsidP="0067307C">
      <w:pPr>
        <w:pStyle w:val="ListParagraph"/>
        <w:spacing w:after="0" w:line="240" w:lineRule="auto"/>
        <w:rPr>
          <w:rFonts w:ascii="Times New Roman" w:hAnsi="Times New Roman" w:cs="Times New Roman"/>
          <w:sz w:val="24"/>
          <w:szCs w:val="24"/>
        </w:rPr>
      </w:pPr>
    </w:p>
    <w:p w14:paraId="498FB722" w14:textId="77777777" w:rsidR="00D945EA" w:rsidRDefault="00266751" w:rsidP="00D945EA">
      <w:pPr>
        <w:pStyle w:val="ListParagraph"/>
        <w:numPr>
          <w:ilvl w:val="0"/>
          <w:numId w:val="8"/>
        </w:numPr>
        <w:spacing w:after="0" w:line="240" w:lineRule="auto"/>
        <w:rPr>
          <w:rFonts w:ascii="Times New Roman" w:hAnsi="Times New Roman" w:cs="Times New Roman"/>
          <w:sz w:val="24"/>
          <w:szCs w:val="24"/>
        </w:rPr>
      </w:pPr>
      <w:r w:rsidRPr="003171D4">
        <w:rPr>
          <w:rFonts w:ascii="Times New Roman" w:hAnsi="Times New Roman" w:cs="Times New Roman"/>
          <w:b/>
          <w:sz w:val="24"/>
          <w:szCs w:val="24"/>
          <w:u w:val="single"/>
        </w:rPr>
        <w:t xml:space="preserve">Alternative </w:t>
      </w:r>
      <w:r w:rsidR="00D945EA" w:rsidRPr="003171D4">
        <w:rPr>
          <w:rFonts w:ascii="Times New Roman" w:hAnsi="Times New Roman" w:cs="Times New Roman"/>
          <w:b/>
          <w:sz w:val="24"/>
          <w:szCs w:val="24"/>
          <w:u w:val="single"/>
        </w:rPr>
        <w:t>2b</w:t>
      </w:r>
      <w:r w:rsidR="00D945EA" w:rsidRPr="003171D4">
        <w:rPr>
          <w:rFonts w:ascii="Times New Roman" w:hAnsi="Times New Roman" w:cs="Times New Roman"/>
          <w:sz w:val="24"/>
          <w:szCs w:val="24"/>
          <w:u w:val="single"/>
        </w:rPr>
        <w:t xml:space="preserve"> – Increase in IBT to meet 2045 demands and use current permitted wastewater capacity (44 </w:t>
      </w:r>
      <w:r w:rsidR="009F1A7C" w:rsidRPr="003171D4">
        <w:rPr>
          <w:rFonts w:ascii="Times New Roman" w:hAnsi="Times New Roman" w:cs="Times New Roman"/>
          <w:sz w:val="24"/>
          <w:szCs w:val="24"/>
          <w:u w:val="single"/>
        </w:rPr>
        <w:t>MGD</w:t>
      </w:r>
      <w:r w:rsidR="00D945EA" w:rsidRPr="003171D4">
        <w:rPr>
          <w:rFonts w:ascii="Times New Roman" w:hAnsi="Times New Roman" w:cs="Times New Roman"/>
          <w:sz w:val="24"/>
          <w:szCs w:val="24"/>
          <w:u w:val="single"/>
        </w:rPr>
        <w:t xml:space="preserve"> total IBT</w:t>
      </w:r>
      <w:r w:rsidR="00D945EA" w:rsidRPr="00D945EA">
        <w:rPr>
          <w:rFonts w:ascii="Times New Roman" w:hAnsi="Times New Roman" w:cs="Times New Roman"/>
          <w:sz w:val="24"/>
          <w:szCs w:val="24"/>
        </w:rPr>
        <w:t>)</w:t>
      </w:r>
    </w:p>
    <w:p w14:paraId="29716BC5" w14:textId="77777777" w:rsidR="00CD5D5E" w:rsidRDefault="008642AB" w:rsidP="009C0441">
      <w:pPr>
        <w:pStyle w:val="ListParagraph"/>
        <w:spacing w:line="240" w:lineRule="auto"/>
        <w:rPr>
          <w:rFonts w:ascii="Times New Roman" w:hAnsi="Times New Roman" w:cs="Times New Roman"/>
          <w:sz w:val="24"/>
          <w:szCs w:val="24"/>
        </w:rPr>
      </w:pPr>
      <w:r w:rsidRPr="008642AB">
        <w:rPr>
          <w:rFonts w:ascii="Times New Roman" w:hAnsi="Times New Roman" w:cs="Times New Roman"/>
          <w:sz w:val="24"/>
          <w:szCs w:val="24"/>
        </w:rPr>
        <w:t>Under Alternative 2b, the Towns would increase their Jordan Lake withdrawal consistent with future water demand projections for 2045</w:t>
      </w:r>
      <w:r>
        <w:rPr>
          <w:rFonts w:ascii="Times New Roman" w:hAnsi="Times New Roman" w:cs="Times New Roman"/>
          <w:sz w:val="24"/>
          <w:szCs w:val="24"/>
        </w:rPr>
        <w:t xml:space="preserve">.  </w:t>
      </w:r>
      <w:r w:rsidR="00B50021" w:rsidRPr="00B50021">
        <w:rPr>
          <w:rFonts w:ascii="Times New Roman" w:hAnsi="Times New Roman" w:cs="Times New Roman"/>
          <w:sz w:val="24"/>
          <w:szCs w:val="24"/>
        </w:rPr>
        <w:t xml:space="preserve">Alternative 2b would meet the 2045 demands by transferring up to 44 </w:t>
      </w:r>
      <w:r w:rsidR="009F1A7C">
        <w:rPr>
          <w:rFonts w:ascii="Times New Roman" w:hAnsi="Times New Roman" w:cs="Times New Roman"/>
          <w:sz w:val="24"/>
          <w:szCs w:val="24"/>
        </w:rPr>
        <w:t>MGD</w:t>
      </w:r>
      <w:r w:rsidR="00B50021" w:rsidRPr="00B50021">
        <w:rPr>
          <w:rFonts w:ascii="Times New Roman" w:hAnsi="Times New Roman" w:cs="Times New Roman"/>
          <w:sz w:val="24"/>
          <w:szCs w:val="24"/>
        </w:rPr>
        <w:t xml:space="preserve"> from the Haw River basin (Jordan Lake); </w:t>
      </w:r>
      <w:r w:rsidR="00B50021" w:rsidRPr="00B50021">
        <w:rPr>
          <w:rFonts w:ascii="Times New Roman" w:hAnsi="Times New Roman" w:cs="Times New Roman"/>
          <w:sz w:val="24"/>
          <w:szCs w:val="24"/>
        </w:rPr>
        <w:lastRenderedPageBreak/>
        <w:t xml:space="preserve">expanding the CAWTF to 72 </w:t>
      </w:r>
      <w:r w:rsidR="009F1A7C">
        <w:rPr>
          <w:rFonts w:ascii="Times New Roman" w:hAnsi="Times New Roman" w:cs="Times New Roman"/>
          <w:sz w:val="24"/>
          <w:szCs w:val="24"/>
        </w:rPr>
        <w:t>MGD</w:t>
      </w:r>
      <w:r w:rsidR="00B50021" w:rsidRPr="00B50021">
        <w:rPr>
          <w:rFonts w:ascii="Times New Roman" w:hAnsi="Times New Roman" w:cs="Times New Roman"/>
          <w:sz w:val="24"/>
          <w:szCs w:val="24"/>
        </w:rPr>
        <w:t xml:space="preserve">; and continuing water resources management measures to minimize IBT. In contrast to Alternative 2a, wastewater treatment would occur through expansion of the South Cary WRF </w:t>
      </w:r>
      <w:r w:rsidR="00783EC1">
        <w:rPr>
          <w:rFonts w:ascii="Times New Roman" w:hAnsi="Times New Roman" w:cs="Times New Roman"/>
          <w:sz w:val="24"/>
          <w:szCs w:val="24"/>
        </w:rPr>
        <w:t xml:space="preserve">(SCWRF) </w:t>
      </w:r>
      <w:r w:rsidR="00B50021" w:rsidRPr="00B50021">
        <w:rPr>
          <w:rFonts w:ascii="Times New Roman" w:hAnsi="Times New Roman" w:cs="Times New Roman"/>
          <w:sz w:val="24"/>
          <w:szCs w:val="24"/>
        </w:rPr>
        <w:t xml:space="preserve">from 12.8 </w:t>
      </w:r>
      <w:r w:rsidR="009F1A7C">
        <w:rPr>
          <w:rFonts w:ascii="Times New Roman" w:hAnsi="Times New Roman" w:cs="Times New Roman"/>
          <w:sz w:val="24"/>
          <w:szCs w:val="24"/>
        </w:rPr>
        <w:t>MGD</w:t>
      </w:r>
      <w:r w:rsidR="00B50021" w:rsidRPr="00B50021">
        <w:rPr>
          <w:rFonts w:ascii="Times New Roman" w:hAnsi="Times New Roman" w:cs="Times New Roman"/>
          <w:sz w:val="24"/>
          <w:szCs w:val="24"/>
        </w:rPr>
        <w:t xml:space="preserve"> to its permitted discharge capacity of 16 </w:t>
      </w:r>
      <w:r w:rsidR="009F1A7C">
        <w:rPr>
          <w:rFonts w:ascii="Times New Roman" w:hAnsi="Times New Roman" w:cs="Times New Roman"/>
          <w:sz w:val="24"/>
          <w:szCs w:val="24"/>
        </w:rPr>
        <w:t>MGD</w:t>
      </w:r>
      <w:r w:rsidR="00B50021" w:rsidRPr="00B50021">
        <w:rPr>
          <w:rFonts w:ascii="Times New Roman" w:hAnsi="Times New Roman" w:cs="Times New Roman"/>
          <w:sz w:val="24"/>
          <w:szCs w:val="24"/>
        </w:rPr>
        <w:t>, as well as continue</w:t>
      </w:r>
      <w:r w:rsidR="00183FD7">
        <w:rPr>
          <w:rFonts w:ascii="Times New Roman" w:hAnsi="Times New Roman" w:cs="Times New Roman"/>
          <w:sz w:val="24"/>
          <w:szCs w:val="24"/>
        </w:rPr>
        <w:t>d</w:t>
      </w:r>
      <w:r w:rsidR="00B50021" w:rsidRPr="00B50021">
        <w:rPr>
          <w:rFonts w:ascii="Times New Roman" w:hAnsi="Times New Roman" w:cs="Times New Roman"/>
          <w:sz w:val="24"/>
          <w:szCs w:val="24"/>
        </w:rPr>
        <w:t xml:space="preserve"> use of existing facilities (North Cary, Apex and Western Wake WRFs)</w:t>
      </w:r>
      <w:r w:rsidR="00B50021">
        <w:rPr>
          <w:rFonts w:ascii="Times New Roman" w:hAnsi="Times New Roman" w:cs="Times New Roman"/>
          <w:sz w:val="24"/>
          <w:szCs w:val="24"/>
        </w:rPr>
        <w:t>.</w:t>
      </w:r>
      <w:r w:rsidR="009C0441">
        <w:rPr>
          <w:rFonts w:ascii="Times New Roman" w:hAnsi="Times New Roman" w:cs="Times New Roman"/>
          <w:sz w:val="24"/>
          <w:szCs w:val="24"/>
        </w:rPr>
        <w:t xml:space="preserve">  </w:t>
      </w:r>
      <w:r w:rsidR="009C0441" w:rsidRPr="009C0441">
        <w:rPr>
          <w:rFonts w:ascii="Times New Roman" w:hAnsi="Times New Roman" w:cs="Times New Roman"/>
          <w:sz w:val="24"/>
          <w:szCs w:val="24"/>
        </w:rPr>
        <w:t>Under this alternative, the WWRWRF would discharge about</w:t>
      </w:r>
      <w:r w:rsidR="009C0441">
        <w:rPr>
          <w:rFonts w:ascii="Times New Roman" w:hAnsi="Times New Roman" w:cs="Times New Roman"/>
          <w:sz w:val="24"/>
          <w:szCs w:val="24"/>
        </w:rPr>
        <w:t xml:space="preserve"> </w:t>
      </w:r>
      <w:r w:rsidR="009C0441" w:rsidRPr="009C0441">
        <w:rPr>
          <w:rFonts w:ascii="Times New Roman" w:hAnsi="Times New Roman" w:cs="Times New Roman"/>
          <w:sz w:val="24"/>
          <w:szCs w:val="24"/>
        </w:rPr>
        <w:t xml:space="preserve">5 </w:t>
      </w:r>
      <w:r w:rsidR="009F1A7C">
        <w:rPr>
          <w:rFonts w:ascii="Times New Roman" w:hAnsi="Times New Roman" w:cs="Times New Roman"/>
          <w:sz w:val="24"/>
          <w:szCs w:val="24"/>
        </w:rPr>
        <w:t>MGD</w:t>
      </w:r>
      <w:r w:rsidR="009C0441" w:rsidRPr="009C0441">
        <w:rPr>
          <w:rFonts w:ascii="Times New Roman" w:hAnsi="Times New Roman" w:cs="Times New Roman"/>
          <w:sz w:val="24"/>
          <w:szCs w:val="24"/>
        </w:rPr>
        <w:t xml:space="preserve"> on an average day basis to the Cape Fear River basin by 2045.</w:t>
      </w:r>
    </w:p>
    <w:p w14:paraId="7F4024ED" w14:textId="77777777" w:rsidR="009C0441" w:rsidRDefault="009C0441" w:rsidP="009C0441">
      <w:pPr>
        <w:pStyle w:val="ListParagraph"/>
        <w:spacing w:line="240" w:lineRule="auto"/>
        <w:rPr>
          <w:rFonts w:ascii="Times New Roman" w:hAnsi="Times New Roman" w:cs="Times New Roman"/>
          <w:sz w:val="24"/>
          <w:szCs w:val="24"/>
        </w:rPr>
      </w:pPr>
    </w:p>
    <w:p w14:paraId="5AD5996C" w14:textId="77777777" w:rsidR="009C0441" w:rsidRPr="009C0441" w:rsidRDefault="009C0441" w:rsidP="008642AB">
      <w:pPr>
        <w:pStyle w:val="ListParagraph"/>
        <w:spacing w:line="240" w:lineRule="auto"/>
        <w:rPr>
          <w:rFonts w:ascii="Times New Roman" w:hAnsi="Times New Roman" w:cs="Times New Roman"/>
          <w:sz w:val="24"/>
          <w:szCs w:val="24"/>
        </w:rPr>
      </w:pPr>
      <w:r w:rsidRPr="009C0441">
        <w:rPr>
          <w:rFonts w:ascii="Times New Roman" w:hAnsi="Times New Roman" w:cs="Times New Roman"/>
          <w:sz w:val="24"/>
          <w:szCs w:val="24"/>
        </w:rPr>
        <w:t>While this alternative fully utilizes existing treatment facilities and existing permitted discharges, it would require additional pipeline infrastructure to route a larger portion of the wastewater collection system to the South Cary WRF</w:t>
      </w:r>
      <w:r w:rsidR="00783EC1">
        <w:rPr>
          <w:rFonts w:ascii="Times New Roman" w:hAnsi="Times New Roman" w:cs="Times New Roman"/>
          <w:sz w:val="24"/>
          <w:szCs w:val="24"/>
        </w:rPr>
        <w:t xml:space="preserve"> (SCWRF)</w:t>
      </w:r>
      <w:r w:rsidRPr="009C0441">
        <w:rPr>
          <w:rFonts w:ascii="Times New Roman" w:hAnsi="Times New Roman" w:cs="Times New Roman"/>
          <w:sz w:val="24"/>
          <w:szCs w:val="24"/>
        </w:rPr>
        <w:t xml:space="preserve">. </w:t>
      </w:r>
    </w:p>
    <w:p w14:paraId="4F6BB1DB" w14:textId="77777777" w:rsidR="00D945EA" w:rsidRPr="00D945EA" w:rsidRDefault="00D945EA" w:rsidP="00D945EA">
      <w:pPr>
        <w:spacing w:after="0" w:line="240" w:lineRule="auto"/>
        <w:contextualSpacing/>
        <w:rPr>
          <w:rFonts w:ascii="Times New Roman" w:hAnsi="Times New Roman" w:cs="Times New Roman"/>
          <w:sz w:val="24"/>
          <w:szCs w:val="24"/>
        </w:rPr>
      </w:pPr>
    </w:p>
    <w:p w14:paraId="7192EE6E" w14:textId="77777777" w:rsidR="00D945EA" w:rsidRPr="00D945EA" w:rsidRDefault="00D945EA" w:rsidP="00D945EA">
      <w:pPr>
        <w:spacing w:after="0" w:line="240" w:lineRule="auto"/>
        <w:contextualSpacing/>
        <w:rPr>
          <w:rFonts w:ascii="Times New Roman" w:hAnsi="Times New Roman" w:cs="Times New Roman"/>
          <w:sz w:val="24"/>
          <w:szCs w:val="24"/>
        </w:rPr>
      </w:pPr>
      <w:r w:rsidRPr="00D945EA">
        <w:rPr>
          <w:rFonts w:ascii="Times New Roman" w:hAnsi="Times New Roman" w:cs="Times New Roman"/>
          <w:sz w:val="24"/>
          <w:szCs w:val="24"/>
        </w:rPr>
        <w:t xml:space="preserve">3.   Avoid IBT increase (Updated 2001 IBT Certificate; 22 </w:t>
      </w:r>
      <w:r w:rsidR="009F1A7C">
        <w:rPr>
          <w:rFonts w:ascii="Times New Roman" w:hAnsi="Times New Roman" w:cs="Times New Roman"/>
          <w:sz w:val="24"/>
          <w:szCs w:val="24"/>
        </w:rPr>
        <w:t>MGD</w:t>
      </w:r>
      <w:r w:rsidRPr="00D945EA">
        <w:rPr>
          <w:rFonts w:ascii="Times New Roman" w:hAnsi="Times New Roman" w:cs="Times New Roman"/>
          <w:sz w:val="24"/>
          <w:szCs w:val="24"/>
        </w:rPr>
        <w:t xml:space="preserve"> total IBT):</w:t>
      </w:r>
    </w:p>
    <w:p w14:paraId="2CD1E3EE" w14:textId="77777777" w:rsidR="00D945EA" w:rsidRPr="00D945EA" w:rsidRDefault="00D945EA" w:rsidP="00D945EA">
      <w:pPr>
        <w:spacing w:after="0" w:line="240" w:lineRule="auto"/>
        <w:contextualSpacing/>
        <w:rPr>
          <w:rFonts w:ascii="Times New Roman" w:hAnsi="Times New Roman" w:cs="Times New Roman"/>
          <w:sz w:val="24"/>
          <w:szCs w:val="24"/>
        </w:rPr>
      </w:pPr>
    </w:p>
    <w:p w14:paraId="0B21DF94" w14:textId="77777777" w:rsidR="00D945EA" w:rsidRPr="003171D4" w:rsidRDefault="00266751" w:rsidP="00D945EA">
      <w:pPr>
        <w:pStyle w:val="ListParagraph"/>
        <w:numPr>
          <w:ilvl w:val="0"/>
          <w:numId w:val="9"/>
        </w:numPr>
        <w:spacing w:after="0" w:line="240" w:lineRule="auto"/>
        <w:rPr>
          <w:rFonts w:ascii="Times New Roman" w:hAnsi="Times New Roman" w:cs="Times New Roman"/>
          <w:sz w:val="24"/>
          <w:szCs w:val="24"/>
          <w:u w:val="single"/>
        </w:rPr>
      </w:pPr>
      <w:r w:rsidRPr="003171D4">
        <w:rPr>
          <w:rFonts w:ascii="Times New Roman" w:hAnsi="Times New Roman" w:cs="Times New Roman"/>
          <w:b/>
          <w:sz w:val="24"/>
          <w:szCs w:val="24"/>
          <w:u w:val="single"/>
        </w:rPr>
        <w:t xml:space="preserve">Alternative </w:t>
      </w:r>
      <w:r w:rsidR="00D945EA" w:rsidRPr="003171D4">
        <w:rPr>
          <w:rFonts w:ascii="Times New Roman" w:hAnsi="Times New Roman" w:cs="Times New Roman"/>
          <w:b/>
          <w:sz w:val="24"/>
          <w:szCs w:val="24"/>
          <w:u w:val="single"/>
        </w:rPr>
        <w:t>3a</w:t>
      </w:r>
      <w:r w:rsidR="00D945EA" w:rsidRPr="003171D4">
        <w:rPr>
          <w:rFonts w:ascii="Times New Roman" w:hAnsi="Times New Roman" w:cs="Times New Roman"/>
          <w:sz w:val="24"/>
          <w:szCs w:val="24"/>
          <w:u w:val="single"/>
        </w:rPr>
        <w:t xml:space="preserve"> – Transfer of untreated wastewater from the Neuse River basin to the WWRWRF, which discharges to the Cape Fear River basin</w:t>
      </w:r>
      <w:r w:rsidR="002669FC">
        <w:rPr>
          <w:rFonts w:ascii="Times New Roman" w:hAnsi="Times New Roman" w:cs="Times New Roman"/>
          <w:sz w:val="24"/>
          <w:szCs w:val="24"/>
          <w:u w:val="single"/>
        </w:rPr>
        <w:t>.</w:t>
      </w:r>
    </w:p>
    <w:p w14:paraId="2D8AFA7F" w14:textId="77777777" w:rsidR="009C0441" w:rsidRDefault="008642AB" w:rsidP="009C0441">
      <w:pPr>
        <w:spacing w:after="0" w:line="240" w:lineRule="auto"/>
        <w:ind w:left="720"/>
        <w:rPr>
          <w:rFonts w:ascii="Times New Roman" w:hAnsi="Times New Roman" w:cs="Times New Roman"/>
          <w:sz w:val="24"/>
          <w:szCs w:val="24"/>
        </w:rPr>
      </w:pPr>
      <w:r w:rsidRPr="008642AB">
        <w:rPr>
          <w:rFonts w:ascii="Times New Roman" w:hAnsi="Times New Roman" w:cs="Times New Roman"/>
          <w:sz w:val="24"/>
          <w:szCs w:val="24"/>
        </w:rPr>
        <w:t>Under Alternative 3a, the Towns would increase their Jordan Lake withdrawal consistent with future water demand projections for 2045.</w:t>
      </w:r>
      <w:r>
        <w:rPr>
          <w:rFonts w:ascii="Times New Roman" w:hAnsi="Times New Roman" w:cs="Times New Roman"/>
          <w:sz w:val="24"/>
          <w:szCs w:val="24"/>
        </w:rPr>
        <w:t xml:space="preserve">  </w:t>
      </w:r>
      <w:r w:rsidR="009C0441" w:rsidRPr="009C0441">
        <w:rPr>
          <w:rFonts w:ascii="Times New Roman" w:hAnsi="Times New Roman" w:cs="Times New Roman"/>
          <w:sz w:val="24"/>
          <w:szCs w:val="24"/>
        </w:rPr>
        <w:t xml:space="preserve">Alternative 3a would meet the 2045 demands by transferring up to 22 </w:t>
      </w:r>
      <w:r w:rsidR="009F1A7C">
        <w:rPr>
          <w:rFonts w:ascii="Times New Roman" w:hAnsi="Times New Roman" w:cs="Times New Roman"/>
          <w:sz w:val="24"/>
          <w:szCs w:val="24"/>
        </w:rPr>
        <w:t>MGD</w:t>
      </w:r>
      <w:r w:rsidR="009C0441" w:rsidRPr="009C0441">
        <w:rPr>
          <w:rFonts w:ascii="Times New Roman" w:hAnsi="Times New Roman" w:cs="Times New Roman"/>
          <w:sz w:val="24"/>
          <w:szCs w:val="24"/>
        </w:rPr>
        <w:t xml:space="preserve"> (no change from the Updated</w:t>
      </w:r>
      <w:r w:rsidR="009C0441">
        <w:rPr>
          <w:rFonts w:ascii="Times New Roman" w:hAnsi="Times New Roman" w:cs="Times New Roman"/>
          <w:sz w:val="24"/>
          <w:szCs w:val="24"/>
        </w:rPr>
        <w:t xml:space="preserve"> </w:t>
      </w:r>
      <w:r w:rsidR="009C0441" w:rsidRPr="009C0441">
        <w:rPr>
          <w:rFonts w:ascii="Times New Roman" w:hAnsi="Times New Roman" w:cs="Times New Roman"/>
          <w:sz w:val="24"/>
          <w:szCs w:val="24"/>
        </w:rPr>
        <w:t>2001 IBT Certificate) from the Ha</w:t>
      </w:r>
      <w:r w:rsidR="00266751">
        <w:rPr>
          <w:rFonts w:ascii="Times New Roman" w:hAnsi="Times New Roman" w:cs="Times New Roman"/>
          <w:sz w:val="24"/>
          <w:szCs w:val="24"/>
        </w:rPr>
        <w:t xml:space="preserve">w River basin (Jordan Lake) and </w:t>
      </w:r>
      <w:r w:rsidR="009C0441" w:rsidRPr="009C0441">
        <w:rPr>
          <w:rFonts w:ascii="Times New Roman" w:hAnsi="Times New Roman" w:cs="Times New Roman"/>
          <w:sz w:val="24"/>
          <w:szCs w:val="24"/>
        </w:rPr>
        <w:t xml:space="preserve">expanding the CAWTF to 72 </w:t>
      </w:r>
      <w:r w:rsidR="009F1A7C">
        <w:rPr>
          <w:rFonts w:ascii="Times New Roman" w:hAnsi="Times New Roman" w:cs="Times New Roman"/>
          <w:sz w:val="24"/>
          <w:szCs w:val="24"/>
        </w:rPr>
        <w:t>MGD</w:t>
      </w:r>
      <w:r w:rsidR="009C0441" w:rsidRPr="009C0441">
        <w:rPr>
          <w:rFonts w:ascii="Times New Roman" w:hAnsi="Times New Roman" w:cs="Times New Roman"/>
          <w:sz w:val="24"/>
          <w:szCs w:val="24"/>
        </w:rPr>
        <w:t>. In contrast to Alternatives 2a and 2b, wastewater treatment would occur through expansion of the WWRWRF, as well as use of existing facilities (North</w:t>
      </w:r>
      <w:r w:rsidR="009C0441">
        <w:rPr>
          <w:rFonts w:ascii="Times New Roman" w:hAnsi="Times New Roman" w:cs="Times New Roman"/>
          <w:sz w:val="24"/>
          <w:szCs w:val="24"/>
        </w:rPr>
        <w:t xml:space="preserve"> Cary, South </w:t>
      </w:r>
      <w:proofErr w:type="gramStart"/>
      <w:r w:rsidR="009C0441">
        <w:rPr>
          <w:rFonts w:ascii="Times New Roman" w:hAnsi="Times New Roman" w:cs="Times New Roman"/>
          <w:sz w:val="24"/>
          <w:szCs w:val="24"/>
        </w:rPr>
        <w:t>Cary</w:t>
      </w:r>
      <w:proofErr w:type="gramEnd"/>
      <w:r w:rsidR="009C0441">
        <w:rPr>
          <w:rFonts w:ascii="Times New Roman" w:hAnsi="Times New Roman" w:cs="Times New Roman"/>
          <w:sz w:val="24"/>
          <w:szCs w:val="24"/>
        </w:rPr>
        <w:t xml:space="preserve"> and Apex WRFs</w:t>
      </w:r>
      <w:r w:rsidR="009C0441" w:rsidRPr="009C0441">
        <w:rPr>
          <w:rFonts w:ascii="Times New Roman" w:hAnsi="Times New Roman" w:cs="Times New Roman"/>
          <w:sz w:val="24"/>
          <w:szCs w:val="24"/>
        </w:rPr>
        <w:t>)</w:t>
      </w:r>
      <w:r w:rsidR="009C0441">
        <w:rPr>
          <w:rFonts w:ascii="Times New Roman" w:hAnsi="Times New Roman" w:cs="Times New Roman"/>
          <w:sz w:val="24"/>
          <w:szCs w:val="24"/>
        </w:rPr>
        <w:t>.</w:t>
      </w:r>
    </w:p>
    <w:p w14:paraId="47B8A9C9" w14:textId="77777777" w:rsidR="00266751" w:rsidRDefault="00266751" w:rsidP="009C0441">
      <w:pPr>
        <w:spacing w:after="0" w:line="240" w:lineRule="auto"/>
        <w:ind w:left="720"/>
        <w:rPr>
          <w:rFonts w:ascii="Times New Roman" w:hAnsi="Times New Roman" w:cs="Times New Roman"/>
          <w:sz w:val="24"/>
          <w:szCs w:val="24"/>
        </w:rPr>
      </w:pPr>
    </w:p>
    <w:p w14:paraId="12566115" w14:textId="77777777" w:rsidR="00266751" w:rsidRDefault="00266751" w:rsidP="009C0441">
      <w:pPr>
        <w:spacing w:after="0" w:line="240" w:lineRule="auto"/>
        <w:ind w:left="720"/>
        <w:rPr>
          <w:rFonts w:ascii="Times New Roman" w:hAnsi="Times New Roman" w:cs="Times New Roman"/>
          <w:sz w:val="24"/>
          <w:szCs w:val="24"/>
        </w:rPr>
      </w:pPr>
      <w:r w:rsidRPr="00266751">
        <w:rPr>
          <w:rFonts w:ascii="Times New Roman" w:hAnsi="Times New Roman" w:cs="Times New Roman"/>
          <w:sz w:val="24"/>
          <w:szCs w:val="24"/>
        </w:rPr>
        <w:t>Wastewater generated in both the Neuse River basin and in the Cape Fear</w:t>
      </w:r>
      <w:r w:rsidR="002669FC">
        <w:rPr>
          <w:rFonts w:ascii="Times New Roman" w:hAnsi="Times New Roman" w:cs="Times New Roman"/>
          <w:sz w:val="24"/>
          <w:szCs w:val="24"/>
        </w:rPr>
        <w:t xml:space="preserve"> River</w:t>
      </w:r>
      <w:r w:rsidRPr="00266751">
        <w:rPr>
          <w:rFonts w:ascii="Times New Roman" w:hAnsi="Times New Roman" w:cs="Times New Roman"/>
          <w:sz w:val="24"/>
          <w:szCs w:val="24"/>
        </w:rPr>
        <w:t xml:space="preserve"> basin would be pumped to the new WWRWRF for treatment; the treated effluent would then be discharged into the Cape Fear River via the WWRWRF’s outfall. Ultimately, an average of approximately 9 </w:t>
      </w:r>
      <w:r w:rsidR="009F1A7C">
        <w:rPr>
          <w:rFonts w:ascii="Times New Roman" w:hAnsi="Times New Roman" w:cs="Times New Roman"/>
          <w:sz w:val="24"/>
          <w:szCs w:val="24"/>
        </w:rPr>
        <w:t>MGD</w:t>
      </w:r>
      <w:r w:rsidRPr="00266751">
        <w:rPr>
          <w:rFonts w:ascii="Times New Roman" w:hAnsi="Times New Roman" w:cs="Times New Roman"/>
          <w:sz w:val="24"/>
          <w:szCs w:val="24"/>
        </w:rPr>
        <w:t xml:space="preserve"> of additional untreated wastewater (in addition to the future flows already within the areas defined for the WWRWRF service area) would need to be pumped from the North Cary WRF, South Cary WRF, </w:t>
      </w:r>
      <w:r>
        <w:rPr>
          <w:rFonts w:ascii="Times New Roman" w:hAnsi="Times New Roman" w:cs="Times New Roman"/>
          <w:sz w:val="24"/>
          <w:szCs w:val="24"/>
        </w:rPr>
        <w:t>and/</w:t>
      </w:r>
      <w:r w:rsidRPr="00266751">
        <w:rPr>
          <w:rFonts w:ascii="Times New Roman" w:hAnsi="Times New Roman" w:cs="Times New Roman"/>
          <w:sz w:val="24"/>
          <w:szCs w:val="24"/>
        </w:rPr>
        <w:t>or Apex WRF service areas into the WWRWRF influent collection infrastructure to avoid the need to increase IBT.</w:t>
      </w:r>
      <w:r>
        <w:rPr>
          <w:rFonts w:ascii="Times New Roman" w:hAnsi="Times New Roman" w:cs="Times New Roman"/>
          <w:sz w:val="24"/>
          <w:szCs w:val="24"/>
        </w:rPr>
        <w:t xml:space="preserve">  </w:t>
      </w:r>
      <w:r w:rsidRPr="00266751">
        <w:rPr>
          <w:rFonts w:ascii="Times New Roman" w:hAnsi="Times New Roman" w:cs="Times New Roman"/>
          <w:sz w:val="24"/>
          <w:szCs w:val="24"/>
        </w:rPr>
        <w:t xml:space="preserve">By 2045, the additional inflows to the WWRWRF would result in treatment and discharge of about 24 </w:t>
      </w:r>
      <w:r w:rsidR="009F1A7C">
        <w:rPr>
          <w:rFonts w:ascii="Times New Roman" w:hAnsi="Times New Roman" w:cs="Times New Roman"/>
          <w:sz w:val="24"/>
          <w:szCs w:val="24"/>
        </w:rPr>
        <w:t>MGD</w:t>
      </w:r>
      <w:r w:rsidRPr="00266751">
        <w:rPr>
          <w:rFonts w:ascii="Times New Roman" w:hAnsi="Times New Roman" w:cs="Times New Roman"/>
          <w:sz w:val="24"/>
          <w:szCs w:val="24"/>
        </w:rPr>
        <w:t xml:space="preserve"> on an annual average day basis to the Cape Fear River basin from the WWRWRF.</w:t>
      </w:r>
    </w:p>
    <w:p w14:paraId="16D72D09" w14:textId="77777777" w:rsidR="00266751" w:rsidRDefault="00266751" w:rsidP="009C0441">
      <w:pPr>
        <w:spacing w:after="0" w:line="240" w:lineRule="auto"/>
        <w:ind w:left="720"/>
        <w:rPr>
          <w:rFonts w:ascii="Times New Roman" w:hAnsi="Times New Roman" w:cs="Times New Roman"/>
          <w:sz w:val="24"/>
          <w:szCs w:val="24"/>
        </w:rPr>
      </w:pPr>
    </w:p>
    <w:p w14:paraId="57E773E8" w14:textId="77777777" w:rsidR="00266751" w:rsidRPr="00266751" w:rsidRDefault="00266751" w:rsidP="00266751">
      <w:pPr>
        <w:spacing w:after="0" w:line="240" w:lineRule="auto"/>
        <w:ind w:left="720"/>
        <w:rPr>
          <w:rFonts w:ascii="Times New Roman" w:hAnsi="Times New Roman" w:cs="Times New Roman"/>
          <w:sz w:val="24"/>
          <w:szCs w:val="24"/>
        </w:rPr>
      </w:pPr>
      <w:r w:rsidRPr="00266751">
        <w:rPr>
          <w:rFonts w:ascii="Times New Roman" w:hAnsi="Times New Roman" w:cs="Times New Roman"/>
          <w:sz w:val="24"/>
          <w:szCs w:val="24"/>
        </w:rPr>
        <w:t>Alternative 3a would require the construction of major raw wastewater pumping facilities and wastewater conveyance infrastructure to transfer raw wastewater from the Neuse River basin into the Cape Fear basin.</w:t>
      </w:r>
      <w:r>
        <w:rPr>
          <w:rFonts w:ascii="Times New Roman" w:hAnsi="Times New Roman" w:cs="Times New Roman"/>
          <w:sz w:val="24"/>
          <w:szCs w:val="24"/>
        </w:rPr>
        <w:t xml:space="preserve">  </w:t>
      </w:r>
      <w:r w:rsidRPr="00266751">
        <w:rPr>
          <w:rFonts w:ascii="Times New Roman" w:hAnsi="Times New Roman" w:cs="Times New Roman"/>
          <w:sz w:val="24"/>
          <w:szCs w:val="24"/>
        </w:rPr>
        <w:t>This alternative would require the expansion of the WWRWRF to be online in approximately 2029, much earlier than currently projected, and would result in already-built capacity and investment at the Apex WRF and North Cary WRF being underutilized.</w:t>
      </w:r>
    </w:p>
    <w:p w14:paraId="6556699D" w14:textId="77777777" w:rsidR="00266751" w:rsidRDefault="00266751" w:rsidP="00266751">
      <w:pPr>
        <w:spacing w:after="0" w:line="240" w:lineRule="auto"/>
        <w:ind w:left="720"/>
        <w:rPr>
          <w:rFonts w:ascii="Times New Roman" w:hAnsi="Times New Roman" w:cs="Times New Roman"/>
          <w:sz w:val="24"/>
          <w:szCs w:val="24"/>
        </w:rPr>
      </w:pPr>
    </w:p>
    <w:p w14:paraId="3F1EA02D" w14:textId="77777777" w:rsidR="00266751" w:rsidRPr="00266751" w:rsidRDefault="002669FC" w:rsidP="00266751">
      <w:pPr>
        <w:spacing w:after="0" w:line="240" w:lineRule="auto"/>
        <w:ind w:left="720"/>
        <w:rPr>
          <w:rFonts w:ascii="Times New Roman" w:hAnsi="Times New Roman" w:cs="Times New Roman"/>
          <w:sz w:val="24"/>
          <w:szCs w:val="24"/>
        </w:rPr>
      </w:pPr>
      <w:r w:rsidRPr="002669FC">
        <w:rPr>
          <w:rFonts w:ascii="Times New Roman" w:hAnsi="Times New Roman" w:cs="Times New Roman"/>
          <w:sz w:val="24"/>
          <w:szCs w:val="24"/>
        </w:rPr>
        <w:lastRenderedPageBreak/>
        <w:t xml:space="preserve">For a more thorough evaluation and discussion see the technical memorandum, “Comparisons for Environmental Assessment Alternatives 2a and 3a” (Appendix </w:t>
      </w:r>
      <w:r w:rsidR="00DD2ED2">
        <w:rPr>
          <w:rFonts w:ascii="Times New Roman" w:hAnsi="Times New Roman" w:cs="Times New Roman"/>
          <w:sz w:val="24"/>
          <w:szCs w:val="24"/>
        </w:rPr>
        <w:t>D</w:t>
      </w:r>
      <w:r w:rsidRPr="002669FC">
        <w:rPr>
          <w:rFonts w:ascii="Times New Roman" w:hAnsi="Times New Roman" w:cs="Times New Roman"/>
          <w:sz w:val="24"/>
          <w:szCs w:val="24"/>
        </w:rPr>
        <w:t>).</w:t>
      </w:r>
      <w:r>
        <w:rPr>
          <w:rFonts w:ascii="Times New Roman" w:hAnsi="Times New Roman" w:cs="Times New Roman"/>
          <w:sz w:val="24"/>
          <w:szCs w:val="24"/>
        </w:rPr>
        <w:t xml:space="preserve">  </w:t>
      </w:r>
      <w:r w:rsidR="00266751" w:rsidRPr="00266751">
        <w:rPr>
          <w:rFonts w:ascii="Times New Roman" w:hAnsi="Times New Roman" w:cs="Times New Roman"/>
          <w:sz w:val="24"/>
          <w:szCs w:val="24"/>
        </w:rPr>
        <w:t>Because of the significant cost of Alternative 3a</w:t>
      </w:r>
      <w:r>
        <w:rPr>
          <w:rFonts w:ascii="Times New Roman" w:hAnsi="Times New Roman" w:cs="Times New Roman"/>
          <w:sz w:val="24"/>
          <w:szCs w:val="24"/>
        </w:rPr>
        <w:t>,</w:t>
      </w:r>
      <w:r w:rsidR="00266751" w:rsidRPr="00266751">
        <w:rPr>
          <w:rFonts w:ascii="Times New Roman" w:hAnsi="Times New Roman" w:cs="Times New Roman"/>
          <w:sz w:val="24"/>
          <w:szCs w:val="24"/>
        </w:rPr>
        <w:t xml:space="preserve"> the</w:t>
      </w:r>
      <w:r w:rsidR="00266751">
        <w:rPr>
          <w:rFonts w:ascii="Times New Roman" w:hAnsi="Times New Roman" w:cs="Times New Roman"/>
          <w:sz w:val="24"/>
          <w:szCs w:val="24"/>
        </w:rPr>
        <w:t xml:space="preserve"> </w:t>
      </w:r>
      <w:r w:rsidR="00266751" w:rsidRPr="00266751">
        <w:rPr>
          <w:rFonts w:ascii="Times New Roman" w:hAnsi="Times New Roman" w:cs="Times New Roman"/>
          <w:sz w:val="24"/>
          <w:szCs w:val="24"/>
        </w:rPr>
        <w:t>underutilization of existing facility capacity,</w:t>
      </w:r>
      <w:r>
        <w:rPr>
          <w:rFonts w:ascii="Times New Roman" w:hAnsi="Times New Roman" w:cs="Times New Roman"/>
          <w:sz w:val="24"/>
          <w:szCs w:val="24"/>
        </w:rPr>
        <w:t xml:space="preserve"> and environmental impacts,</w:t>
      </w:r>
      <w:r w:rsidR="00266751" w:rsidRPr="00266751">
        <w:rPr>
          <w:rFonts w:ascii="Times New Roman" w:hAnsi="Times New Roman" w:cs="Times New Roman"/>
          <w:sz w:val="24"/>
          <w:szCs w:val="24"/>
        </w:rPr>
        <w:t xml:space="preserve"> this alternative is not considered fiscally responsible.</w:t>
      </w:r>
      <w:r w:rsidR="00444617">
        <w:rPr>
          <w:rFonts w:ascii="Times New Roman" w:hAnsi="Times New Roman" w:cs="Times New Roman"/>
          <w:sz w:val="24"/>
          <w:szCs w:val="24"/>
        </w:rPr>
        <w:t xml:space="preserve">  </w:t>
      </w:r>
    </w:p>
    <w:p w14:paraId="14F3A6A8" w14:textId="77777777" w:rsidR="009C0441" w:rsidRPr="009C0441" w:rsidRDefault="009C0441" w:rsidP="009C0441">
      <w:pPr>
        <w:spacing w:after="0" w:line="240" w:lineRule="auto"/>
        <w:rPr>
          <w:rFonts w:ascii="Times New Roman" w:hAnsi="Times New Roman" w:cs="Times New Roman"/>
          <w:sz w:val="24"/>
          <w:szCs w:val="24"/>
        </w:rPr>
      </w:pPr>
    </w:p>
    <w:p w14:paraId="624D395F" w14:textId="77777777" w:rsidR="00D945EA" w:rsidRPr="003171D4" w:rsidRDefault="00266751" w:rsidP="00D945EA">
      <w:pPr>
        <w:pStyle w:val="ListParagraph"/>
        <w:numPr>
          <w:ilvl w:val="0"/>
          <w:numId w:val="9"/>
        </w:numPr>
        <w:spacing w:after="0" w:line="240" w:lineRule="auto"/>
        <w:rPr>
          <w:rFonts w:ascii="Times New Roman" w:hAnsi="Times New Roman" w:cs="Times New Roman"/>
          <w:sz w:val="24"/>
          <w:szCs w:val="24"/>
          <w:u w:val="single"/>
        </w:rPr>
      </w:pPr>
      <w:r w:rsidRPr="003171D4">
        <w:rPr>
          <w:rFonts w:ascii="Times New Roman" w:hAnsi="Times New Roman" w:cs="Times New Roman"/>
          <w:b/>
          <w:sz w:val="24"/>
          <w:szCs w:val="24"/>
          <w:u w:val="single"/>
        </w:rPr>
        <w:t xml:space="preserve">Alternative </w:t>
      </w:r>
      <w:r w:rsidR="00D945EA" w:rsidRPr="003171D4">
        <w:rPr>
          <w:rFonts w:ascii="Times New Roman" w:hAnsi="Times New Roman" w:cs="Times New Roman"/>
          <w:b/>
          <w:sz w:val="24"/>
          <w:szCs w:val="24"/>
          <w:u w:val="single"/>
        </w:rPr>
        <w:t>3b</w:t>
      </w:r>
      <w:r w:rsidR="00D945EA" w:rsidRPr="003171D4">
        <w:rPr>
          <w:rFonts w:ascii="Times New Roman" w:hAnsi="Times New Roman" w:cs="Times New Roman"/>
          <w:sz w:val="24"/>
          <w:szCs w:val="24"/>
          <w:u w:val="single"/>
        </w:rPr>
        <w:t xml:space="preserve"> – Transfer of treated wastewater effluent from the Neuse River basin to the Cape Fear River basin</w:t>
      </w:r>
    </w:p>
    <w:p w14:paraId="479ED025" w14:textId="77777777" w:rsidR="008642AB" w:rsidRDefault="008642AB" w:rsidP="008642AB">
      <w:pPr>
        <w:spacing w:after="0" w:line="240" w:lineRule="auto"/>
        <w:ind w:left="720"/>
        <w:rPr>
          <w:rFonts w:ascii="Times New Roman" w:hAnsi="Times New Roman" w:cs="Times New Roman"/>
          <w:sz w:val="24"/>
          <w:szCs w:val="24"/>
        </w:rPr>
      </w:pPr>
      <w:r w:rsidRPr="008642AB">
        <w:rPr>
          <w:rFonts w:ascii="Times New Roman" w:hAnsi="Times New Roman" w:cs="Times New Roman"/>
          <w:sz w:val="24"/>
          <w:szCs w:val="24"/>
        </w:rPr>
        <w:t>Under Alternative 3b, the Towns would increase their Jordan Lake withdrawal consistent with future water demand projections for 2045.</w:t>
      </w:r>
      <w:r>
        <w:rPr>
          <w:rFonts w:ascii="Times New Roman" w:hAnsi="Times New Roman" w:cs="Times New Roman"/>
          <w:sz w:val="24"/>
          <w:szCs w:val="24"/>
        </w:rPr>
        <w:t xml:space="preserve">  </w:t>
      </w:r>
      <w:r w:rsidRPr="008642AB">
        <w:rPr>
          <w:rFonts w:ascii="Times New Roman" w:hAnsi="Times New Roman" w:cs="Times New Roman"/>
          <w:sz w:val="24"/>
          <w:szCs w:val="24"/>
        </w:rPr>
        <w:t xml:space="preserve">Alternative 3b would meet the 2045 demands by transferring up to 22 </w:t>
      </w:r>
      <w:r w:rsidR="009F1A7C">
        <w:rPr>
          <w:rFonts w:ascii="Times New Roman" w:hAnsi="Times New Roman" w:cs="Times New Roman"/>
          <w:sz w:val="24"/>
          <w:szCs w:val="24"/>
        </w:rPr>
        <w:t>MGD</w:t>
      </w:r>
      <w:r w:rsidRPr="008642AB">
        <w:rPr>
          <w:rFonts w:ascii="Times New Roman" w:hAnsi="Times New Roman" w:cs="Times New Roman"/>
          <w:sz w:val="24"/>
          <w:szCs w:val="24"/>
        </w:rPr>
        <w:t xml:space="preserve"> (no change from the Updated</w:t>
      </w:r>
      <w:r>
        <w:rPr>
          <w:rFonts w:ascii="Times New Roman" w:hAnsi="Times New Roman" w:cs="Times New Roman"/>
          <w:sz w:val="24"/>
          <w:szCs w:val="24"/>
        </w:rPr>
        <w:t xml:space="preserve"> </w:t>
      </w:r>
      <w:r w:rsidRPr="008642AB">
        <w:rPr>
          <w:rFonts w:ascii="Times New Roman" w:hAnsi="Times New Roman" w:cs="Times New Roman"/>
          <w:sz w:val="24"/>
          <w:szCs w:val="24"/>
        </w:rPr>
        <w:t>2001 IBT Certificate) from the Haw River basin (Jordan Lake)</w:t>
      </w:r>
      <w:r>
        <w:rPr>
          <w:rFonts w:ascii="Times New Roman" w:hAnsi="Times New Roman" w:cs="Times New Roman"/>
          <w:sz w:val="24"/>
          <w:szCs w:val="24"/>
        </w:rPr>
        <w:t xml:space="preserve"> and</w:t>
      </w:r>
      <w:r w:rsidRPr="008642AB">
        <w:rPr>
          <w:rFonts w:ascii="Times New Roman" w:hAnsi="Times New Roman" w:cs="Times New Roman"/>
          <w:sz w:val="24"/>
          <w:szCs w:val="24"/>
        </w:rPr>
        <w:t xml:space="preserve"> expanding the CAWTF to 72 </w:t>
      </w:r>
      <w:r w:rsidR="009F1A7C">
        <w:rPr>
          <w:rFonts w:ascii="Times New Roman" w:hAnsi="Times New Roman" w:cs="Times New Roman"/>
          <w:sz w:val="24"/>
          <w:szCs w:val="24"/>
        </w:rPr>
        <w:t>MGD</w:t>
      </w:r>
      <w:r>
        <w:rPr>
          <w:rFonts w:ascii="Times New Roman" w:hAnsi="Times New Roman" w:cs="Times New Roman"/>
          <w:sz w:val="24"/>
          <w:szCs w:val="24"/>
        </w:rPr>
        <w:t xml:space="preserve">.  </w:t>
      </w:r>
    </w:p>
    <w:p w14:paraId="32A40517" w14:textId="77777777" w:rsidR="008642AB" w:rsidRDefault="008642AB" w:rsidP="008642AB">
      <w:pPr>
        <w:spacing w:after="0" w:line="240" w:lineRule="auto"/>
        <w:ind w:left="720"/>
        <w:rPr>
          <w:rFonts w:ascii="Times New Roman" w:hAnsi="Times New Roman" w:cs="Times New Roman"/>
          <w:sz w:val="24"/>
          <w:szCs w:val="24"/>
        </w:rPr>
      </w:pPr>
    </w:p>
    <w:p w14:paraId="5964218A" w14:textId="77777777" w:rsidR="00266751" w:rsidRDefault="008642AB" w:rsidP="008642AB">
      <w:pPr>
        <w:spacing w:after="0" w:line="240" w:lineRule="auto"/>
        <w:ind w:left="720"/>
        <w:rPr>
          <w:rFonts w:ascii="Times New Roman" w:hAnsi="Times New Roman" w:cs="Times New Roman"/>
          <w:sz w:val="24"/>
          <w:szCs w:val="24"/>
        </w:rPr>
      </w:pPr>
      <w:r w:rsidRPr="008642AB">
        <w:rPr>
          <w:rFonts w:ascii="Times New Roman" w:hAnsi="Times New Roman" w:cs="Times New Roman"/>
          <w:sz w:val="24"/>
          <w:szCs w:val="24"/>
        </w:rPr>
        <w:t xml:space="preserve">Wastewater produced in the Neuse River basin would be treated at the WRFs currently used for the Towns’ wastewater service areas, and a portion of the effluent from the WRFs would be pumped into the Haw River or Cape Fear River basins for discharge.  Ultimately, approximately 9 </w:t>
      </w:r>
      <w:r w:rsidR="009F1A7C">
        <w:rPr>
          <w:rFonts w:ascii="Times New Roman" w:hAnsi="Times New Roman" w:cs="Times New Roman"/>
          <w:sz w:val="24"/>
          <w:szCs w:val="24"/>
        </w:rPr>
        <w:t>MGD</w:t>
      </w:r>
      <w:r w:rsidRPr="008642AB">
        <w:rPr>
          <w:rFonts w:ascii="Times New Roman" w:hAnsi="Times New Roman" w:cs="Times New Roman"/>
          <w:sz w:val="24"/>
          <w:szCs w:val="24"/>
        </w:rPr>
        <w:t xml:space="preserve"> of additional treated wastewater effluent (in addition to the WWRWRF effluent discharge defined for the WWRWRF service area) would need to be pumped from the North Cary WRF, South Cary WRF, </w:t>
      </w:r>
      <w:r>
        <w:rPr>
          <w:rFonts w:ascii="Times New Roman" w:hAnsi="Times New Roman" w:cs="Times New Roman"/>
          <w:sz w:val="24"/>
          <w:szCs w:val="24"/>
        </w:rPr>
        <w:t>and/</w:t>
      </w:r>
      <w:r w:rsidRPr="008642AB">
        <w:rPr>
          <w:rFonts w:ascii="Times New Roman" w:hAnsi="Times New Roman" w:cs="Times New Roman"/>
          <w:sz w:val="24"/>
          <w:szCs w:val="24"/>
        </w:rPr>
        <w:t xml:space="preserve">or Apex WRF into the Haw </w:t>
      </w:r>
      <w:r w:rsidR="002669FC">
        <w:rPr>
          <w:rFonts w:ascii="Times New Roman" w:hAnsi="Times New Roman" w:cs="Times New Roman"/>
          <w:sz w:val="24"/>
          <w:szCs w:val="24"/>
        </w:rPr>
        <w:t xml:space="preserve">River </w:t>
      </w:r>
      <w:r w:rsidRPr="008642AB">
        <w:rPr>
          <w:rFonts w:ascii="Times New Roman" w:hAnsi="Times New Roman" w:cs="Times New Roman"/>
          <w:sz w:val="24"/>
          <w:szCs w:val="24"/>
        </w:rPr>
        <w:t>or Cape Fear</w:t>
      </w:r>
      <w:r w:rsidR="002669FC">
        <w:rPr>
          <w:rFonts w:ascii="Times New Roman" w:hAnsi="Times New Roman" w:cs="Times New Roman"/>
          <w:sz w:val="24"/>
          <w:szCs w:val="24"/>
        </w:rPr>
        <w:t xml:space="preserve"> River</w:t>
      </w:r>
      <w:r w:rsidRPr="008642AB">
        <w:rPr>
          <w:rFonts w:ascii="Times New Roman" w:hAnsi="Times New Roman" w:cs="Times New Roman"/>
          <w:sz w:val="24"/>
          <w:szCs w:val="24"/>
        </w:rPr>
        <w:t xml:space="preserve"> basins to avoid increasing IBT above the 2001 IBT Certificate.</w:t>
      </w:r>
    </w:p>
    <w:p w14:paraId="71679155" w14:textId="77777777" w:rsidR="008642AB" w:rsidRDefault="008642AB" w:rsidP="008642AB">
      <w:pPr>
        <w:spacing w:after="0" w:line="240" w:lineRule="auto"/>
        <w:ind w:left="720"/>
        <w:rPr>
          <w:rFonts w:ascii="Times New Roman" w:hAnsi="Times New Roman" w:cs="Times New Roman"/>
          <w:sz w:val="24"/>
          <w:szCs w:val="24"/>
        </w:rPr>
      </w:pPr>
    </w:p>
    <w:p w14:paraId="2D3F60CB" w14:textId="77777777" w:rsidR="008642AB" w:rsidRDefault="008642AB" w:rsidP="008642AB">
      <w:pPr>
        <w:spacing w:after="0" w:line="240" w:lineRule="auto"/>
        <w:ind w:left="720"/>
        <w:rPr>
          <w:rFonts w:ascii="Times New Roman" w:hAnsi="Times New Roman" w:cs="Times New Roman"/>
          <w:sz w:val="24"/>
          <w:szCs w:val="24"/>
        </w:rPr>
      </w:pPr>
      <w:r w:rsidRPr="008642AB">
        <w:rPr>
          <w:rFonts w:ascii="Times New Roman" w:hAnsi="Times New Roman" w:cs="Times New Roman"/>
          <w:sz w:val="24"/>
          <w:szCs w:val="24"/>
        </w:rPr>
        <w:t>This alternative would require the construction of major pumping facilities to transfer treated effluent</w:t>
      </w:r>
      <w:r>
        <w:rPr>
          <w:rFonts w:ascii="Times New Roman" w:hAnsi="Times New Roman" w:cs="Times New Roman"/>
          <w:sz w:val="24"/>
          <w:szCs w:val="24"/>
        </w:rPr>
        <w:t xml:space="preserve">.  </w:t>
      </w:r>
      <w:r w:rsidRPr="008642AB">
        <w:rPr>
          <w:rFonts w:ascii="Times New Roman" w:hAnsi="Times New Roman" w:cs="Times New Roman"/>
          <w:sz w:val="24"/>
          <w:szCs w:val="24"/>
        </w:rPr>
        <w:t>A new discharge outfall would be constructed on the Cape Fear River, because of the longer distance to the WWRWRF effluent pumping facility and because the WWRWRF effluent pipeline capacity is not sufficient for both the current WWRWRF build-out capacity and the additional effluent flow.</w:t>
      </w:r>
      <w:r>
        <w:rPr>
          <w:rFonts w:ascii="Times New Roman" w:hAnsi="Times New Roman" w:cs="Times New Roman"/>
          <w:sz w:val="24"/>
          <w:szCs w:val="24"/>
        </w:rPr>
        <w:t xml:space="preserve">  </w:t>
      </w:r>
      <w:r w:rsidR="00823C50" w:rsidRPr="00823C50">
        <w:rPr>
          <w:rFonts w:ascii="Times New Roman" w:hAnsi="Times New Roman" w:cs="Times New Roman"/>
          <w:sz w:val="24"/>
          <w:szCs w:val="24"/>
        </w:rPr>
        <w:t xml:space="preserve">Alternative 3b could result in additional treatment requirements at the Apex WRF and South </w:t>
      </w:r>
      <w:proofErr w:type="gramStart"/>
      <w:r w:rsidR="00823C50" w:rsidRPr="00823C50">
        <w:rPr>
          <w:rFonts w:ascii="Times New Roman" w:hAnsi="Times New Roman" w:cs="Times New Roman"/>
          <w:sz w:val="24"/>
          <w:szCs w:val="24"/>
        </w:rPr>
        <w:t>Cary WRF, because</w:t>
      </w:r>
      <w:proofErr w:type="gramEnd"/>
      <w:r w:rsidR="00823C50" w:rsidRPr="00823C50">
        <w:rPr>
          <w:rFonts w:ascii="Times New Roman" w:hAnsi="Times New Roman" w:cs="Times New Roman"/>
          <w:sz w:val="24"/>
          <w:szCs w:val="24"/>
        </w:rPr>
        <w:t xml:space="preserve"> neither facility is designed to meet the effluent total phosphorus (TP) limits in the current WWRWRF NPDES permit.</w:t>
      </w:r>
    </w:p>
    <w:p w14:paraId="73710969" w14:textId="77777777" w:rsidR="00823C50" w:rsidRDefault="00823C50" w:rsidP="008642AB">
      <w:pPr>
        <w:spacing w:after="0" w:line="240" w:lineRule="auto"/>
        <w:ind w:left="720"/>
        <w:rPr>
          <w:rFonts w:ascii="Times New Roman" w:hAnsi="Times New Roman" w:cs="Times New Roman"/>
          <w:sz w:val="24"/>
          <w:szCs w:val="24"/>
        </w:rPr>
      </w:pPr>
    </w:p>
    <w:p w14:paraId="5282EDCA" w14:textId="77777777" w:rsidR="00823C50" w:rsidRPr="00823C50" w:rsidRDefault="00823C50" w:rsidP="00823C50">
      <w:pPr>
        <w:spacing w:after="0" w:line="240" w:lineRule="auto"/>
        <w:ind w:left="720"/>
        <w:rPr>
          <w:rFonts w:ascii="Times New Roman" w:hAnsi="Times New Roman" w:cs="Times New Roman"/>
          <w:sz w:val="24"/>
          <w:szCs w:val="24"/>
        </w:rPr>
      </w:pPr>
      <w:r w:rsidRPr="00823C50">
        <w:rPr>
          <w:rFonts w:ascii="Times New Roman" w:hAnsi="Times New Roman" w:cs="Times New Roman"/>
          <w:sz w:val="24"/>
          <w:szCs w:val="24"/>
        </w:rPr>
        <w:t>Because of the significant cost of Alternative 3b, this alternative is not considered fiscally responsible and will not be further evaluated.</w:t>
      </w:r>
    </w:p>
    <w:p w14:paraId="03E946E9" w14:textId="77777777" w:rsidR="00266751" w:rsidRPr="00266751" w:rsidRDefault="00266751" w:rsidP="00266751">
      <w:pPr>
        <w:spacing w:after="0" w:line="240" w:lineRule="auto"/>
        <w:rPr>
          <w:rFonts w:ascii="Times New Roman" w:hAnsi="Times New Roman" w:cs="Times New Roman"/>
          <w:sz w:val="24"/>
          <w:szCs w:val="24"/>
        </w:rPr>
      </w:pPr>
    </w:p>
    <w:p w14:paraId="27521B08" w14:textId="77777777" w:rsidR="00D945EA" w:rsidRPr="003171D4" w:rsidRDefault="00797784" w:rsidP="00D945EA">
      <w:pPr>
        <w:pStyle w:val="ListParagraph"/>
        <w:numPr>
          <w:ilvl w:val="0"/>
          <w:numId w:val="9"/>
        </w:numPr>
        <w:spacing w:after="0" w:line="240" w:lineRule="auto"/>
        <w:rPr>
          <w:rFonts w:ascii="Times New Roman" w:hAnsi="Times New Roman" w:cs="Times New Roman"/>
          <w:sz w:val="24"/>
          <w:szCs w:val="24"/>
          <w:u w:val="single"/>
        </w:rPr>
      </w:pPr>
      <w:r w:rsidRPr="003171D4">
        <w:rPr>
          <w:rFonts w:ascii="Times New Roman" w:hAnsi="Times New Roman" w:cs="Times New Roman"/>
          <w:b/>
          <w:sz w:val="24"/>
          <w:szCs w:val="24"/>
          <w:u w:val="single"/>
        </w:rPr>
        <w:t xml:space="preserve">Alternative </w:t>
      </w:r>
      <w:r w:rsidR="00D945EA" w:rsidRPr="003171D4">
        <w:rPr>
          <w:rFonts w:ascii="Times New Roman" w:hAnsi="Times New Roman" w:cs="Times New Roman"/>
          <w:b/>
          <w:sz w:val="24"/>
          <w:szCs w:val="24"/>
          <w:u w:val="single"/>
        </w:rPr>
        <w:t>3c</w:t>
      </w:r>
      <w:r w:rsidR="00D945EA" w:rsidRPr="003171D4">
        <w:rPr>
          <w:rFonts w:ascii="Times New Roman" w:hAnsi="Times New Roman" w:cs="Times New Roman"/>
          <w:sz w:val="24"/>
          <w:szCs w:val="24"/>
          <w:u w:val="single"/>
        </w:rPr>
        <w:t xml:space="preserve"> – Use a water supply source in the Neuse River basin</w:t>
      </w:r>
    </w:p>
    <w:p w14:paraId="13E3D933" w14:textId="77777777" w:rsidR="00823C50" w:rsidRDefault="00797784" w:rsidP="00797784">
      <w:pPr>
        <w:spacing w:after="0" w:line="240" w:lineRule="auto"/>
        <w:ind w:left="720"/>
        <w:rPr>
          <w:rFonts w:ascii="Times New Roman" w:hAnsi="Times New Roman" w:cs="Times New Roman"/>
          <w:sz w:val="24"/>
          <w:szCs w:val="24"/>
        </w:rPr>
      </w:pPr>
      <w:r w:rsidRPr="00797784">
        <w:rPr>
          <w:rFonts w:ascii="Times New Roman" w:hAnsi="Times New Roman" w:cs="Times New Roman"/>
          <w:sz w:val="24"/>
          <w:szCs w:val="24"/>
        </w:rPr>
        <w:t>Under Alternative 3c, the Towns would use a water source in the Neuse River basin to meet future water</w:t>
      </w:r>
      <w:r>
        <w:rPr>
          <w:rFonts w:ascii="Times New Roman" w:hAnsi="Times New Roman" w:cs="Times New Roman"/>
          <w:sz w:val="24"/>
          <w:szCs w:val="24"/>
        </w:rPr>
        <w:t xml:space="preserve"> </w:t>
      </w:r>
      <w:r w:rsidRPr="00797784">
        <w:rPr>
          <w:rFonts w:ascii="Times New Roman" w:hAnsi="Times New Roman" w:cs="Times New Roman"/>
          <w:sz w:val="24"/>
          <w:szCs w:val="24"/>
        </w:rPr>
        <w:t xml:space="preserve">demands and comply with the Updated 2001 IBT Certificate. The current Jordan Lake Allocation would not be increased, and IBT would not be increased above the Updated 2001 IBT Certificate. This would be accomplished by (1) the Towns developing a new water supply source or (2) purchasing finished water and water supply capacity from another system in the Neuse River basin.  To accomplish this, </w:t>
      </w:r>
      <w:r>
        <w:rPr>
          <w:rFonts w:ascii="Times New Roman" w:hAnsi="Times New Roman" w:cs="Times New Roman"/>
          <w:sz w:val="24"/>
          <w:szCs w:val="24"/>
        </w:rPr>
        <w:t>a</w:t>
      </w:r>
      <w:r w:rsidRPr="00797784">
        <w:rPr>
          <w:rFonts w:ascii="Times New Roman" w:hAnsi="Times New Roman" w:cs="Times New Roman"/>
          <w:sz w:val="24"/>
          <w:szCs w:val="24"/>
        </w:rPr>
        <w:t xml:space="preserve">pproximately 10 to 12 </w:t>
      </w:r>
      <w:r w:rsidR="009F1A7C">
        <w:rPr>
          <w:rFonts w:ascii="Times New Roman" w:hAnsi="Times New Roman" w:cs="Times New Roman"/>
          <w:sz w:val="24"/>
          <w:szCs w:val="24"/>
        </w:rPr>
        <w:t>MGD</w:t>
      </w:r>
      <w:r w:rsidRPr="00797784">
        <w:rPr>
          <w:rFonts w:ascii="Times New Roman" w:hAnsi="Times New Roman" w:cs="Times New Roman"/>
          <w:sz w:val="24"/>
          <w:szCs w:val="24"/>
        </w:rPr>
        <w:t xml:space="preserve"> of supply from the Neuse River basin is needed.</w:t>
      </w:r>
      <w:r>
        <w:rPr>
          <w:rFonts w:ascii="Times New Roman" w:hAnsi="Times New Roman" w:cs="Times New Roman"/>
          <w:sz w:val="24"/>
          <w:szCs w:val="24"/>
        </w:rPr>
        <w:t xml:space="preserve">  </w:t>
      </w:r>
    </w:p>
    <w:p w14:paraId="27104475" w14:textId="77777777" w:rsidR="00797784" w:rsidRDefault="00797784" w:rsidP="00797784">
      <w:pPr>
        <w:spacing w:after="0" w:line="240" w:lineRule="auto"/>
        <w:ind w:left="720"/>
        <w:rPr>
          <w:rFonts w:ascii="Times New Roman" w:hAnsi="Times New Roman" w:cs="Times New Roman"/>
          <w:sz w:val="24"/>
          <w:szCs w:val="24"/>
        </w:rPr>
      </w:pPr>
    </w:p>
    <w:p w14:paraId="361F088F" w14:textId="77777777" w:rsidR="00797784" w:rsidRDefault="00797784" w:rsidP="00797784">
      <w:pPr>
        <w:spacing w:after="0" w:line="240" w:lineRule="auto"/>
        <w:ind w:left="720"/>
        <w:rPr>
          <w:rFonts w:ascii="Times New Roman" w:hAnsi="Times New Roman" w:cs="Times New Roman"/>
          <w:sz w:val="24"/>
          <w:szCs w:val="24"/>
        </w:rPr>
      </w:pPr>
      <w:r w:rsidRPr="00797784">
        <w:rPr>
          <w:rFonts w:ascii="Times New Roman" w:hAnsi="Times New Roman" w:cs="Times New Roman"/>
          <w:sz w:val="24"/>
          <w:szCs w:val="24"/>
        </w:rPr>
        <w:t xml:space="preserve">Because of the uncertain feasibility of </w:t>
      </w:r>
      <w:r>
        <w:rPr>
          <w:rFonts w:ascii="Times New Roman" w:hAnsi="Times New Roman" w:cs="Times New Roman"/>
          <w:sz w:val="24"/>
          <w:szCs w:val="24"/>
        </w:rPr>
        <w:t>developing a new water supply source in the Neuse River basin</w:t>
      </w:r>
      <w:r w:rsidRPr="00797784">
        <w:rPr>
          <w:rFonts w:ascii="Times New Roman" w:hAnsi="Times New Roman" w:cs="Times New Roman"/>
          <w:sz w:val="24"/>
          <w:szCs w:val="24"/>
        </w:rPr>
        <w:t xml:space="preserve">, </w:t>
      </w:r>
      <w:r>
        <w:rPr>
          <w:rFonts w:ascii="Times New Roman" w:hAnsi="Times New Roman" w:cs="Times New Roman"/>
          <w:sz w:val="24"/>
          <w:szCs w:val="24"/>
        </w:rPr>
        <w:t>this</w:t>
      </w:r>
      <w:r w:rsidRPr="00797784">
        <w:rPr>
          <w:rFonts w:ascii="Times New Roman" w:hAnsi="Times New Roman" w:cs="Times New Roman"/>
          <w:sz w:val="24"/>
          <w:szCs w:val="24"/>
        </w:rPr>
        <w:t xml:space="preserve"> is an unreliable solution to meet the Towns’ 2045 water</w:t>
      </w:r>
      <w:r>
        <w:rPr>
          <w:rFonts w:ascii="Times New Roman" w:hAnsi="Times New Roman" w:cs="Times New Roman"/>
          <w:sz w:val="24"/>
          <w:szCs w:val="24"/>
        </w:rPr>
        <w:t xml:space="preserve"> </w:t>
      </w:r>
      <w:r w:rsidRPr="00797784">
        <w:rPr>
          <w:rFonts w:ascii="Times New Roman" w:hAnsi="Times New Roman" w:cs="Times New Roman"/>
          <w:sz w:val="24"/>
          <w:szCs w:val="24"/>
        </w:rPr>
        <w:t>demands.</w:t>
      </w:r>
      <w:r>
        <w:rPr>
          <w:rFonts w:ascii="Times New Roman" w:hAnsi="Times New Roman" w:cs="Times New Roman"/>
          <w:sz w:val="24"/>
          <w:szCs w:val="24"/>
        </w:rPr>
        <w:t xml:space="preserve">  Similarly, purchasing finished water from within the Neuse River basin </w:t>
      </w:r>
      <w:r w:rsidR="00783EC1">
        <w:rPr>
          <w:rFonts w:ascii="Times New Roman" w:hAnsi="Times New Roman" w:cs="Times New Roman"/>
          <w:sz w:val="24"/>
          <w:szCs w:val="24"/>
        </w:rPr>
        <w:t xml:space="preserve">is </w:t>
      </w:r>
      <w:r>
        <w:rPr>
          <w:rFonts w:ascii="Times New Roman" w:hAnsi="Times New Roman" w:cs="Times New Roman"/>
          <w:sz w:val="24"/>
          <w:szCs w:val="24"/>
        </w:rPr>
        <w:t xml:space="preserve">not considered to be feasible due to the prohibitive cost involved with purchasing the water and </w:t>
      </w:r>
      <w:r w:rsidRPr="00797784">
        <w:rPr>
          <w:rFonts w:ascii="Times New Roman" w:hAnsi="Times New Roman" w:cs="Times New Roman"/>
          <w:sz w:val="24"/>
          <w:szCs w:val="24"/>
        </w:rPr>
        <w:t>constructing additional water transmission pumping and pipeline infrastructure, concerns about potential environmental impacts from construction activities, and the likelihood that increasing demands in the region would limit the potential for long-term capacity purchase agreements</w:t>
      </w:r>
      <w:r w:rsidR="00783EC1">
        <w:rPr>
          <w:rFonts w:ascii="Times New Roman" w:hAnsi="Times New Roman" w:cs="Times New Roman"/>
          <w:sz w:val="24"/>
          <w:szCs w:val="24"/>
        </w:rPr>
        <w:t>.</w:t>
      </w:r>
    </w:p>
    <w:p w14:paraId="5F98176F" w14:textId="77777777" w:rsidR="00823C50" w:rsidRPr="00823C50" w:rsidRDefault="00823C50" w:rsidP="00823C50">
      <w:pPr>
        <w:spacing w:after="0" w:line="240" w:lineRule="auto"/>
        <w:rPr>
          <w:rFonts w:ascii="Times New Roman" w:hAnsi="Times New Roman" w:cs="Times New Roman"/>
          <w:sz w:val="24"/>
          <w:szCs w:val="24"/>
        </w:rPr>
      </w:pPr>
    </w:p>
    <w:p w14:paraId="68C7F415" w14:textId="77777777" w:rsidR="00D945EA" w:rsidRPr="003171D4" w:rsidRDefault="00797784" w:rsidP="00D945EA">
      <w:pPr>
        <w:pStyle w:val="ListParagraph"/>
        <w:numPr>
          <w:ilvl w:val="0"/>
          <w:numId w:val="9"/>
        </w:numPr>
        <w:spacing w:after="0" w:line="240" w:lineRule="auto"/>
        <w:rPr>
          <w:rFonts w:ascii="Times New Roman" w:hAnsi="Times New Roman" w:cs="Times New Roman"/>
          <w:sz w:val="24"/>
          <w:szCs w:val="24"/>
          <w:u w:val="single"/>
        </w:rPr>
      </w:pPr>
      <w:r w:rsidRPr="003171D4">
        <w:rPr>
          <w:rFonts w:ascii="Times New Roman" w:hAnsi="Times New Roman" w:cs="Times New Roman"/>
          <w:b/>
          <w:sz w:val="24"/>
          <w:szCs w:val="24"/>
          <w:u w:val="single"/>
        </w:rPr>
        <w:t xml:space="preserve">Alternative </w:t>
      </w:r>
      <w:r w:rsidR="00D945EA" w:rsidRPr="003171D4">
        <w:rPr>
          <w:rFonts w:ascii="Times New Roman" w:hAnsi="Times New Roman" w:cs="Times New Roman"/>
          <w:b/>
          <w:sz w:val="24"/>
          <w:szCs w:val="24"/>
          <w:u w:val="single"/>
        </w:rPr>
        <w:t xml:space="preserve">3d </w:t>
      </w:r>
      <w:r w:rsidR="00D945EA" w:rsidRPr="003171D4">
        <w:rPr>
          <w:rFonts w:ascii="Times New Roman" w:hAnsi="Times New Roman" w:cs="Times New Roman"/>
          <w:sz w:val="24"/>
          <w:szCs w:val="24"/>
          <w:u w:val="single"/>
        </w:rPr>
        <w:t>– Use groundwater as a water supply source</w:t>
      </w:r>
    </w:p>
    <w:p w14:paraId="59EBC602" w14:textId="77777777" w:rsidR="00797784" w:rsidRDefault="00797784" w:rsidP="00797784">
      <w:pPr>
        <w:spacing w:after="0" w:line="240" w:lineRule="auto"/>
        <w:ind w:left="720"/>
        <w:rPr>
          <w:rFonts w:ascii="Times New Roman" w:hAnsi="Times New Roman" w:cs="Times New Roman"/>
          <w:sz w:val="24"/>
          <w:szCs w:val="24"/>
        </w:rPr>
      </w:pPr>
      <w:r w:rsidRPr="00797784">
        <w:rPr>
          <w:rFonts w:ascii="Times New Roman" w:hAnsi="Times New Roman" w:cs="Times New Roman"/>
          <w:sz w:val="24"/>
          <w:szCs w:val="24"/>
        </w:rPr>
        <w:t>Under Alternative 3d, new groundwater wells would be installed to supply the Towns with the additional</w:t>
      </w:r>
      <w:r>
        <w:rPr>
          <w:rFonts w:ascii="Times New Roman" w:hAnsi="Times New Roman" w:cs="Times New Roman"/>
          <w:sz w:val="24"/>
          <w:szCs w:val="24"/>
        </w:rPr>
        <w:t xml:space="preserve"> </w:t>
      </w:r>
      <w:r w:rsidRPr="00797784">
        <w:rPr>
          <w:rFonts w:ascii="Times New Roman" w:hAnsi="Times New Roman" w:cs="Times New Roman"/>
          <w:sz w:val="24"/>
          <w:szCs w:val="24"/>
        </w:rPr>
        <w:t>water needed to meet 2045 demands</w:t>
      </w:r>
      <w:r>
        <w:rPr>
          <w:rFonts w:ascii="Times New Roman" w:hAnsi="Times New Roman" w:cs="Times New Roman"/>
          <w:sz w:val="24"/>
          <w:szCs w:val="24"/>
        </w:rPr>
        <w:t xml:space="preserve">.  </w:t>
      </w:r>
      <w:r w:rsidR="00FD0FCA" w:rsidRPr="00FD0FCA">
        <w:rPr>
          <w:rFonts w:ascii="Times New Roman" w:hAnsi="Times New Roman" w:cs="Times New Roman"/>
          <w:sz w:val="24"/>
          <w:szCs w:val="24"/>
        </w:rPr>
        <w:t>This alternative would require 45 to 65 new wells withdrawing at an average of 100 to 150 gallons per minute, and the wells would need to be placed at ¼- to ½-mile intervals.</w:t>
      </w:r>
      <w:r w:rsidR="00FD0FCA">
        <w:rPr>
          <w:rFonts w:ascii="Times New Roman" w:hAnsi="Times New Roman" w:cs="Times New Roman"/>
          <w:sz w:val="24"/>
          <w:szCs w:val="24"/>
        </w:rPr>
        <w:t xml:space="preserve">  </w:t>
      </w:r>
      <w:r w:rsidR="00FD0FCA" w:rsidRPr="00FD0FCA">
        <w:rPr>
          <w:rFonts w:ascii="Times New Roman" w:hAnsi="Times New Roman" w:cs="Times New Roman"/>
          <w:sz w:val="24"/>
          <w:szCs w:val="24"/>
        </w:rPr>
        <w:t>This “well-field” approach, with multiple wells on a single property, would be impractical because of the requirement for at least about 5 square miles of undeveloped property.</w:t>
      </w:r>
      <w:r w:rsidR="00FD0FCA">
        <w:rPr>
          <w:rFonts w:ascii="Times New Roman" w:hAnsi="Times New Roman" w:cs="Times New Roman"/>
          <w:sz w:val="24"/>
          <w:szCs w:val="24"/>
        </w:rPr>
        <w:t xml:space="preserve">  </w:t>
      </w:r>
    </w:p>
    <w:p w14:paraId="451828A5" w14:textId="77777777" w:rsidR="00FD0FCA" w:rsidRDefault="00FD0FCA" w:rsidP="00797784">
      <w:pPr>
        <w:spacing w:after="0" w:line="240" w:lineRule="auto"/>
        <w:ind w:left="720"/>
        <w:rPr>
          <w:rFonts w:ascii="Times New Roman" w:hAnsi="Times New Roman" w:cs="Times New Roman"/>
          <w:sz w:val="24"/>
          <w:szCs w:val="24"/>
        </w:rPr>
      </w:pPr>
    </w:p>
    <w:p w14:paraId="4ADC2DB0" w14:textId="77777777" w:rsidR="00FD0FCA" w:rsidRPr="00FD0FCA" w:rsidRDefault="00FD0FCA" w:rsidP="00FD0FCA">
      <w:pPr>
        <w:spacing w:after="0" w:line="240" w:lineRule="auto"/>
        <w:ind w:left="720"/>
        <w:rPr>
          <w:rFonts w:ascii="Times New Roman" w:hAnsi="Times New Roman" w:cs="Times New Roman"/>
          <w:sz w:val="24"/>
          <w:szCs w:val="24"/>
        </w:rPr>
      </w:pPr>
      <w:r w:rsidRPr="00FD0FCA">
        <w:rPr>
          <w:rFonts w:ascii="Times New Roman" w:hAnsi="Times New Roman" w:cs="Times New Roman"/>
          <w:sz w:val="24"/>
          <w:szCs w:val="24"/>
        </w:rPr>
        <w:t>Such a well system is expected to be cost prohibitive because of the area of land that would be required, the length of the raw water transmission line that would be needed, the operations and maintenance challenges associated with numerous wells, and water quality concerns due to</w:t>
      </w:r>
      <w:r>
        <w:rPr>
          <w:rFonts w:ascii="Times New Roman" w:hAnsi="Times New Roman" w:cs="Times New Roman"/>
          <w:sz w:val="24"/>
          <w:szCs w:val="24"/>
        </w:rPr>
        <w:t xml:space="preserve"> </w:t>
      </w:r>
      <w:r w:rsidRPr="00FD0FCA">
        <w:rPr>
          <w:rFonts w:ascii="Times New Roman" w:hAnsi="Times New Roman" w:cs="Times New Roman"/>
          <w:sz w:val="24"/>
          <w:szCs w:val="24"/>
        </w:rPr>
        <w:t xml:space="preserve">expected iron and manganese concentrations. Also, there is no information to indicate whether the required yield could be sustained. New water treatment facilities for groundwater would be required; the current water treatment facilities at the CAWTF were designed for Jordan Lake’s surface water quality. </w:t>
      </w:r>
      <w:r>
        <w:rPr>
          <w:rFonts w:ascii="Times New Roman" w:hAnsi="Times New Roman" w:cs="Times New Roman"/>
          <w:sz w:val="24"/>
          <w:szCs w:val="24"/>
        </w:rPr>
        <w:t xml:space="preserve"> </w:t>
      </w:r>
      <w:r w:rsidRPr="00FD0FCA">
        <w:rPr>
          <w:rFonts w:ascii="Times New Roman" w:hAnsi="Times New Roman" w:cs="Times New Roman"/>
          <w:sz w:val="24"/>
          <w:szCs w:val="24"/>
        </w:rPr>
        <w:t>Alternative</w:t>
      </w:r>
      <w:r>
        <w:rPr>
          <w:rFonts w:ascii="Times New Roman" w:hAnsi="Times New Roman" w:cs="Times New Roman"/>
          <w:sz w:val="24"/>
          <w:szCs w:val="24"/>
        </w:rPr>
        <w:t xml:space="preserve"> </w:t>
      </w:r>
      <w:r w:rsidRPr="00FD0FCA">
        <w:rPr>
          <w:rFonts w:ascii="Times New Roman" w:hAnsi="Times New Roman" w:cs="Times New Roman"/>
          <w:sz w:val="24"/>
          <w:szCs w:val="24"/>
        </w:rPr>
        <w:t>3d is not considered feasible.</w:t>
      </w:r>
    </w:p>
    <w:p w14:paraId="7BD19A6A" w14:textId="77777777" w:rsidR="00797784" w:rsidRDefault="00797784" w:rsidP="00797784">
      <w:pPr>
        <w:spacing w:after="0" w:line="240" w:lineRule="auto"/>
        <w:rPr>
          <w:rFonts w:ascii="Times New Roman" w:hAnsi="Times New Roman" w:cs="Times New Roman"/>
          <w:sz w:val="24"/>
          <w:szCs w:val="24"/>
        </w:rPr>
      </w:pPr>
    </w:p>
    <w:p w14:paraId="331DE0C6" w14:textId="77777777" w:rsidR="00D945EA" w:rsidRPr="003171D4" w:rsidRDefault="00797784" w:rsidP="00B85196">
      <w:pPr>
        <w:pStyle w:val="ListParagraph"/>
        <w:numPr>
          <w:ilvl w:val="0"/>
          <w:numId w:val="9"/>
        </w:numPr>
        <w:spacing w:after="0" w:line="240" w:lineRule="auto"/>
        <w:rPr>
          <w:rFonts w:ascii="Times New Roman" w:hAnsi="Times New Roman" w:cs="Times New Roman"/>
          <w:sz w:val="24"/>
          <w:szCs w:val="24"/>
          <w:u w:val="single"/>
        </w:rPr>
      </w:pPr>
      <w:r w:rsidRPr="003171D4">
        <w:rPr>
          <w:rFonts w:ascii="Times New Roman" w:hAnsi="Times New Roman" w:cs="Times New Roman"/>
          <w:b/>
          <w:sz w:val="24"/>
          <w:szCs w:val="24"/>
          <w:u w:val="single"/>
        </w:rPr>
        <w:t xml:space="preserve">Alternative </w:t>
      </w:r>
      <w:r w:rsidR="00D945EA" w:rsidRPr="003171D4">
        <w:rPr>
          <w:rFonts w:ascii="Times New Roman" w:hAnsi="Times New Roman" w:cs="Times New Roman"/>
          <w:b/>
          <w:sz w:val="24"/>
          <w:szCs w:val="24"/>
          <w:u w:val="single"/>
        </w:rPr>
        <w:t>3e</w:t>
      </w:r>
      <w:r w:rsidR="00D945EA" w:rsidRPr="003171D4">
        <w:rPr>
          <w:rFonts w:ascii="Times New Roman" w:hAnsi="Times New Roman" w:cs="Times New Roman"/>
          <w:sz w:val="24"/>
          <w:szCs w:val="24"/>
          <w:u w:val="single"/>
        </w:rPr>
        <w:t xml:space="preserve"> – Use additional water resources management </w:t>
      </w:r>
      <w:proofErr w:type="gramStart"/>
      <w:r w:rsidR="00D945EA" w:rsidRPr="003171D4">
        <w:rPr>
          <w:rFonts w:ascii="Times New Roman" w:hAnsi="Times New Roman" w:cs="Times New Roman"/>
          <w:sz w:val="24"/>
          <w:szCs w:val="24"/>
          <w:u w:val="single"/>
        </w:rPr>
        <w:t>tools</w:t>
      </w:r>
      <w:proofErr w:type="gramEnd"/>
    </w:p>
    <w:p w14:paraId="1C44E6F8" w14:textId="77777777" w:rsidR="00100F84" w:rsidRPr="00100F84" w:rsidRDefault="00AF21E1" w:rsidP="00B85196">
      <w:pPr>
        <w:pStyle w:val="ListParagraph"/>
        <w:spacing w:line="240" w:lineRule="auto"/>
        <w:rPr>
          <w:rFonts w:ascii="Times New Roman" w:hAnsi="Times New Roman" w:cs="Times New Roman"/>
          <w:sz w:val="24"/>
          <w:szCs w:val="24"/>
        </w:rPr>
      </w:pPr>
      <w:r w:rsidRPr="00AF21E1">
        <w:rPr>
          <w:rFonts w:ascii="Times New Roman" w:hAnsi="Times New Roman" w:cs="Times New Roman"/>
          <w:sz w:val="24"/>
          <w:szCs w:val="24"/>
        </w:rPr>
        <w:t>The Towns have implemented proactive water resources management tools for more than 15 years to</w:t>
      </w:r>
      <w:r>
        <w:rPr>
          <w:rFonts w:ascii="Times New Roman" w:hAnsi="Times New Roman" w:cs="Times New Roman"/>
          <w:sz w:val="24"/>
          <w:szCs w:val="24"/>
        </w:rPr>
        <w:t xml:space="preserve"> </w:t>
      </w:r>
      <w:r w:rsidRPr="00AF21E1">
        <w:rPr>
          <w:rFonts w:ascii="Times New Roman" w:hAnsi="Times New Roman" w:cs="Times New Roman"/>
          <w:sz w:val="24"/>
          <w:szCs w:val="24"/>
        </w:rPr>
        <w:t>encourage conservation and wise water use practices.</w:t>
      </w:r>
      <w:r>
        <w:rPr>
          <w:rFonts w:ascii="Times New Roman" w:hAnsi="Times New Roman" w:cs="Times New Roman"/>
          <w:sz w:val="24"/>
          <w:szCs w:val="24"/>
        </w:rPr>
        <w:t xml:space="preserve">  </w:t>
      </w:r>
      <w:r w:rsidRPr="00AF21E1">
        <w:rPr>
          <w:rFonts w:ascii="Times New Roman" w:hAnsi="Times New Roman" w:cs="Times New Roman"/>
          <w:sz w:val="24"/>
          <w:szCs w:val="24"/>
        </w:rPr>
        <w:t>Alternative</w:t>
      </w:r>
      <w:r w:rsidR="00100F84">
        <w:rPr>
          <w:rFonts w:ascii="Times New Roman" w:hAnsi="Times New Roman" w:cs="Times New Roman"/>
          <w:sz w:val="24"/>
          <w:szCs w:val="24"/>
        </w:rPr>
        <w:t xml:space="preserve"> </w:t>
      </w:r>
      <w:r w:rsidRPr="00AF21E1">
        <w:rPr>
          <w:rFonts w:ascii="Times New Roman" w:hAnsi="Times New Roman" w:cs="Times New Roman"/>
          <w:sz w:val="24"/>
          <w:szCs w:val="24"/>
        </w:rPr>
        <w:t>3e would continue and expand the Towns’ programs with the implementation of additional water resources management tools to reduce future water demands.</w:t>
      </w:r>
      <w:r>
        <w:rPr>
          <w:rFonts w:ascii="Times New Roman" w:hAnsi="Times New Roman" w:cs="Times New Roman"/>
          <w:sz w:val="24"/>
          <w:szCs w:val="24"/>
        </w:rPr>
        <w:t xml:space="preserve">  </w:t>
      </w:r>
      <w:r w:rsidR="00100F84" w:rsidRPr="00100F84">
        <w:rPr>
          <w:rFonts w:ascii="Times New Roman" w:hAnsi="Times New Roman" w:cs="Times New Roman"/>
          <w:sz w:val="24"/>
          <w:szCs w:val="24"/>
        </w:rPr>
        <w:t xml:space="preserve">These programs will increase the reliability with which the Towns can meet customer demands and comply with a modified IBT certificate. However, Alternative 3e is not considered feasible </w:t>
      </w:r>
      <w:proofErr w:type="gramStart"/>
      <w:r w:rsidR="00100F84" w:rsidRPr="00100F84">
        <w:rPr>
          <w:rFonts w:ascii="Times New Roman" w:hAnsi="Times New Roman" w:cs="Times New Roman"/>
          <w:sz w:val="24"/>
          <w:szCs w:val="24"/>
        </w:rPr>
        <w:t>as a means to</w:t>
      </w:r>
      <w:proofErr w:type="gramEnd"/>
      <w:r w:rsidR="00100F84" w:rsidRPr="00100F84">
        <w:rPr>
          <w:rFonts w:ascii="Times New Roman" w:hAnsi="Times New Roman" w:cs="Times New Roman"/>
          <w:sz w:val="24"/>
          <w:szCs w:val="24"/>
        </w:rPr>
        <w:t xml:space="preserve"> meet projected growth needs while reducing the Towns’ long-term water demand and comply with the Updated 2001 IBT Certificate.</w:t>
      </w:r>
    </w:p>
    <w:p w14:paraId="1A5D862C" w14:textId="77777777" w:rsidR="00FD0FCA" w:rsidRPr="00D945EA" w:rsidRDefault="00FD0FCA" w:rsidP="00AF21E1">
      <w:pPr>
        <w:pStyle w:val="ListParagraph"/>
        <w:spacing w:after="0" w:line="240" w:lineRule="auto"/>
        <w:rPr>
          <w:rFonts w:ascii="Times New Roman" w:hAnsi="Times New Roman" w:cs="Times New Roman"/>
          <w:sz w:val="24"/>
          <w:szCs w:val="24"/>
        </w:rPr>
      </w:pPr>
    </w:p>
    <w:p w14:paraId="10F103CE" w14:textId="77777777" w:rsidR="007F426F" w:rsidRDefault="007F426F" w:rsidP="007F426F">
      <w:pPr>
        <w:spacing w:after="0" w:line="240" w:lineRule="auto"/>
        <w:contextualSpacing/>
        <w:rPr>
          <w:rFonts w:ascii="Times New Roman" w:hAnsi="Times New Roman" w:cs="Times New Roman"/>
          <w:sz w:val="24"/>
          <w:szCs w:val="24"/>
        </w:rPr>
      </w:pPr>
      <w:r w:rsidRPr="007F426F">
        <w:rPr>
          <w:rFonts w:ascii="Times New Roman" w:hAnsi="Times New Roman" w:cs="Times New Roman"/>
          <w:i/>
          <w:sz w:val="24"/>
          <w:szCs w:val="24"/>
        </w:rPr>
        <w:t xml:space="preserve">Based on the record, the Commission finds that reasonable alternatives to the proposed IBT were considered. Based on a review of the project information, </w:t>
      </w:r>
      <w:r>
        <w:rPr>
          <w:rFonts w:ascii="Times New Roman" w:hAnsi="Times New Roman" w:cs="Times New Roman"/>
          <w:i/>
          <w:sz w:val="24"/>
          <w:szCs w:val="24"/>
        </w:rPr>
        <w:t xml:space="preserve">the Commission finds </w:t>
      </w:r>
      <w:r w:rsidRPr="007F426F">
        <w:rPr>
          <w:rFonts w:ascii="Times New Roman" w:hAnsi="Times New Roman" w:cs="Times New Roman"/>
          <w:i/>
          <w:sz w:val="24"/>
          <w:szCs w:val="24"/>
        </w:rPr>
        <w:t>the recommended alternative</w:t>
      </w:r>
      <w:r>
        <w:rPr>
          <w:rFonts w:ascii="Times New Roman" w:hAnsi="Times New Roman" w:cs="Times New Roman"/>
          <w:i/>
          <w:sz w:val="24"/>
          <w:szCs w:val="24"/>
        </w:rPr>
        <w:t xml:space="preserve"> (Alternative 2a)</w:t>
      </w:r>
      <w:r w:rsidRPr="007F426F">
        <w:rPr>
          <w:rFonts w:ascii="Times New Roman" w:hAnsi="Times New Roman" w:cs="Times New Roman"/>
          <w:i/>
          <w:sz w:val="24"/>
          <w:szCs w:val="24"/>
        </w:rPr>
        <w:t xml:space="preserve"> </w:t>
      </w:r>
      <w:r>
        <w:rPr>
          <w:rFonts w:ascii="Times New Roman" w:hAnsi="Times New Roman" w:cs="Times New Roman"/>
          <w:i/>
          <w:sz w:val="24"/>
          <w:szCs w:val="24"/>
        </w:rPr>
        <w:t>to be</w:t>
      </w:r>
      <w:r w:rsidRPr="007F426F">
        <w:rPr>
          <w:rFonts w:ascii="Times New Roman" w:hAnsi="Times New Roman" w:cs="Times New Roman"/>
          <w:i/>
          <w:sz w:val="24"/>
          <w:szCs w:val="24"/>
        </w:rPr>
        <w:t xml:space="preserve"> the most feasible </w:t>
      </w:r>
      <w:r>
        <w:rPr>
          <w:rFonts w:ascii="Times New Roman" w:hAnsi="Times New Roman" w:cs="Times New Roman"/>
          <w:i/>
          <w:sz w:val="24"/>
          <w:szCs w:val="24"/>
        </w:rPr>
        <w:t>for</w:t>
      </w:r>
      <w:r w:rsidRPr="007F426F">
        <w:rPr>
          <w:rFonts w:ascii="Times New Roman" w:hAnsi="Times New Roman" w:cs="Times New Roman"/>
          <w:i/>
          <w:sz w:val="24"/>
          <w:szCs w:val="24"/>
        </w:rPr>
        <w:t xml:space="preserve"> meeting the petitioners’ water supply needs while minimizing detrimental environmental impacts.</w:t>
      </w:r>
    </w:p>
    <w:p w14:paraId="092BA3B2" w14:textId="77777777" w:rsidR="007F426F" w:rsidRDefault="007F426F" w:rsidP="007F426F">
      <w:pPr>
        <w:spacing w:after="0" w:line="240" w:lineRule="auto"/>
        <w:contextualSpacing/>
        <w:rPr>
          <w:rFonts w:ascii="Times New Roman" w:hAnsi="Times New Roman" w:cs="Times New Roman"/>
          <w:sz w:val="24"/>
          <w:szCs w:val="24"/>
        </w:rPr>
      </w:pPr>
    </w:p>
    <w:p w14:paraId="6A339D6E" w14:textId="77777777" w:rsidR="007F426F" w:rsidRPr="007F426F" w:rsidRDefault="007F426F" w:rsidP="007F426F">
      <w:pPr>
        <w:spacing w:after="0" w:line="240" w:lineRule="auto"/>
        <w:contextualSpacing/>
        <w:rPr>
          <w:rFonts w:ascii="Times New Roman" w:hAnsi="Times New Roman" w:cs="Times New Roman"/>
          <w:b/>
          <w:bCs/>
          <w:sz w:val="24"/>
          <w:szCs w:val="24"/>
        </w:rPr>
      </w:pPr>
      <w:bookmarkStart w:id="13" w:name="_Toc152550396"/>
      <w:bookmarkStart w:id="14" w:name="_Toc153359312"/>
      <w:r w:rsidRPr="007F426F">
        <w:rPr>
          <w:rFonts w:ascii="Times New Roman" w:hAnsi="Times New Roman" w:cs="Times New Roman"/>
          <w:b/>
          <w:bCs/>
          <w:sz w:val="24"/>
          <w:szCs w:val="24"/>
        </w:rPr>
        <w:t>(</w:t>
      </w:r>
      <w:r w:rsidR="006179DD">
        <w:rPr>
          <w:rFonts w:ascii="Times New Roman" w:hAnsi="Times New Roman" w:cs="Times New Roman"/>
          <w:b/>
          <w:bCs/>
          <w:sz w:val="24"/>
          <w:szCs w:val="24"/>
        </w:rPr>
        <w:t>6</w:t>
      </w:r>
      <w:r w:rsidRPr="007F426F">
        <w:rPr>
          <w:rFonts w:ascii="Times New Roman" w:hAnsi="Times New Roman" w:cs="Times New Roman"/>
          <w:b/>
          <w:bCs/>
          <w:sz w:val="24"/>
          <w:szCs w:val="24"/>
        </w:rPr>
        <w:t>) Applicants’ Use of Impoundment Storage</w:t>
      </w:r>
      <w:bookmarkEnd w:id="13"/>
      <w:r w:rsidRPr="007F426F">
        <w:rPr>
          <w:rFonts w:ascii="Times New Roman" w:hAnsi="Times New Roman" w:cs="Times New Roman"/>
          <w:b/>
          <w:bCs/>
          <w:sz w:val="24"/>
          <w:szCs w:val="24"/>
        </w:rPr>
        <w:t xml:space="preserve"> Capacity</w:t>
      </w:r>
      <w:bookmarkEnd w:id="14"/>
    </w:p>
    <w:p w14:paraId="592B86E3" w14:textId="77777777" w:rsidR="00C67488" w:rsidRPr="00C67488" w:rsidRDefault="00C67488" w:rsidP="00C67488">
      <w:pPr>
        <w:spacing w:after="0" w:line="240" w:lineRule="auto"/>
        <w:contextualSpacing/>
        <w:rPr>
          <w:rFonts w:ascii="Times New Roman" w:hAnsi="Times New Roman" w:cs="Times New Roman"/>
          <w:sz w:val="24"/>
          <w:szCs w:val="24"/>
        </w:rPr>
      </w:pPr>
      <w:r w:rsidRPr="00C67488">
        <w:rPr>
          <w:rFonts w:ascii="Times New Roman" w:hAnsi="Times New Roman" w:cs="Times New Roman"/>
          <w:sz w:val="24"/>
          <w:szCs w:val="24"/>
        </w:rPr>
        <w:lastRenderedPageBreak/>
        <w:t>This criterion is not applicable, as the petitioners do not own, manage, or maintain a water supply impoundment.</w:t>
      </w:r>
    </w:p>
    <w:p w14:paraId="75E28AF4" w14:textId="77777777" w:rsidR="005268CE" w:rsidRDefault="005268CE" w:rsidP="00887FA5">
      <w:pPr>
        <w:spacing w:after="0" w:line="240" w:lineRule="auto"/>
        <w:contextualSpacing/>
        <w:rPr>
          <w:rFonts w:ascii="Times New Roman" w:hAnsi="Times New Roman" w:cs="Times New Roman"/>
          <w:sz w:val="24"/>
          <w:szCs w:val="24"/>
        </w:rPr>
      </w:pPr>
    </w:p>
    <w:p w14:paraId="0EF9A057" w14:textId="77777777" w:rsidR="005268CE" w:rsidRPr="005268CE" w:rsidRDefault="005268CE" w:rsidP="005268CE">
      <w:pPr>
        <w:spacing w:after="0" w:line="240" w:lineRule="auto"/>
        <w:contextualSpacing/>
        <w:rPr>
          <w:rFonts w:ascii="Times New Roman" w:hAnsi="Times New Roman" w:cs="Times New Roman"/>
          <w:b/>
          <w:bCs/>
          <w:sz w:val="24"/>
          <w:szCs w:val="24"/>
        </w:rPr>
      </w:pPr>
      <w:bookmarkStart w:id="15" w:name="_Toc152550397"/>
      <w:bookmarkStart w:id="16" w:name="_Toc153359313"/>
      <w:r w:rsidRPr="005268CE">
        <w:rPr>
          <w:rFonts w:ascii="Times New Roman" w:hAnsi="Times New Roman" w:cs="Times New Roman"/>
          <w:b/>
          <w:bCs/>
          <w:sz w:val="24"/>
          <w:szCs w:val="24"/>
        </w:rPr>
        <w:t>(</w:t>
      </w:r>
      <w:r w:rsidR="006179DD">
        <w:rPr>
          <w:rFonts w:ascii="Times New Roman" w:hAnsi="Times New Roman" w:cs="Times New Roman"/>
          <w:b/>
          <w:bCs/>
          <w:sz w:val="24"/>
          <w:szCs w:val="24"/>
        </w:rPr>
        <w:t>7</w:t>
      </w:r>
      <w:r w:rsidRPr="005268CE">
        <w:rPr>
          <w:rFonts w:ascii="Times New Roman" w:hAnsi="Times New Roman" w:cs="Times New Roman"/>
          <w:b/>
          <w:bCs/>
          <w:sz w:val="24"/>
          <w:szCs w:val="24"/>
        </w:rPr>
        <w:t>) Purposes of Any US Army Corps of Engineers</w:t>
      </w:r>
      <w:bookmarkEnd w:id="15"/>
      <w:r w:rsidRPr="005268CE">
        <w:rPr>
          <w:rFonts w:ascii="Times New Roman" w:hAnsi="Times New Roman" w:cs="Times New Roman"/>
          <w:b/>
          <w:bCs/>
          <w:sz w:val="24"/>
          <w:szCs w:val="24"/>
        </w:rPr>
        <w:t xml:space="preserve"> Multi-Purpose Reservoir Relevant to the Petition</w:t>
      </w:r>
      <w:bookmarkEnd w:id="16"/>
    </w:p>
    <w:p w14:paraId="1988DA16" w14:textId="77777777" w:rsidR="005268CE" w:rsidRPr="005268CE" w:rsidRDefault="005268CE" w:rsidP="005268CE">
      <w:pPr>
        <w:spacing w:after="0" w:line="240" w:lineRule="auto"/>
        <w:contextualSpacing/>
        <w:rPr>
          <w:rFonts w:ascii="Times New Roman" w:hAnsi="Times New Roman" w:cs="Times New Roman"/>
          <w:sz w:val="24"/>
          <w:szCs w:val="24"/>
        </w:rPr>
      </w:pPr>
      <w:r w:rsidRPr="005268CE">
        <w:rPr>
          <w:rFonts w:ascii="Times New Roman" w:hAnsi="Times New Roman" w:cs="Times New Roman"/>
          <w:sz w:val="24"/>
          <w:szCs w:val="24"/>
        </w:rPr>
        <w:t xml:space="preserve">Jordan Lake was </w:t>
      </w:r>
      <w:r>
        <w:rPr>
          <w:rFonts w:ascii="Times New Roman" w:hAnsi="Times New Roman" w:cs="Times New Roman"/>
          <w:sz w:val="24"/>
          <w:szCs w:val="24"/>
        </w:rPr>
        <w:t>constructed</w:t>
      </w:r>
      <w:r w:rsidRPr="005268CE">
        <w:rPr>
          <w:rFonts w:ascii="Times New Roman" w:hAnsi="Times New Roman" w:cs="Times New Roman"/>
          <w:sz w:val="24"/>
          <w:szCs w:val="24"/>
        </w:rPr>
        <w:t xml:space="preserve"> to provide flood control and water supply, but it must also meet multiple objectives including low</w:t>
      </w:r>
      <w:r w:rsidR="00183FD7">
        <w:rPr>
          <w:rFonts w:ascii="Times New Roman" w:hAnsi="Times New Roman" w:cs="Times New Roman"/>
          <w:sz w:val="24"/>
          <w:szCs w:val="24"/>
        </w:rPr>
        <w:t>-</w:t>
      </w:r>
      <w:r w:rsidRPr="005268CE">
        <w:rPr>
          <w:rFonts w:ascii="Times New Roman" w:hAnsi="Times New Roman" w:cs="Times New Roman"/>
          <w:sz w:val="24"/>
          <w:szCs w:val="24"/>
        </w:rPr>
        <w:t xml:space="preserve">flow augmentation, fish propagation, and recreation. The lake </w:t>
      </w:r>
      <w:r>
        <w:rPr>
          <w:rFonts w:ascii="Times New Roman" w:hAnsi="Times New Roman" w:cs="Times New Roman"/>
          <w:sz w:val="24"/>
          <w:szCs w:val="24"/>
        </w:rPr>
        <w:t>is</w:t>
      </w:r>
      <w:r w:rsidRPr="005268CE">
        <w:rPr>
          <w:rFonts w:ascii="Times New Roman" w:hAnsi="Times New Roman" w:cs="Times New Roman"/>
          <w:sz w:val="24"/>
          <w:szCs w:val="24"/>
        </w:rPr>
        <w:t xml:space="preserve"> actively managed </w:t>
      </w:r>
      <w:r>
        <w:rPr>
          <w:rFonts w:ascii="Times New Roman" w:hAnsi="Times New Roman" w:cs="Times New Roman"/>
          <w:sz w:val="24"/>
          <w:szCs w:val="24"/>
        </w:rPr>
        <w:t xml:space="preserve">by the United States Army Corps of Engineers </w:t>
      </w:r>
      <w:r w:rsidRPr="005268CE">
        <w:rPr>
          <w:rFonts w:ascii="Times New Roman" w:hAnsi="Times New Roman" w:cs="Times New Roman"/>
          <w:sz w:val="24"/>
          <w:szCs w:val="24"/>
        </w:rPr>
        <w:t xml:space="preserve">to meet these different objectives.  </w:t>
      </w:r>
    </w:p>
    <w:p w14:paraId="3223457A" w14:textId="77777777" w:rsidR="005268CE" w:rsidRPr="005268CE" w:rsidRDefault="005268CE" w:rsidP="005268CE">
      <w:pPr>
        <w:spacing w:after="0" w:line="240" w:lineRule="auto"/>
        <w:contextualSpacing/>
        <w:rPr>
          <w:rFonts w:ascii="Times New Roman" w:hAnsi="Times New Roman" w:cs="Times New Roman"/>
          <w:sz w:val="24"/>
          <w:szCs w:val="24"/>
        </w:rPr>
      </w:pPr>
    </w:p>
    <w:p w14:paraId="0E2D17BD" w14:textId="77777777" w:rsidR="005268CE" w:rsidRPr="005268CE" w:rsidRDefault="005268CE" w:rsidP="005268CE">
      <w:pPr>
        <w:spacing w:after="0" w:line="240" w:lineRule="auto"/>
        <w:contextualSpacing/>
        <w:rPr>
          <w:rFonts w:ascii="Times New Roman" w:hAnsi="Times New Roman" w:cs="Times New Roman"/>
          <w:sz w:val="24"/>
          <w:szCs w:val="24"/>
        </w:rPr>
      </w:pPr>
      <w:r w:rsidRPr="005268CE">
        <w:rPr>
          <w:rFonts w:ascii="Times New Roman" w:hAnsi="Times New Roman" w:cs="Times New Roman"/>
          <w:sz w:val="24"/>
          <w:szCs w:val="24"/>
        </w:rPr>
        <w:t xml:space="preserve">Water in Jordan Lake </w:t>
      </w:r>
      <w:proofErr w:type="gramStart"/>
      <w:r w:rsidRPr="005268CE">
        <w:rPr>
          <w:rFonts w:ascii="Times New Roman" w:hAnsi="Times New Roman" w:cs="Times New Roman"/>
          <w:sz w:val="24"/>
          <w:szCs w:val="24"/>
        </w:rPr>
        <w:t>is considered to be</w:t>
      </w:r>
      <w:proofErr w:type="gramEnd"/>
      <w:r w:rsidRPr="005268CE">
        <w:rPr>
          <w:rFonts w:ascii="Times New Roman" w:hAnsi="Times New Roman" w:cs="Times New Roman"/>
          <w:sz w:val="24"/>
          <w:szCs w:val="24"/>
        </w:rPr>
        <w:t xml:space="preserve"> in one of three storage pools: flood control storage, conservation storage, and sediment storage. The conservation storage pool is further split into a water supply pool and a low-flow augmentation, or water quality pool. To support aquatic life and other downstream uses, flows in the Cape Fear River are augmented by releases from the Jordan Lake Dam. These flows come from the water quality pool; when full, the water quality pool contains approximately 94,600 acre-feet of water. </w:t>
      </w:r>
    </w:p>
    <w:p w14:paraId="72F46CE6" w14:textId="77777777" w:rsidR="005268CE" w:rsidRPr="005268CE" w:rsidRDefault="005268CE" w:rsidP="005268CE">
      <w:pPr>
        <w:spacing w:after="0" w:line="240" w:lineRule="auto"/>
        <w:contextualSpacing/>
        <w:rPr>
          <w:rFonts w:ascii="Times New Roman" w:hAnsi="Times New Roman" w:cs="Times New Roman"/>
          <w:sz w:val="24"/>
          <w:szCs w:val="24"/>
        </w:rPr>
      </w:pPr>
    </w:p>
    <w:p w14:paraId="26029916" w14:textId="77777777" w:rsidR="005268CE" w:rsidRPr="005268CE" w:rsidRDefault="005268CE" w:rsidP="005268CE">
      <w:pPr>
        <w:spacing w:after="0" w:line="240" w:lineRule="auto"/>
        <w:contextualSpacing/>
        <w:rPr>
          <w:rFonts w:ascii="Times New Roman" w:hAnsi="Times New Roman" w:cs="Times New Roman"/>
          <w:sz w:val="24"/>
          <w:szCs w:val="24"/>
        </w:rPr>
      </w:pPr>
      <w:r w:rsidRPr="005268CE">
        <w:rPr>
          <w:rFonts w:ascii="Times New Roman" w:hAnsi="Times New Roman" w:cs="Times New Roman"/>
          <w:sz w:val="24"/>
          <w:szCs w:val="24"/>
        </w:rPr>
        <w:t xml:space="preserve">Water supply withdrawals for permitted users come from the water supply pool.  The water supply pool contains approximately 45,800 acre-feet of water and is estimated to yield approximately 100 </w:t>
      </w:r>
      <w:r w:rsidR="009F1A7C">
        <w:rPr>
          <w:rFonts w:ascii="Times New Roman" w:hAnsi="Times New Roman" w:cs="Times New Roman"/>
          <w:sz w:val="24"/>
          <w:szCs w:val="24"/>
        </w:rPr>
        <w:t>MGD</w:t>
      </w:r>
      <w:r w:rsidRPr="005268CE">
        <w:rPr>
          <w:rFonts w:ascii="Times New Roman" w:hAnsi="Times New Roman" w:cs="Times New Roman"/>
          <w:sz w:val="24"/>
          <w:szCs w:val="24"/>
        </w:rPr>
        <w:t>, of which 3</w:t>
      </w:r>
      <w:r w:rsidR="00C3171B">
        <w:rPr>
          <w:rFonts w:ascii="Times New Roman" w:hAnsi="Times New Roman" w:cs="Times New Roman"/>
          <w:sz w:val="24"/>
          <w:szCs w:val="24"/>
        </w:rPr>
        <w:t>9</w:t>
      </w:r>
      <w:r w:rsidRPr="005268CE">
        <w:rPr>
          <w:rFonts w:ascii="Times New Roman" w:hAnsi="Times New Roman" w:cs="Times New Roman"/>
          <w:sz w:val="24"/>
          <w:szCs w:val="24"/>
        </w:rPr>
        <w:t xml:space="preserve"> percent is allocated to the Towns of Apex</w:t>
      </w:r>
      <w:r w:rsidR="00BA21D3">
        <w:rPr>
          <w:rFonts w:ascii="Times New Roman" w:hAnsi="Times New Roman" w:cs="Times New Roman"/>
          <w:sz w:val="24"/>
          <w:szCs w:val="24"/>
        </w:rPr>
        <w:t>,</w:t>
      </w:r>
      <w:r w:rsidRPr="005268CE">
        <w:rPr>
          <w:rFonts w:ascii="Times New Roman" w:hAnsi="Times New Roman" w:cs="Times New Roman"/>
          <w:sz w:val="24"/>
          <w:szCs w:val="24"/>
        </w:rPr>
        <w:t xml:space="preserve"> Cary</w:t>
      </w:r>
      <w:r w:rsidR="00BA21D3">
        <w:rPr>
          <w:rFonts w:ascii="Times New Roman" w:hAnsi="Times New Roman" w:cs="Times New Roman"/>
          <w:sz w:val="24"/>
          <w:szCs w:val="24"/>
        </w:rPr>
        <w:t xml:space="preserve">, </w:t>
      </w:r>
      <w:proofErr w:type="gramStart"/>
      <w:r w:rsidR="00BA21D3">
        <w:rPr>
          <w:rFonts w:ascii="Times New Roman" w:hAnsi="Times New Roman" w:cs="Times New Roman"/>
          <w:sz w:val="24"/>
          <w:szCs w:val="24"/>
        </w:rPr>
        <w:t>Morrisville</w:t>
      </w:r>
      <w:proofErr w:type="gramEnd"/>
      <w:r w:rsidR="00BA21D3">
        <w:rPr>
          <w:rFonts w:ascii="Times New Roman" w:hAnsi="Times New Roman" w:cs="Times New Roman"/>
          <w:sz w:val="24"/>
          <w:szCs w:val="24"/>
        </w:rPr>
        <w:t xml:space="preserve"> and Wake County</w:t>
      </w:r>
      <w:r w:rsidRPr="005268CE">
        <w:rPr>
          <w:rFonts w:ascii="Times New Roman" w:hAnsi="Times New Roman" w:cs="Times New Roman"/>
          <w:sz w:val="24"/>
          <w:szCs w:val="24"/>
        </w:rPr>
        <w:t xml:space="preserve">.  However, a separate reallocation process is currently underway </w:t>
      </w:r>
      <w:proofErr w:type="gramStart"/>
      <w:r w:rsidRPr="005268CE">
        <w:rPr>
          <w:rFonts w:ascii="Times New Roman" w:hAnsi="Times New Roman" w:cs="Times New Roman"/>
          <w:sz w:val="24"/>
          <w:szCs w:val="24"/>
        </w:rPr>
        <w:t>in order to</w:t>
      </w:r>
      <w:proofErr w:type="gramEnd"/>
      <w:r w:rsidRPr="005268CE">
        <w:rPr>
          <w:rFonts w:ascii="Times New Roman" w:hAnsi="Times New Roman" w:cs="Times New Roman"/>
          <w:sz w:val="24"/>
          <w:szCs w:val="24"/>
        </w:rPr>
        <w:t xml:space="preserve"> meet anticipated future water supply needs through 2045 for all municipalities which rely on Jordan Lake for their water supply.</w:t>
      </w:r>
    </w:p>
    <w:p w14:paraId="4CB79943" w14:textId="77777777" w:rsidR="005268CE" w:rsidRPr="00887FA5" w:rsidRDefault="005268CE" w:rsidP="00887FA5">
      <w:pPr>
        <w:spacing w:after="0" w:line="240" w:lineRule="auto"/>
        <w:contextualSpacing/>
        <w:rPr>
          <w:rFonts w:ascii="Times New Roman" w:hAnsi="Times New Roman" w:cs="Times New Roman"/>
          <w:sz w:val="24"/>
          <w:szCs w:val="24"/>
        </w:rPr>
      </w:pPr>
    </w:p>
    <w:p w14:paraId="3A7F88FD" w14:textId="77777777" w:rsidR="000B5A25" w:rsidRPr="004E07CB" w:rsidRDefault="000B5A25" w:rsidP="000B5A25">
      <w:pPr>
        <w:spacing w:after="0" w:line="240" w:lineRule="auto"/>
        <w:contextualSpacing/>
        <w:rPr>
          <w:rFonts w:ascii="Times New Roman" w:hAnsi="Times New Roman" w:cs="Times New Roman"/>
          <w:sz w:val="24"/>
          <w:szCs w:val="24"/>
        </w:rPr>
      </w:pPr>
      <w:r w:rsidRPr="004E07CB">
        <w:rPr>
          <w:rFonts w:ascii="Times New Roman" w:hAnsi="Times New Roman" w:cs="Times New Roman"/>
          <w:sz w:val="24"/>
          <w:szCs w:val="24"/>
        </w:rPr>
        <w:t xml:space="preserve">Table 2 depicts anticipated impacts to lake levels </w:t>
      </w:r>
      <w:proofErr w:type="gramStart"/>
      <w:r w:rsidRPr="004E07CB">
        <w:rPr>
          <w:rFonts w:ascii="Times New Roman" w:hAnsi="Times New Roman" w:cs="Times New Roman"/>
          <w:sz w:val="24"/>
          <w:szCs w:val="24"/>
        </w:rPr>
        <w:t>as a result of</w:t>
      </w:r>
      <w:proofErr w:type="gramEnd"/>
      <w:r w:rsidRPr="004E07CB">
        <w:rPr>
          <w:rFonts w:ascii="Times New Roman" w:hAnsi="Times New Roman" w:cs="Times New Roman"/>
          <w:sz w:val="24"/>
          <w:szCs w:val="24"/>
        </w:rPr>
        <w:t xml:space="preserve"> the proposed IBT, particularly the percentages of time levels are predicted to drop below 210 msl for boat access to the lake. These are presented during both year-round and during prime recreational boating season (Memorial Day to Labor Day). As Table 2 </w:t>
      </w:r>
      <w:r w:rsidR="003B3CD3">
        <w:rPr>
          <w:rFonts w:ascii="Times New Roman" w:hAnsi="Times New Roman" w:cs="Times New Roman"/>
          <w:sz w:val="24"/>
          <w:szCs w:val="24"/>
        </w:rPr>
        <w:t>shows</w:t>
      </w:r>
      <w:r w:rsidRPr="004E07CB">
        <w:rPr>
          <w:rFonts w:ascii="Times New Roman" w:hAnsi="Times New Roman" w:cs="Times New Roman"/>
          <w:sz w:val="24"/>
          <w:szCs w:val="24"/>
        </w:rPr>
        <w:t xml:space="preserve">, the proposed IBT increase will result in </w:t>
      </w:r>
      <w:r>
        <w:rPr>
          <w:rFonts w:ascii="Times New Roman" w:hAnsi="Times New Roman" w:cs="Times New Roman"/>
          <w:sz w:val="24"/>
          <w:szCs w:val="24"/>
        </w:rPr>
        <w:t xml:space="preserve">a </w:t>
      </w:r>
      <w:r w:rsidRPr="004E07CB">
        <w:rPr>
          <w:rFonts w:ascii="Times New Roman" w:hAnsi="Times New Roman" w:cs="Times New Roman"/>
          <w:sz w:val="24"/>
          <w:szCs w:val="24"/>
        </w:rPr>
        <w:t>0.4%</w:t>
      </w:r>
      <w:r>
        <w:rPr>
          <w:rFonts w:ascii="Times New Roman" w:hAnsi="Times New Roman" w:cs="Times New Roman"/>
          <w:sz w:val="24"/>
          <w:szCs w:val="24"/>
        </w:rPr>
        <w:t xml:space="preserve"> increase in time year-round when the lake will drop below 210 msl, over the period of record (January 1930-September 2011).  </w:t>
      </w:r>
      <w:r w:rsidR="003B3CD3">
        <w:rPr>
          <w:rFonts w:ascii="Times New Roman" w:hAnsi="Times New Roman" w:cs="Times New Roman"/>
          <w:sz w:val="24"/>
          <w:szCs w:val="24"/>
        </w:rPr>
        <w:t>T</w:t>
      </w:r>
      <w:r>
        <w:rPr>
          <w:rFonts w:ascii="Times New Roman" w:hAnsi="Times New Roman" w:cs="Times New Roman"/>
          <w:sz w:val="24"/>
          <w:szCs w:val="24"/>
        </w:rPr>
        <w:t xml:space="preserve">he proposed IBT increase will result in a 0.1% increase in time during the prime boating season when </w:t>
      </w:r>
      <w:r w:rsidR="003B3CD3">
        <w:rPr>
          <w:rFonts w:ascii="Times New Roman" w:hAnsi="Times New Roman" w:cs="Times New Roman"/>
          <w:sz w:val="24"/>
          <w:szCs w:val="24"/>
        </w:rPr>
        <w:t>the lake will drop below 210 msl, over the period of record.</w:t>
      </w:r>
    </w:p>
    <w:p w14:paraId="49B73018" w14:textId="77777777" w:rsidR="000B5A25" w:rsidRPr="000B5A25" w:rsidRDefault="000B5A25" w:rsidP="000B5A25">
      <w:pPr>
        <w:spacing w:after="0" w:line="240" w:lineRule="auto"/>
        <w:contextualSpacing/>
        <w:rPr>
          <w:rFonts w:ascii="Times New Roman" w:hAnsi="Times New Roman" w:cs="Times New Roman"/>
          <w:i/>
          <w:sz w:val="24"/>
          <w:szCs w:val="24"/>
        </w:rPr>
      </w:pPr>
    </w:p>
    <w:p w14:paraId="13BCEEED" w14:textId="77777777" w:rsidR="000B5A25" w:rsidRPr="000B5A25" w:rsidRDefault="000B5A25" w:rsidP="000B5A25">
      <w:pPr>
        <w:spacing w:after="0" w:line="240" w:lineRule="auto"/>
        <w:contextualSpacing/>
        <w:rPr>
          <w:rFonts w:ascii="Times New Roman" w:hAnsi="Times New Roman" w:cs="Times New Roman"/>
          <w:i/>
          <w:sz w:val="24"/>
          <w:szCs w:val="24"/>
        </w:rPr>
      </w:pPr>
      <w:r w:rsidRPr="000B5A25">
        <w:rPr>
          <w:rFonts w:ascii="Times New Roman" w:hAnsi="Times New Roman" w:cs="Times New Roman"/>
          <w:i/>
          <w:sz w:val="24"/>
          <w:szCs w:val="24"/>
        </w:rPr>
        <w:t>The Commission finds that the transfer and allocations are consistent with the federally authorized project purposes of Jordan Lake. Also, the Commission finds that to be consistent with the use of Jordan Lake as a regional water supply the Towns of Cary and Apex are required to provide access through their intake with other Jordan Lake Water Allocation Holders that need access to their allocation. The cost associated with getting any necessary permits, engineering design, and associated construction costs are not the responsibility of the Towns of Cary and Apex.</w:t>
      </w:r>
    </w:p>
    <w:p w14:paraId="5226A448" w14:textId="77777777" w:rsidR="008D4E44" w:rsidRDefault="008D4E44" w:rsidP="00D945EA">
      <w:pPr>
        <w:spacing w:after="0" w:line="240" w:lineRule="auto"/>
        <w:contextualSpacing/>
        <w:rPr>
          <w:rFonts w:ascii="Times New Roman" w:hAnsi="Times New Roman" w:cs="Times New Roman"/>
          <w:sz w:val="24"/>
          <w:szCs w:val="24"/>
        </w:rPr>
      </w:pPr>
    </w:p>
    <w:p w14:paraId="2F79421D" w14:textId="77777777" w:rsidR="00C3171B" w:rsidRDefault="00C3171B" w:rsidP="00D945E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w:t>
      </w:r>
      <w:r w:rsidR="006179DD">
        <w:rPr>
          <w:rFonts w:ascii="Times New Roman" w:hAnsi="Times New Roman" w:cs="Times New Roman"/>
          <w:b/>
          <w:sz w:val="24"/>
          <w:szCs w:val="24"/>
        </w:rPr>
        <w:t>8</w:t>
      </w:r>
      <w:r>
        <w:rPr>
          <w:rFonts w:ascii="Times New Roman" w:hAnsi="Times New Roman" w:cs="Times New Roman"/>
          <w:b/>
          <w:sz w:val="24"/>
          <w:szCs w:val="24"/>
        </w:rPr>
        <w:t xml:space="preserve">) </w:t>
      </w:r>
      <w:r w:rsidRPr="00C3171B">
        <w:rPr>
          <w:rFonts w:ascii="Times New Roman" w:hAnsi="Times New Roman" w:cs="Times New Roman"/>
          <w:b/>
          <w:sz w:val="24"/>
          <w:szCs w:val="24"/>
        </w:rPr>
        <w:t xml:space="preserve">Whether applicants’ service area </w:t>
      </w:r>
      <w:proofErr w:type="gramStart"/>
      <w:r w:rsidRPr="00C3171B">
        <w:rPr>
          <w:rFonts w:ascii="Times New Roman" w:hAnsi="Times New Roman" w:cs="Times New Roman"/>
          <w:b/>
          <w:sz w:val="24"/>
          <w:szCs w:val="24"/>
        </w:rPr>
        <w:t>is located in</w:t>
      </w:r>
      <w:proofErr w:type="gramEnd"/>
      <w:r w:rsidRPr="00C3171B">
        <w:rPr>
          <w:rFonts w:ascii="Times New Roman" w:hAnsi="Times New Roman" w:cs="Times New Roman"/>
          <w:b/>
          <w:sz w:val="24"/>
          <w:szCs w:val="24"/>
        </w:rPr>
        <w:t xml:space="preserve"> both the source and receiving river basins</w:t>
      </w:r>
    </w:p>
    <w:p w14:paraId="59EA11D9" w14:textId="77777777" w:rsidR="00924A38" w:rsidRPr="00924A38" w:rsidRDefault="00924A38" w:rsidP="00924A38">
      <w:pPr>
        <w:spacing w:after="0" w:line="240" w:lineRule="auto"/>
        <w:contextualSpacing/>
        <w:rPr>
          <w:rFonts w:ascii="Times New Roman" w:hAnsi="Times New Roman" w:cs="Times New Roman"/>
          <w:sz w:val="24"/>
          <w:szCs w:val="24"/>
        </w:rPr>
      </w:pPr>
      <w:r w:rsidRPr="00924A38">
        <w:rPr>
          <w:rFonts w:ascii="Times New Roman" w:hAnsi="Times New Roman" w:cs="Times New Roman"/>
          <w:sz w:val="24"/>
          <w:szCs w:val="24"/>
        </w:rPr>
        <w:t>The service areas for the Towns and the County are within the Haw River IBT basin (source), the Cape Fear River IBT basin (receiving), and the Neuse River IBT basin (receiving)</w:t>
      </w:r>
      <w:r>
        <w:rPr>
          <w:rFonts w:ascii="Times New Roman" w:hAnsi="Times New Roman" w:cs="Times New Roman"/>
          <w:sz w:val="24"/>
          <w:szCs w:val="24"/>
        </w:rPr>
        <w:t xml:space="preserve">, as illustrated </w:t>
      </w:r>
      <w:r>
        <w:rPr>
          <w:rFonts w:ascii="Times New Roman" w:hAnsi="Times New Roman" w:cs="Times New Roman"/>
          <w:sz w:val="24"/>
          <w:szCs w:val="24"/>
        </w:rPr>
        <w:lastRenderedPageBreak/>
        <w:t>in Figure 1</w:t>
      </w:r>
      <w:r w:rsidRPr="00924A38">
        <w:rPr>
          <w:rFonts w:ascii="Times New Roman" w:hAnsi="Times New Roman" w:cs="Times New Roman"/>
          <w:sz w:val="24"/>
          <w:szCs w:val="24"/>
        </w:rPr>
        <w:t>. The percentages of the Towns and County’s service areas land area within eac</w:t>
      </w:r>
      <w:r w:rsidR="00DD2ED2">
        <w:rPr>
          <w:rFonts w:ascii="Times New Roman" w:hAnsi="Times New Roman" w:cs="Times New Roman"/>
          <w:sz w:val="24"/>
          <w:szCs w:val="24"/>
        </w:rPr>
        <w:t>h IBT basin are presented</w:t>
      </w:r>
      <w:r w:rsidR="003B3CD3">
        <w:rPr>
          <w:rFonts w:ascii="Times New Roman" w:hAnsi="Times New Roman" w:cs="Times New Roman"/>
          <w:sz w:val="24"/>
          <w:szCs w:val="24"/>
        </w:rPr>
        <w:t xml:space="preserve"> in Table 4</w:t>
      </w:r>
      <w:r w:rsidR="00DD2ED2">
        <w:rPr>
          <w:rFonts w:ascii="Times New Roman" w:hAnsi="Times New Roman" w:cs="Times New Roman"/>
          <w:sz w:val="24"/>
          <w:szCs w:val="24"/>
        </w:rPr>
        <w:t>:</w:t>
      </w:r>
    </w:p>
    <w:p w14:paraId="03BB9E55" w14:textId="77777777" w:rsidR="00924A38" w:rsidRPr="004E07CB" w:rsidRDefault="00924A38" w:rsidP="004E07CB">
      <w:pPr>
        <w:spacing w:after="0" w:line="240" w:lineRule="auto"/>
        <w:ind w:left="360"/>
        <w:rPr>
          <w:rFonts w:ascii="Times New Roman" w:hAnsi="Times New Roman" w:cs="Times New Roman"/>
          <w:sz w:val="24"/>
          <w:szCs w:val="24"/>
        </w:rPr>
      </w:pPr>
      <w:r w:rsidRPr="004E07CB">
        <w:rPr>
          <w:rFonts w:ascii="Times New Roman" w:hAnsi="Times New Roman" w:cs="Times New Roman"/>
          <w:sz w:val="24"/>
          <w:szCs w:val="24"/>
        </w:rPr>
        <w:t>                  </w:t>
      </w:r>
    </w:p>
    <w:p w14:paraId="4FB5D6F4" w14:textId="77777777" w:rsidR="00924A38" w:rsidRDefault="00924A38" w:rsidP="00D945EA">
      <w:pPr>
        <w:spacing w:after="0" w:line="240" w:lineRule="auto"/>
        <w:contextualSpacing/>
        <w:rPr>
          <w:rFonts w:ascii="Times New Roman" w:hAnsi="Times New Roman" w:cs="Times New Roman"/>
          <w:sz w:val="24"/>
          <w:szCs w:val="24"/>
        </w:rPr>
      </w:pPr>
    </w:p>
    <w:p w14:paraId="0E0431B3" w14:textId="77777777" w:rsidR="003B3CD3" w:rsidRDefault="003B3CD3" w:rsidP="003B3CD3">
      <w:pPr>
        <w:spacing w:after="0" w:line="240" w:lineRule="auto"/>
        <w:contextualSpacing/>
        <w:rPr>
          <w:rFonts w:ascii="Times New Roman" w:hAnsi="Times New Roman" w:cs="Times New Roman"/>
          <w:b/>
          <w:sz w:val="24"/>
          <w:szCs w:val="24"/>
        </w:rPr>
      </w:pPr>
      <w:r w:rsidRPr="00DC1595">
        <w:rPr>
          <w:rFonts w:ascii="Times New Roman" w:hAnsi="Times New Roman" w:cs="Times New Roman"/>
          <w:b/>
          <w:sz w:val="24"/>
          <w:szCs w:val="24"/>
        </w:rPr>
        <w:t>Table 4. Percentage of Service Area in Individual River Basins</w:t>
      </w:r>
    </w:p>
    <w:p w14:paraId="51F35873" w14:textId="77777777" w:rsidR="008B4C0C" w:rsidRDefault="008B4C0C" w:rsidP="003B3CD3">
      <w:pPr>
        <w:spacing w:after="0" w:line="240" w:lineRule="auto"/>
        <w:contextualSpacing/>
        <w:rPr>
          <w:rFonts w:ascii="Times New Roman" w:hAnsi="Times New Roman" w:cs="Times New Roman"/>
          <w:b/>
          <w:sz w:val="24"/>
          <w:szCs w:val="24"/>
        </w:rPr>
      </w:pPr>
    </w:p>
    <w:tbl>
      <w:tblPr>
        <w:tblW w:w="6520" w:type="dxa"/>
        <w:tblInd w:w="405" w:type="dxa"/>
        <w:tblCellMar>
          <w:left w:w="0" w:type="dxa"/>
          <w:right w:w="0" w:type="dxa"/>
        </w:tblCellMar>
        <w:tblLook w:val="04A0" w:firstRow="1" w:lastRow="0" w:firstColumn="1" w:lastColumn="0" w:noHBand="0" w:noVBand="1"/>
      </w:tblPr>
      <w:tblGrid>
        <w:gridCol w:w="2560"/>
        <w:gridCol w:w="1320"/>
        <w:gridCol w:w="1320"/>
        <w:gridCol w:w="1320"/>
      </w:tblGrid>
      <w:tr w:rsidR="008B4C0C" w:rsidRPr="008B4C0C" w14:paraId="422A5294" w14:textId="77777777" w:rsidTr="00FE3FC9">
        <w:trPr>
          <w:trHeight w:val="259"/>
        </w:trPr>
        <w:tc>
          <w:tcPr>
            <w:tcW w:w="2560" w:type="dxa"/>
            <w:vMerge w:val="restart"/>
            <w:tcBorders>
              <w:top w:val="single" w:sz="8" w:space="0" w:color="auto"/>
              <w:left w:val="single" w:sz="8" w:space="0" w:color="auto"/>
              <w:bottom w:val="single" w:sz="8" w:space="0" w:color="FFFFFF"/>
              <w:right w:val="nil"/>
            </w:tcBorders>
            <w:shd w:val="clear" w:color="auto" w:fill="C0C0C0"/>
            <w:tcMar>
              <w:top w:w="0" w:type="dxa"/>
              <w:left w:w="108" w:type="dxa"/>
              <w:bottom w:w="0" w:type="dxa"/>
              <w:right w:w="108" w:type="dxa"/>
            </w:tcMar>
            <w:vAlign w:val="center"/>
            <w:hideMark/>
          </w:tcPr>
          <w:p w14:paraId="7F9504FF" w14:textId="77777777" w:rsidR="008B4C0C" w:rsidRPr="008B4C0C" w:rsidRDefault="008B4C0C" w:rsidP="008B4C0C">
            <w:pPr>
              <w:spacing w:after="0" w:line="240" w:lineRule="auto"/>
              <w:jc w:val="center"/>
              <w:rPr>
                <w:rFonts w:ascii="Calibri" w:eastAsia="Calibri" w:hAnsi="Calibri" w:cs="Times New Roman"/>
                <w:b/>
                <w:bCs/>
                <w:sz w:val="18"/>
                <w:szCs w:val="18"/>
              </w:rPr>
            </w:pPr>
            <w:r w:rsidRPr="008B4C0C">
              <w:rPr>
                <w:rFonts w:ascii="Calibri" w:eastAsia="Calibri" w:hAnsi="Calibri" w:cs="Times New Roman"/>
                <w:b/>
                <w:bCs/>
                <w:sz w:val="18"/>
                <w:szCs w:val="18"/>
              </w:rPr>
              <w:t>Municipality</w:t>
            </w:r>
          </w:p>
        </w:tc>
        <w:tc>
          <w:tcPr>
            <w:tcW w:w="3960" w:type="dxa"/>
            <w:gridSpan w:val="3"/>
            <w:tcBorders>
              <w:top w:val="single" w:sz="8" w:space="0" w:color="auto"/>
              <w:left w:val="single" w:sz="8" w:space="0" w:color="FFFFFF"/>
              <w:bottom w:val="single" w:sz="8" w:space="0" w:color="FFFFFF"/>
              <w:right w:val="single" w:sz="8" w:space="0" w:color="000000"/>
            </w:tcBorders>
            <w:shd w:val="clear" w:color="auto" w:fill="C0C0C0"/>
            <w:tcMar>
              <w:top w:w="0" w:type="dxa"/>
              <w:left w:w="108" w:type="dxa"/>
              <w:bottom w:w="0" w:type="dxa"/>
              <w:right w:w="108" w:type="dxa"/>
            </w:tcMar>
            <w:vAlign w:val="center"/>
            <w:hideMark/>
          </w:tcPr>
          <w:p w14:paraId="12EDA6F2" w14:textId="77777777" w:rsidR="008B4C0C" w:rsidRPr="008B4C0C" w:rsidRDefault="008B4C0C" w:rsidP="008B4C0C">
            <w:pPr>
              <w:spacing w:after="0" w:line="240" w:lineRule="auto"/>
              <w:jc w:val="center"/>
              <w:rPr>
                <w:rFonts w:ascii="Calibri" w:eastAsia="Calibri" w:hAnsi="Calibri" w:cs="Times New Roman"/>
                <w:b/>
                <w:bCs/>
                <w:sz w:val="18"/>
                <w:szCs w:val="18"/>
              </w:rPr>
            </w:pPr>
            <w:r w:rsidRPr="008B4C0C">
              <w:rPr>
                <w:rFonts w:ascii="Calibri" w:eastAsia="Calibri" w:hAnsi="Calibri" w:cs="Times New Roman"/>
                <w:b/>
                <w:bCs/>
                <w:sz w:val="18"/>
                <w:szCs w:val="18"/>
              </w:rPr>
              <w:t>River Basin</w:t>
            </w:r>
          </w:p>
        </w:tc>
      </w:tr>
      <w:tr w:rsidR="008B4C0C" w:rsidRPr="008B4C0C" w14:paraId="6C000C01" w14:textId="77777777" w:rsidTr="00FE3FC9">
        <w:trPr>
          <w:trHeight w:val="315"/>
        </w:trPr>
        <w:tc>
          <w:tcPr>
            <w:tcW w:w="0" w:type="auto"/>
            <w:vMerge/>
            <w:tcBorders>
              <w:top w:val="single" w:sz="8" w:space="0" w:color="auto"/>
              <w:left w:val="single" w:sz="8" w:space="0" w:color="auto"/>
              <w:bottom w:val="single" w:sz="8" w:space="0" w:color="FFFFFF"/>
              <w:right w:val="nil"/>
            </w:tcBorders>
            <w:vAlign w:val="center"/>
            <w:hideMark/>
          </w:tcPr>
          <w:p w14:paraId="6CAEC83C" w14:textId="77777777" w:rsidR="008B4C0C" w:rsidRPr="008B4C0C" w:rsidRDefault="008B4C0C" w:rsidP="008B4C0C">
            <w:pPr>
              <w:spacing w:after="0" w:line="240" w:lineRule="auto"/>
              <w:rPr>
                <w:rFonts w:ascii="Calibri" w:eastAsia="Calibri" w:hAnsi="Calibri" w:cs="Times New Roman"/>
                <w:b/>
                <w:bCs/>
                <w:sz w:val="18"/>
                <w:szCs w:val="18"/>
              </w:rPr>
            </w:pPr>
          </w:p>
        </w:tc>
        <w:tc>
          <w:tcPr>
            <w:tcW w:w="1320" w:type="dxa"/>
            <w:tcBorders>
              <w:top w:val="nil"/>
              <w:left w:val="single" w:sz="8" w:space="0" w:color="FFFFFF"/>
              <w:bottom w:val="single" w:sz="8" w:space="0" w:color="FFFFFF"/>
              <w:right w:val="nil"/>
            </w:tcBorders>
            <w:shd w:val="clear" w:color="auto" w:fill="C0C0C0"/>
            <w:tcMar>
              <w:top w:w="0" w:type="dxa"/>
              <w:left w:w="108" w:type="dxa"/>
              <w:bottom w:w="0" w:type="dxa"/>
              <w:right w:w="108" w:type="dxa"/>
            </w:tcMar>
            <w:vAlign w:val="center"/>
            <w:hideMark/>
          </w:tcPr>
          <w:p w14:paraId="0844A926" w14:textId="77777777" w:rsidR="008B4C0C" w:rsidRPr="008B4C0C" w:rsidRDefault="008B4C0C" w:rsidP="008B4C0C">
            <w:pPr>
              <w:spacing w:after="0" w:line="240" w:lineRule="auto"/>
              <w:jc w:val="center"/>
              <w:rPr>
                <w:rFonts w:ascii="Calibri" w:eastAsia="Calibri" w:hAnsi="Calibri" w:cs="Times New Roman"/>
                <w:b/>
                <w:bCs/>
                <w:sz w:val="18"/>
                <w:szCs w:val="18"/>
              </w:rPr>
            </w:pPr>
            <w:r w:rsidRPr="008B4C0C">
              <w:rPr>
                <w:rFonts w:ascii="Calibri" w:eastAsia="Calibri" w:hAnsi="Calibri" w:cs="Times New Roman"/>
                <w:b/>
                <w:bCs/>
                <w:sz w:val="18"/>
                <w:szCs w:val="18"/>
              </w:rPr>
              <w:t>Neuse</w:t>
            </w:r>
          </w:p>
        </w:tc>
        <w:tc>
          <w:tcPr>
            <w:tcW w:w="1320" w:type="dxa"/>
            <w:tcBorders>
              <w:top w:val="nil"/>
              <w:left w:val="nil"/>
              <w:bottom w:val="single" w:sz="8" w:space="0" w:color="FFFFFF"/>
              <w:right w:val="nil"/>
            </w:tcBorders>
            <w:shd w:val="clear" w:color="auto" w:fill="C0C0C0"/>
            <w:tcMar>
              <w:top w:w="0" w:type="dxa"/>
              <w:left w:w="108" w:type="dxa"/>
              <w:bottom w:w="0" w:type="dxa"/>
              <w:right w:w="108" w:type="dxa"/>
            </w:tcMar>
            <w:vAlign w:val="center"/>
            <w:hideMark/>
          </w:tcPr>
          <w:p w14:paraId="4D19DA51" w14:textId="77777777" w:rsidR="008B4C0C" w:rsidRPr="008B4C0C" w:rsidRDefault="008B4C0C" w:rsidP="008B4C0C">
            <w:pPr>
              <w:spacing w:after="0" w:line="240" w:lineRule="auto"/>
              <w:jc w:val="center"/>
              <w:rPr>
                <w:rFonts w:ascii="Calibri" w:eastAsia="Calibri" w:hAnsi="Calibri" w:cs="Times New Roman"/>
                <w:b/>
                <w:bCs/>
                <w:sz w:val="18"/>
                <w:szCs w:val="18"/>
              </w:rPr>
            </w:pPr>
            <w:r w:rsidRPr="008B4C0C">
              <w:rPr>
                <w:rFonts w:ascii="Calibri" w:eastAsia="Calibri" w:hAnsi="Calibri" w:cs="Times New Roman"/>
                <w:b/>
                <w:bCs/>
                <w:sz w:val="18"/>
                <w:szCs w:val="18"/>
              </w:rPr>
              <w:t>Haw</w:t>
            </w:r>
          </w:p>
        </w:tc>
        <w:tc>
          <w:tcPr>
            <w:tcW w:w="1320" w:type="dxa"/>
            <w:tcBorders>
              <w:top w:val="nil"/>
              <w:left w:val="nil"/>
              <w:bottom w:val="single" w:sz="8" w:space="0" w:color="FFFFFF"/>
              <w:right w:val="single" w:sz="8" w:space="0" w:color="auto"/>
            </w:tcBorders>
            <w:shd w:val="clear" w:color="auto" w:fill="C0C0C0"/>
            <w:tcMar>
              <w:top w:w="0" w:type="dxa"/>
              <w:left w:w="108" w:type="dxa"/>
              <w:bottom w:w="0" w:type="dxa"/>
              <w:right w:w="108" w:type="dxa"/>
            </w:tcMar>
            <w:vAlign w:val="center"/>
            <w:hideMark/>
          </w:tcPr>
          <w:p w14:paraId="73D92226" w14:textId="77777777" w:rsidR="008B4C0C" w:rsidRPr="008B4C0C" w:rsidRDefault="008B4C0C" w:rsidP="008B4C0C">
            <w:pPr>
              <w:spacing w:after="0" w:line="240" w:lineRule="auto"/>
              <w:jc w:val="center"/>
              <w:rPr>
                <w:rFonts w:ascii="Calibri" w:eastAsia="Calibri" w:hAnsi="Calibri" w:cs="Times New Roman"/>
                <w:b/>
                <w:bCs/>
                <w:sz w:val="18"/>
                <w:szCs w:val="18"/>
              </w:rPr>
            </w:pPr>
            <w:r w:rsidRPr="008B4C0C">
              <w:rPr>
                <w:rFonts w:ascii="Calibri" w:eastAsia="Calibri" w:hAnsi="Calibri" w:cs="Times New Roman"/>
                <w:b/>
                <w:bCs/>
                <w:sz w:val="18"/>
                <w:szCs w:val="18"/>
              </w:rPr>
              <w:t>Cape Fear</w:t>
            </w:r>
          </w:p>
        </w:tc>
      </w:tr>
      <w:tr w:rsidR="008B4C0C" w:rsidRPr="008B4C0C" w14:paraId="1781B26E" w14:textId="77777777" w:rsidTr="00FE3FC9">
        <w:trPr>
          <w:trHeight w:val="315"/>
        </w:trPr>
        <w:tc>
          <w:tcPr>
            <w:tcW w:w="2560" w:type="dxa"/>
            <w:tcBorders>
              <w:top w:val="nil"/>
              <w:left w:val="single" w:sz="8" w:space="0" w:color="auto"/>
              <w:bottom w:val="nil"/>
              <w:right w:val="nil"/>
            </w:tcBorders>
            <w:tcMar>
              <w:top w:w="0" w:type="dxa"/>
              <w:left w:w="108" w:type="dxa"/>
              <w:bottom w:w="0" w:type="dxa"/>
              <w:right w:w="108" w:type="dxa"/>
            </w:tcMar>
            <w:hideMark/>
          </w:tcPr>
          <w:p w14:paraId="58D97A79" w14:textId="77777777" w:rsidR="008B4C0C" w:rsidRPr="008B4C0C" w:rsidRDefault="008B4C0C" w:rsidP="008B4C0C">
            <w:pPr>
              <w:spacing w:after="0" w:line="240" w:lineRule="auto"/>
              <w:rPr>
                <w:rFonts w:ascii="Calibri" w:eastAsia="Calibri" w:hAnsi="Calibri" w:cs="Times New Roman"/>
                <w:sz w:val="20"/>
                <w:szCs w:val="20"/>
              </w:rPr>
            </w:pPr>
            <w:r w:rsidRPr="008B4C0C">
              <w:rPr>
                <w:rFonts w:ascii="Calibri" w:eastAsia="Calibri" w:hAnsi="Calibri" w:cs="Times New Roman"/>
                <w:sz w:val="20"/>
                <w:szCs w:val="20"/>
              </w:rPr>
              <w:t>Town of Cary</w:t>
            </w:r>
          </w:p>
        </w:tc>
        <w:tc>
          <w:tcPr>
            <w:tcW w:w="1320" w:type="dxa"/>
            <w:tcMar>
              <w:top w:w="0" w:type="dxa"/>
              <w:left w:w="108" w:type="dxa"/>
              <w:bottom w:w="0" w:type="dxa"/>
              <w:right w:w="108" w:type="dxa"/>
            </w:tcMar>
            <w:hideMark/>
          </w:tcPr>
          <w:p w14:paraId="2A3C5464"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71%</w:t>
            </w:r>
          </w:p>
        </w:tc>
        <w:tc>
          <w:tcPr>
            <w:tcW w:w="1320" w:type="dxa"/>
            <w:tcMar>
              <w:top w:w="0" w:type="dxa"/>
              <w:left w:w="108" w:type="dxa"/>
              <w:bottom w:w="0" w:type="dxa"/>
              <w:right w:w="108" w:type="dxa"/>
            </w:tcMar>
            <w:hideMark/>
          </w:tcPr>
          <w:p w14:paraId="677E5166"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29%</w:t>
            </w:r>
          </w:p>
        </w:tc>
        <w:tc>
          <w:tcPr>
            <w:tcW w:w="1320" w:type="dxa"/>
            <w:tcBorders>
              <w:top w:val="nil"/>
              <w:left w:val="nil"/>
              <w:bottom w:val="nil"/>
              <w:right w:val="single" w:sz="8" w:space="0" w:color="auto"/>
            </w:tcBorders>
            <w:tcMar>
              <w:top w:w="0" w:type="dxa"/>
              <w:left w:w="108" w:type="dxa"/>
              <w:bottom w:w="0" w:type="dxa"/>
              <w:right w:w="108" w:type="dxa"/>
            </w:tcMar>
            <w:hideMark/>
          </w:tcPr>
          <w:p w14:paraId="7405A46C"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w:t>
            </w:r>
          </w:p>
        </w:tc>
      </w:tr>
      <w:tr w:rsidR="008B4C0C" w:rsidRPr="008B4C0C" w14:paraId="7F76CFED" w14:textId="77777777" w:rsidTr="00FE3FC9">
        <w:trPr>
          <w:trHeight w:val="259"/>
        </w:trPr>
        <w:tc>
          <w:tcPr>
            <w:tcW w:w="2560" w:type="dxa"/>
            <w:tcBorders>
              <w:top w:val="nil"/>
              <w:left w:val="single" w:sz="8" w:space="0" w:color="auto"/>
              <w:bottom w:val="nil"/>
              <w:right w:val="nil"/>
            </w:tcBorders>
            <w:tcMar>
              <w:top w:w="0" w:type="dxa"/>
              <w:left w:w="108" w:type="dxa"/>
              <w:bottom w:w="0" w:type="dxa"/>
              <w:right w:w="108" w:type="dxa"/>
            </w:tcMar>
            <w:hideMark/>
          </w:tcPr>
          <w:p w14:paraId="65A6EEB7" w14:textId="77777777" w:rsidR="008B4C0C" w:rsidRPr="008B4C0C" w:rsidRDefault="008B4C0C" w:rsidP="008B4C0C">
            <w:pPr>
              <w:spacing w:after="0" w:line="240" w:lineRule="auto"/>
              <w:rPr>
                <w:rFonts w:ascii="Calibri" w:eastAsia="Calibri" w:hAnsi="Calibri" w:cs="Times New Roman"/>
                <w:sz w:val="20"/>
                <w:szCs w:val="20"/>
              </w:rPr>
            </w:pPr>
            <w:r w:rsidRPr="008B4C0C">
              <w:rPr>
                <w:rFonts w:ascii="Calibri" w:eastAsia="Calibri" w:hAnsi="Calibri" w:cs="Times New Roman"/>
                <w:sz w:val="20"/>
                <w:szCs w:val="20"/>
              </w:rPr>
              <w:t>Town of Apex</w:t>
            </w:r>
          </w:p>
        </w:tc>
        <w:tc>
          <w:tcPr>
            <w:tcW w:w="1320" w:type="dxa"/>
            <w:tcMar>
              <w:top w:w="0" w:type="dxa"/>
              <w:left w:w="108" w:type="dxa"/>
              <w:bottom w:w="0" w:type="dxa"/>
              <w:right w:w="108" w:type="dxa"/>
            </w:tcMar>
            <w:hideMark/>
          </w:tcPr>
          <w:p w14:paraId="5020CAA1"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19%</w:t>
            </w:r>
          </w:p>
        </w:tc>
        <w:tc>
          <w:tcPr>
            <w:tcW w:w="1320" w:type="dxa"/>
            <w:tcMar>
              <w:top w:w="0" w:type="dxa"/>
              <w:left w:w="108" w:type="dxa"/>
              <w:bottom w:w="0" w:type="dxa"/>
              <w:right w:w="108" w:type="dxa"/>
            </w:tcMar>
            <w:hideMark/>
          </w:tcPr>
          <w:p w14:paraId="150A6EC3"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59%</w:t>
            </w:r>
          </w:p>
        </w:tc>
        <w:tc>
          <w:tcPr>
            <w:tcW w:w="1320" w:type="dxa"/>
            <w:tcBorders>
              <w:top w:val="nil"/>
              <w:left w:val="nil"/>
              <w:bottom w:val="nil"/>
              <w:right w:val="single" w:sz="8" w:space="0" w:color="auto"/>
            </w:tcBorders>
            <w:tcMar>
              <w:top w:w="0" w:type="dxa"/>
              <w:left w:w="108" w:type="dxa"/>
              <w:bottom w:w="0" w:type="dxa"/>
              <w:right w:w="108" w:type="dxa"/>
            </w:tcMar>
            <w:hideMark/>
          </w:tcPr>
          <w:p w14:paraId="4C47F45F"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22%</w:t>
            </w:r>
          </w:p>
        </w:tc>
      </w:tr>
      <w:tr w:rsidR="008B4C0C" w:rsidRPr="008B4C0C" w14:paraId="0BF63788" w14:textId="77777777" w:rsidTr="00FE3FC9">
        <w:trPr>
          <w:trHeight w:val="282"/>
        </w:trPr>
        <w:tc>
          <w:tcPr>
            <w:tcW w:w="2560" w:type="dxa"/>
            <w:tcBorders>
              <w:top w:val="nil"/>
              <w:left w:val="single" w:sz="8" w:space="0" w:color="auto"/>
              <w:bottom w:val="nil"/>
              <w:right w:val="nil"/>
            </w:tcBorders>
            <w:tcMar>
              <w:top w:w="0" w:type="dxa"/>
              <w:left w:w="108" w:type="dxa"/>
              <w:bottom w:w="0" w:type="dxa"/>
              <w:right w:w="108" w:type="dxa"/>
            </w:tcMar>
            <w:hideMark/>
          </w:tcPr>
          <w:p w14:paraId="0C13BB20" w14:textId="77777777" w:rsidR="008B4C0C" w:rsidRPr="008B4C0C" w:rsidRDefault="008B4C0C" w:rsidP="008B4C0C">
            <w:pPr>
              <w:spacing w:after="0" w:line="240" w:lineRule="auto"/>
              <w:rPr>
                <w:rFonts w:ascii="Calibri" w:eastAsia="Calibri" w:hAnsi="Calibri" w:cs="Times New Roman"/>
                <w:sz w:val="20"/>
                <w:szCs w:val="20"/>
              </w:rPr>
            </w:pPr>
            <w:r w:rsidRPr="008B4C0C">
              <w:rPr>
                <w:rFonts w:ascii="Calibri" w:eastAsia="Calibri" w:hAnsi="Calibri" w:cs="Times New Roman"/>
                <w:sz w:val="20"/>
                <w:szCs w:val="20"/>
              </w:rPr>
              <w:t>Town of Morrisville</w:t>
            </w:r>
          </w:p>
        </w:tc>
        <w:tc>
          <w:tcPr>
            <w:tcW w:w="1320" w:type="dxa"/>
            <w:tcMar>
              <w:top w:w="0" w:type="dxa"/>
              <w:left w:w="108" w:type="dxa"/>
              <w:bottom w:w="0" w:type="dxa"/>
              <w:right w:w="108" w:type="dxa"/>
            </w:tcMar>
            <w:hideMark/>
          </w:tcPr>
          <w:p w14:paraId="6BFE7032"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81%</w:t>
            </w:r>
          </w:p>
        </w:tc>
        <w:tc>
          <w:tcPr>
            <w:tcW w:w="1320" w:type="dxa"/>
            <w:tcMar>
              <w:top w:w="0" w:type="dxa"/>
              <w:left w:w="108" w:type="dxa"/>
              <w:bottom w:w="0" w:type="dxa"/>
              <w:right w:w="108" w:type="dxa"/>
            </w:tcMar>
            <w:hideMark/>
          </w:tcPr>
          <w:p w14:paraId="1B232980"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19%</w:t>
            </w:r>
          </w:p>
        </w:tc>
        <w:tc>
          <w:tcPr>
            <w:tcW w:w="1320" w:type="dxa"/>
            <w:tcBorders>
              <w:top w:val="nil"/>
              <w:left w:val="nil"/>
              <w:bottom w:val="nil"/>
              <w:right w:val="single" w:sz="8" w:space="0" w:color="auto"/>
            </w:tcBorders>
            <w:tcMar>
              <w:top w:w="0" w:type="dxa"/>
              <w:left w:w="108" w:type="dxa"/>
              <w:bottom w:w="0" w:type="dxa"/>
              <w:right w:w="108" w:type="dxa"/>
            </w:tcMar>
            <w:hideMark/>
          </w:tcPr>
          <w:p w14:paraId="2EFBC661"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w:t>
            </w:r>
          </w:p>
        </w:tc>
      </w:tr>
      <w:tr w:rsidR="008B4C0C" w:rsidRPr="008B4C0C" w14:paraId="1350956D" w14:textId="77777777" w:rsidTr="00FE3FC9">
        <w:trPr>
          <w:trHeight w:val="255"/>
        </w:trPr>
        <w:tc>
          <w:tcPr>
            <w:tcW w:w="2560" w:type="dxa"/>
            <w:tcBorders>
              <w:top w:val="nil"/>
              <w:left w:val="single" w:sz="8" w:space="0" w:color="auto"/>
              <w:bottom w:val="single" w:sz="8" w:space="0" w:color="auto"/>
              <w:right w:val="nil"/>
            </w:tcBorders>
            <w:tcMar>
              <w:top w:w="0" w:type="dxa"/>
              <w:left w:w="108" w:type="dxa"/>
              <w:bottom w:w="0" w:type="dxa"/>
              <w:right w:w="108" w:type="dxa"/>
            </w:tcMar>
            <w:hideMark/>
          </w:tcPr>
          <w:p w14:paraId="7FBD0A09" w14:textId="77777777" w:rsidR="008B4C0C" w:rsidRPr="008B4C0C" w:rsidRDefault="008B4C0C" w:rsidP="008B4C0C">
            <w:pPr>
              <w:spacing w:after="0" w:line="240" w:lineRule="auto"/>
              <w:rPr>
                <w:rFonts w:ascii="Calibri" w:eastAsia="Calibri" w:hAnsi="Calibri" w:cs="Times New Roman"/>
                <w:sz w:val="20"/>
                <w:szCs w:val="20"/>
              </w:rPr>
            </w:pPr>
            <w:r w:rsidRPr="008B4C0C">
              <w:rPr>
                <w:rFonts w:ascii="Calibri" w:eastAsia="Calibri" w:hAnsi="Calibri" w:cs="Times New Roman"/>
                <w:sz w:val="20"/>
                <w:szCs w:val="20"/>
              </w:rPr>
              <w:t>Wake County (RTP South)</w:t>
            </w:r>
          </w:p>
        </w:tc>
        <w:tc>
          <w:tcPr>
            <w:tcW w:w="1320" w:type="dxa"/>
            <w:tcBorders>
              <w:top w:val="nil"/>
              <w:left w:val="nil"/>
              <w:bottom w:val="single" w:sz="8" w:space="0" w:color="auto"/>
              <w:right w:val="nil"/>
            </w:tcBorders>
            <w:tcMar>
              <w:top w:w="0" w:type="dxa"/>
              <w:left w:w="108" w:type="dxa"/>
              <w:bottom w:w="0" w:type="dxa"/>
              <w:right w:w="108" w:type="dxa"/>
            </w:tcMar>
            <w:hideMark/>
          </w:tcPr>
          <w:p w14:paraId="1236ECDD"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w:t>
            </w:r>
          </w:p>
        </w:tc>
        <w:tc>
          <w:tcPr>
            <w:tcW w:w="1320" w:type="dxa"/>
            <w:tcBorders>
              <w:top w:val="nil"/>
              <w:left w:val="nil"/>
              <w:bottom w:val="single" w:sz="8" w:space="0" w:color="auto"/>
              <w:right w:val="nil"/>
            </w:tcBorders>
            <w:tcMar>
              <w:top w:w="0" w:type="dxa"/>
              <w:left w:w="108" w:type="dxa"/>
              <w:bottom w:w="0" w:type="dxa"/>
              <w:right w:w="108" w:type="dxa"/>
            </w:tcMar>
            <w:hideMark/>
          </w:tcPr>
          <w:p w14:paraId="60299BD9"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100%</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14:paraId="374CAB33" w14:textId="77777777" w:rsidR="008B4C0C" w:rsidRPr="008B4C0C" w:rsidRDefault="008B4C0C" w:rsidP="008B4C0C">
            <w:pPr>
              <w:spacing w:after="0" w:line="240" w:lineRule="auto"/>
              <w:jc w:val="center"/>
              <w:rPr>
                <w:rFonts w:ascii="Calibri" w:eastAsia="Calibri" w:hAnsi="Calibri" w:cs="Times New Roman"/>
                <w:sz w:val="20"/>
                <w:szCs w:val="20"/>
              </w:rPr>
            </w:pPr>
            <w:r w:rsidRPr="008B4C0C">
              <w:rPr>
                <w:rFonts w:ascii="Calibri" w:eastAsia="Calibri" w:hAnsi="Calibri" w:cs="Times New Roman"/>
                <w:sz w:val="20"/>
                <w:szCs w:val="20"/>
              </w:rPr>
              <w:t>-</w:t>
            </w:r>
          </w:p>
        </w:tc>
      </w:tr>
    </w:tbl>
    <w:p w14:paraId="15813E88" w14:textId="77777777" w:rsidR="008B4C0C" w:rsidRPr="00DC1595" w:rsidRDefault="008B4C0C" w:rsidP="003B3CD3">
      <w:pPr>
        <w:spacing w:after="0" w:line="240" w:lineRule="auto"/>
        <w:contextualSpacing/>
        <w:rPr>
          <w:rFonts w:ascii="Times New Roman" w:hAnsi="Times New Roman" w:cs="Times New Roman"/>
          <w:b/>
          <w:sz w:val="24"/>
          <w:szCs w:val="24"/>
        </w:rPr>
      </w:pPr>
    </w:p>
    <w:p w14:paraId="1A48A945" w14:textId="77777777" w:rsidR="0024500A" w:rsidRDefault="0024500A" w:rsidP="00D945EA">
      <w:pPr>
        <w:spacing w:after="0" w:line="240" w:lineRule="auto"/>
        <w:contextualSpacing/>
        <w:rPr>
          <w:rFonts w:ascii="Times New Roman" w:hAnsi="Times New Roman" w:cs="Times New Roman"/>
          <w:sz w:val="24"/>
          <w:szCs w:val="24"/>
        </w:rPr>
      </w:pPr>
    </w:p>
    <w:p w14:paraId="709288F1" w14:textId="77777777" w:rsidR="00C3171B" w:rsidRDefault="00BA21D3" w:rsidP="00D945E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Therefore, the applicants’ service area </w:t>
      </w:r>
      <w:proofErr w:type="gramStart"/>
      <w:r>
        <w:rPr>
          <w:rFonts w:ascii="Times New Roman" w:hAnsi="Times New Roman" w:cs="Times New Roman"/>
          <w:sz w:val="24"/>
          <w:szCs w:val="24"/>
        </w:rPr>
        <w:t>is located in</w:t>
      </w:r>
      <w:proofErr w:type="gramEnd"/>
      <w:r>
        <w:rPr>
          <w:rFonts w:ascii="Times New Roman" w:hAnsi="Times New Roman" w:cs="Times New Roman"/>
          <w:sz w:val="24"/>
          <w:szCs w:val="24"/>
        </w:rPr>
        <w:t xml:space="preserve"> both the source and receiving river basins.</w:t>
      </w:r>
    </w:p>
    <w:p w14:paraId="409C6D54" w14:textId="77777777" w:rsidR="00BA21D3" w:rsidRDefault="00BA21D3" w:rsidP="00D945EA">
      <w:pPr>
        <w:spacing w:after="0" w:line="240" w:lineRule="auto"/>
        <w:contextualSpacing/>
        <w:rPr>
          <w:rFonts w:ascii="Times New Roman" w:hAnsi="Times New Roman" w:cs="Times New Roman"/>
          <w:sz w:val="24"/>
          <w:szCs w:val="24"/>
        </w:rPr>
      </w:pPr>
    </w:p>
    <w:p w14:paraId="4C1AF905" w14:textId="77777777" w:rsidR="00177B82" w:rsidRPr="00177B82" w:rsidRDefault="00177B82" w:rsidP="00D945EA">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The Commission finds that </w:t>
      </w:r>
      <w:r w:rsidRPr="00177B82">
        <w:rPr>
          <w:rFonts w:ascii="Times New Roman" w:hAnsi="Times New Roman" w:cs="Times New Roman"/>
          <w:i/>
          <w:sz w:val="24"/>
          <w:szCs w:val="24"/>
        </w:rPr>
        <w:t xml:space="preserve">the </w:t>
      </w:r>
      <w:r>
        <w:rPr>
          <w:rFonts w:ascii="Times New Roman" w:hAnsi="Times New Roman" w:cs="Times New Roman"/>
          <w:i/>
          <w:sz w:val="24"/>
          <w:szCs w:val="24"/>
        </w:rPr>
        <w:t xml:space="preserve">Towns’ </w:t>
      </w:r>
      <w:r w:rsidRPr="00177B82">
        <w:rPr>
          <w:rFonts w:ascii="Times New Roman" w:hAnsi="Times New Roman" w:cs="Times New Roman"/>
          <w:i/>
          <w:sz w:val="24"/>
          <w:szCs w:val="24"/>
        </w:rPr>
        <w:t xml:space="preserve">service area population </w:t>
      </w:r>
      <w:r>
        <w:rPr>
          <w:rFonts w:ascii="Times New Roman" w:hAnsi="Times New Roman" w:cs="Times New Roman"/>
          <w:i/>
          <w:sz w:val="24"/>
          <w:szCs w:val="24"/>
        </w:rPr>
        <w:t xml:space="preserve">is </w:t>
      </w:r>
      <w:r w:rsidRPr="00177B82">
        <w:rPr>
          <w:rFonts w:ascii="Times New Roman" w:hAnsi="Times New Roman" w:cs="Times New Roman"/>
          <w:i/>
          <w:sz w:val="24"/>
          <w:szCs w:val="24"/>
        </w:rPr>
        <w:t>within both the source and receiving basins</w:t>
      </w:r>
      <w:r w:rsidR="006309ED">
        <w:rPr>
          <w:rFonts w:ascii="Times New Roman" w:hAnsi="Times New Roman" w:cs="Times New Roman"/>
          <w:i/>
          <w:sz w:val="24"/>
          <w:szCs w:val="24"/>
        </w:rPr>
        <w:t>,</w:t>
      </w:r>
      <w:r w:rsidRPr="00177B82">
        <w:rPr>
          <w:rFonts w:ascii="Times New Roman" w:hAnsi="Times New Roman" w:cs="Times New Roman"/>
          <w:i/>
          <w:sz w:val="24"/>
          <w:szCs w:val="24"/>
        </w:rPr>
        <w:t xml:space="preserve"> thereby avoiding the removal or receipt of water in a basin not contained within the existing service area.</w:t>
      </w:r>
    </w:p>
    <w:p w14:paraId="41D015EC" w14:textId="77777777" w:rsidR="00BA21D3" w:rsidRDefault="00BA21D3" w:rsidP="00D945EA">
      <w:pPr>
        <w:spacing w:after="0" w:line="240" w:lineRule="auto"/>
        <w:contextualSpacing/>
        <w:rPr>
          <w:rFonts w:ascii="Times New Roman" w:hAnsi="Times New Roman" w:cs="Times New Roman"/>
          <w:sz w:val="24"/>
          <w:szCs w:val="24"/>
        </w:rPr>
      </w:pPr>
    </w:p>
    <w:p w14:paraId="66E5E828" w14:textId="77777777" w:rsidR="0024500A" w:rsidRDefault="0024500A">
      <w:pPr>
        <w:rPr>
          <w:rFonts w:ascii="Times New Roman" w:hAnsi="Times New Roman" w:cs="Times New Roman"/>
          <w:b/>
          <w:bCs/>
          <w:sz w:val="24"/>
          <w:szCs w:val="24"/>
        </w:rPr>
      </w:pPr>
      <w:bookmarkStart w:id="17" w:name="_Toc152550398"/>
      <w:bookmarkStart w:id="18" w:name="_Toc153359314"/>
      <w:r>
        <w:rPr>
          <w:rFonts w:ascii="Times New Roman" w:hAnsi="Times New Roman" w:cs="Times New Roman"/>
          <w:b/>
          <w:bCs/>
          <w:sz w:val="24"/>
          <w:szCs w:val="24"/>
        </w:rPr>
        <w:br w:type="page"/>
      </w:r>
    </w:p>
    <w:p w14:paraId="1D08362D" w14:textId="77777777" w:rsidR="00BA21D3" w:rsidRDefault="00BA21D3" w:rsidP="00BA21D3">
      <w:pPr>
        <w:spacing w:after="0" w:line="240" w:lineRule="auto"/>
        <w:contextualSpacing/>
        <w:rPr>
          <w:rFonts w:ascii="Times New Roman" w:hAnsi="Times New Roman" w:cs="Times New Roman"/>
          <w:bCs/>
          <w:sz w:val="24"/>
          <w:szCs w:val="24"/>
        </w:rPr>
      </w:pPr>
      <w:r w:rsidRPr="00BA21D3">
        <w:rPr>
          <w:rFonts w:ascii="Times New Roman" w:hAnsi="Times New Roman" w:cs="Times New Roman"/>
          <w:b/>
          <w:bCs/>
          <w:sz w:val="24"/>
          <w:szCs w:val="24"/>
        </w:rPr>
        <w:lastRenderedPageBreak/>
        <w:t>(</w:t>
      </w:r>
      <w:r w:rsidR="006179DD">
        <w:rPr>
          <w:rFonts w:ascii="Times New Roman" w:hAnsi="Times New Roman" w:cs="Times New Roman"/>
          <w:b/>
          <w:bCs/>
          <w:sz w:val="24"/>
          <w:szCs w:val="24"/>
        </w:rPr>
        <w:t>9</w:t>
      </w:r>
      <w:r w:rsidRPr="00BA21D3">
        <w:rPr>
          <w:rFonts w:ascii="Times New Roman" w:hAnsi="Times New Roman" w:cs="Times New Roman"/>
          <w:b/>
          <w:bCs/>
          <w:sz w:val="24"/>
          <w:szCs w:val="24"/>
        </w:rPr>
        <w:t xml:space="preserve">) Any Other Facts or Circumstances that are Reasonably Necessary </w:t>
      </w:r>
      <w:bookmarkEnd w:id="17"/>
      <w:bookmarkEnd w:id="18"/>
    </w:p>
    <w:p w14:paraId="5F13288C" w14:textId="77777777" w:rsidR="006179DD" w:rsidRDefault="006179DD" w:rsidP="00866CCB">
      <w:pPr>
        <w:spacing w:after="0" w:line="240" w:lineRule="auto"/>
        <w:rPr>
          <w:rFonts w:ascii="Times New Roman" w:hAnsi="Times New Roman" w:cs="Times New Roman"/>
          <w:i/>
          <w:sz w:val="24"/>
          <w:szCs w:val="24"/>
        </w:rPr>
      </w:pPr>
      <w:r w:rsidRPr="006179DD">
        <w:rPr>
          <w:rFonts w:ascii="Times New Roman" w:hAnsi="Times New Roman" w:cs="Times New Roman"/>
          <w:i/>
          <w:sz w:val="24"/>
          <w:szCs w:val="24"/>
        </w:rPr>
        <w:t>The Commission finds that to protect the source basin during drought conditions, to mitigate the future need for allocations of the limited resources of this basin, and as authorized by G.S. § 143-215.22</w:t>
      </w:r>
      <w:r w:rsidR="00475862">
        <w:rPr>
          <w:rFonts w:ascii="Times New Roman" w:hAnsi="Times New Roman" w:cs="Times New Roman"/>
          <w:i/>
          <w:sz w:val="24"/>
          <w:szCs w:val="24"/>
        </w:rPr>
        <w:t>L</w:t>
      </w:r>
      <w:r w:rsidRPr="006179DD">
        <w:rPr>
          <w:rFonts w:ascii="Times New Roman" w:hAnsi="Times New Roman" w:cs="Times New Roman"/>
          <w:i/>
          <w:sz w:val="24"/>
          <w:szCs w:val="24"/>
        </w:rPr>
        <w:t>(</w:t>
      </w:r>
      <w:r w:rsidR="00475862">
        <w:rPr>
          <w:rFonts w:ascii="Times New Roman" w:hAnsi="Times New Roman" w:cs="Times New Roman"/>
          <w:i/>
          <w:sz w:val="24"/>
          <w:szCs w:val="24"/>
        </w:rPr>
        <w:t>n</w:t>
      </w:r>
      <w:r w:rsidRPr="006179DD">
        <w:rPr>
          <w:rFonts w:ascii="Times New Roman" w:hAnsi="Times New Roman" w:cs="Times New Roman"/>
          <w:i/>
          <w:sz w:val="24"/>
          <w:szCs w:val="24"/>
        </w:rPr>
        <w:t>), a drought management plan is appropriate</w:t>
      </w:r>
      <w:r w:rsidRPr="00B82290">
        <w:rPr>
          <w:rFonts w:ascii="Times New Roman" w:hAnsi="Times New Roman" w:cs="Times New Roman"/>
          <w:i/>
          <w:sz w:val="24"/>
          <w:szCs w:val="24"/>
        </w:rPr>
        <w:t>. The plan should describe the actions that the Towns of Cary</w:t>
      </w:r>
      <w:r w:rsidR="00EE7D78" w:rsidRPr="00B82290">
        <w:rPr>
          <w:rFonts w:ascii="Times New Roman" w:hAnsi="Times New Roman" w:cs="Times New Roman"/>
          <w:i/>
          <w:sz w:val="24"/>
          <w:szCs w:val="24"/>
        </w:rPr>
        <w:t xml:space="preserve"> and</w:t>
      </w:r>
      <w:r w:rsidRPr="00B82290">
        <w:rPr>
          <w:rFonts w:ascii="Times New Roman" w:hAnsi="Times New Roman" w:cs="Times New Roman"/>
          <w:i/>
          <w:sz w:val="24"/>
          <w:szCs w:val="24"/>
        </w:rPr>
        <w:t xml:space="preserve"> Apex will take to protect the Cape Fear River Basin during drought conditions.</w:t>
      </w:r>
      <w:r w:rsidRPr="006179DD">
        <w:rPr>
          <w:rFonts w:ascii="Times New Roman" w:hAnsi="Times New Roman" w:cs="Times New Roman"/>
          <w:i/>
          <w:sz w:val="24"/>
          <w:szCs w:val="24"/>
        </w:rPr>
        <w:t xml:space="preserve"> </w:t>
      </w:r>
    </w:p>
    <w:p w14:paraId="7D0778A5" w14:textId="77777777" w:rsidR="006179DD" w:rsidRPr="006179DD" w:rsidRDefault="006179DD" w:rsidP="00866CCB">
      <w:pPr>
        <w:spacing w:after="0" w:line="240" w:lineRule="auto"/>
        <w:rPr>
          <w:rFonts w:ascii="Times New Roman" w:hAnsi="Times New Roman" w:cs="Times New Roman"/>
          <w:i/>
          <w:sz w:val="24"/>
          <w:szCs w:val="24"/>
        </w:rPr>
      </w:pPr>
    </w:p>
    <w:p w14:paraId="22AC4076" w14:textId="77777777" w:rsidR="005A5083" w:rsidRDefault="006179DD" w:rsidP="00866CCB">
      <w:pPr>
        <w:spacing w:line="240" w:lineRule="auto"/>
        <w:rPr>
          <w:rFonts w:ascii="Times New Roman" w:hAnsi="Times New Roman" w:cs="Times New Roman"/>
          <w:sz w:val="24"/>
          <w:szCs w:val="24"/>
        </w:rPr>
      </w:pPr>
      <w:r w:rsidRPr="006179DD">
        <w:rPr>
          <w:rFonts w:ascii="Times New Roman" w:hAnsi="Times New Roman" w:cs="Times New Roman"/>
          <w:i/>
          <w:sz w:val="24"/>
          <w:szCs w:val="24"/>
        </w:rPr>
        <w:t>The Commission notes that future developments may prove the projections and predictions in the E</w:t>
      </w:r>
      <w:r w:rsidR="00475862">
        <w:rPr>
          <w:rFonts w:ascii="Times New Roman" w:hAnsi="Times New Roman" w:cs="Times New Roman"/>
          <w:i/>
          <w:sz w:val="24"/>
          <w:szCs w:val="24"/>
        </w:rPr>
        <w:t>A</w:t>
      </w:r>
      <w:r w:rsidRPr="006179DD">
        <w:rPr>
          <w:rFonts w:ascii="Times New Roman" w:hAnsi="Times New Roman" w:cs="Times New Roman"/>
          <w:i/>
          <w:sz w:val="24"/>
          <w:szCs w:val="24"/>
        </w:rPr>
        <w:t xml:space="preserve"> to be incorrect and new information may become available that shows that there are substantial environmental impacts associated with this transfer. Therefore, to protect water quality and availability and associated benefits, modification of the terms and conditions of the certificate may be necessary </w:t>
      </w:r>
      <w:proofErr w:type="gramStart"/>
      <w:r w:rsidRPr="006179DD">
        <w:rPr>
          <w:rFonts w:ascii="Times New Roman" w:hAnsi="Times New Roman" w:cs="Times New Roman"/>
          <w:i/>
          <w:sz w:val="24"/>
          <w:szCs w:val="24"/>
        </w:rPr>
        <w:t>at a later date</w:t>
      </w:r>
      <w:proofErr w:type="gramEnd"/>
      <w:r w:rsidRPr="006179DD">
        <w:rPr>
          <w:rFonts w:ascii="Times New Roman" w:hAnsi="Times New Roman" w:cs="Times New Roman"/>
          <w:i/>
          <w:sz w:val="24"/>
          <w:szCs w:val="24"/>
        </w:rPr>
        <w:t>.</w:t>
      </w:r>
      <w:r w:rsidR="005A5083">
        <w:rPr>
          <w:rFonts w:ascii="Times New Roman" w:hAnsi="Times New Roman" w:cs="Times New Roman"/>
          <w:sz w:val="24"/>
          <w:szCs w:val="24"/>
        </w:rPr>
        <w:br w:type="page"/>
      </w:r>
    </w:p>
    <w:p w14:paraId="4531C5B6" w14:textId="77777777" w:rsidR="009F1A7C" w:rsidRPr="004A2605" w:rsidRDefault="009F1A7C" w:rsidP="009F1A7C">
      <w:pPr>
        <w:spacing w:after="0" w:line="240" w:lineRule="auto"/>
        <w:contextualSpacing/>
        <w:jc w:val="center"/>
        <w:rPr>
          <w:rFonts w:ascii="Times New Roman" w:hAnsi="Times New Roman" w:cs="Times New Roman"/>
          <w:b/>
          <w:bCs/>
          <w:i/>
          <w:iCs/>
          <w:sz w:val="32"/>
          <w:szCs w:val="32"/>
        </w:rPr>
      </w:pPr>
      <w:r>
        <w:rPr>
          <w:rFonts w:ascii="Times New Roman" w:hAnsi="Times New Roman" w:cs="Times New Roman"/>
          <w:b/>
          <w:bCs/>
          <w:i/>
          <w:iCs/>
          <w:sz w:val="32"/>
          <w:szCs w:val="32"/>
        </w:rPr>
        <w:lastRenderedPageBreak/>
        <w:t>Decision</w:t>
      </w:r>
    </w:p>
    <w:p w14:paraId="217A9E9A" w14:textId="77777777" w:rsidR="009F1A7C" w:rsidRDefault="009F1A7C" w:rsidP="00786C44">
      <w:pPr>
        <w:spacing w:after="0" w:line="240" w:lineRule="auto"/>
        <w:contextualSpacing/>
        <w:jc w:val="center"/>
        <w:rPr>
          <w:rFonts w:ascii="Times New Roman" w:hAnsi="Times New Roman" w:cs="Times New Roman"/>
          <w:sz w:val="24"/>
          <w:szCs w:val="24"/>
        </w:rPr>
      </w:pPr>
    </w:p>
    <w:p w14:paraId="7823385C" w14:textId="77777777" w:rsidR="00472174" w:rsidRDefault="00472174" w:rsidP="00472174">
      <w:pPr>
        <w:spacing w:after="0" w:line="240" w:lineRule="auto"/>
        <w:contextualSpacing/>
        <w:rPr>
          <w:rFonts w:ascii="Times New Roman" w:hAnsi="Times New Roman" w:cs="Times New Roman"/>
          <w:sz w:val="24"/>
          <w:szCs w:val="24"/>
        </w:rPr>
      </w:pPr>
      <w:r w:rsidRPr="00472174">
        <w:rPr>
          <w:rFonts w:ascii="Times New Roman" w:hAnsi="Times New Roman" w:cs="Times New Roman"/>
          <w:sz w:val="24"/>
          <w:szCs w:val="24"/>
        </w:rPr>
        <w:t xml:space="preserve">Based on the Findings of Fact stated above, the </w:t>
      </w:r>
      <w:r w:rsidR="00475862">
        <w:rPr>
          <w:rFonts w:ascii="Times New Roman" w:hAnsi="Times New Roman" w:cs="Times New Roman"/>
          <w:sz w:val="24"/>
          <w:szCs w:val="24"/>
        </w:rPr>
        <w:t>Commission</w:t>
      </w:r>
      <w:r w:rsidRPr="00472174">
        <w:rPr>
          <w:rFonts w:ascii="Times New Roman" w:hAnsi="Times New Roman" w:cs="Times New Roman"/>
          <w:sz w:val="24"/>
          <w:szCs w:val="24"/>
        </w:rPr>
        <w:t xml:space="preserve"> has determined that (1) the benefits of the proposed certificate modification outweigh the detriments of the certificate modification, and (2) </w:t>
      </w:r>
      <w:r w:rsidR="00183FD7">
        <w:rPr>
          <w:rFonts w:ascii="Times New Roman" w:hAnsi="Times New Roman" w:cs="Times New Roman"/>
          <w:sz w:val="24"/>
          <w:szCs w:val="24"/>
        </w:rPr>
        <w:t xml:space="preserve">any </w:t>
      </w:r>
      <w:r w:rsidRPr="00472174">
        <w:rPr>
          <w:rFonts w:ascii="Times New Roman" w:hAnsi="Times New Roman" w:cs="Times New Roman"/>
          <w:sz w:val="24"/>
          <w:szCs w:val="24"/>
        </w:rPr>
        <w:t xml:space="preserve">detriments of the proposed certificate modification will be mitigated to a reasonable degree under the conditions of this Certificate.  </w:t>
      </w:r>
      <w:r w:rsidRPr="00B82290">
        <w:rPr>
          <w:rFonts w:ascii="Times New Roman" w:hAnsi="Times New Roman" w:cs="Times New Roman"/>
          <w:sz w:val="24"/>
          <w:szCs w:val="24"/>
        </w:rPr>
        <w:t>Therefore, and by duly made motions, the Commission grants the Towns of Cary</w:t>
      </w:r>
      <w:r w:rsidR="00805A35">
        <w:rPr>
          <w:rFonts w:ascii="Times New Roman" w:hAnsi="Times New Roman" w:cs="Times New Roman"/>
          <w:sz w:val="24"/>
          <w:szCs w:val="24"/>
        </w:rPr>
        <w:t>’s</w:t>
      </w:r>
      <w:r w:rsidR="00EE7D78" w:rsidRPr="00B82290">
        <w:rPr>
          <w:rFonts w:ascii="Times New Roman" w:hAnsi="Times New Roman" w:cs="Times New Roman"/>
          <w:sz w:val="24"/>
          <w:szCs w:val="24"/>
        </w:rPr>
        <w:t xml:space="preserve"> and</w:t>
      </w:r>
      <w:r w:rsidRPr="00B82290">
        <w:rPr>
          <w:rFonts w:ascii="Times New Roman" w:hAnsi="Times New Roman" w:cs="Times New Roman"/>
          <w:sz w:val="24"/>
          <w:szCs w:val="24"/>
        </w:rPr>
        <w:t xml:space="preserve"> Apex</w:t>
      </w:r>
      <w:r w:rsidR="00805A35">
        <w:rPr>
          <w:rFonts w:ascii="Times New Roman" w:hAnsi="Times New Roman" w:cs="Times New Roman"/>
          <w:sz w:val="24"/>
          <w:szCs w:val="24"/>
        </w:rPr>
        <w:t>’s request</w:t>
      </w:r>
      <w:r w:rsidRPr="00B82290">
        <w:rPr>
          <w:rFonts w:ascii="Times New Roman" w:hAnsi="Times New Roman" w:cs="Times New Roman"/>
          <w:sz w:val="24"/>
          <w:szCs w:val="24"/>
        </w:rPr>
        <w:t xml:space="preserve"> to transfer water from the Haw River basin to the Neuse River basin and Cape Fear River basin.</w:t>
      </w:r>
      <w:r w:rsidRPr="00472174">
        <w:rPr>
          <w:rFonts w:ascii="Times New Roman" w:hAnsi="Times New Roman" w:cs="Times New Roman"/>
          <w:sz w:val="24"/>
          <w:szCs w:val="24"/>
        </w:rPr>
        <w:t xml:space="preserve">  The permitted transfer amount shall not exceed a maximum of </w:t>
      </w:r>
      <w:r w:rsidR="00DE6385">
        <w:rPr>
          <w:rFonts w:ascii="Times New Roman" w:hAnsi="Times New Roman" w:cs="Times New Roman"/>
          <w:sz w:val="24"/>
          <w:szCs w:val="24"/>
        </w:rPr>
        <w:t>31</w:t>
      </w:r>
      <w:r w:rsidR="00326FBA" w:rsidRPr="00472174">
        <w:rPr>
          <w:rFonts w:ascii="Times New Roman" w:hAnsi="Times New Roman" w:cs="Times New Roman"/>
          <w:sz w:val="24"/>
          <w:szCs w:val="24"/>
        </w:rPr>
        <w:t xml:space="preserve"> </w:t>
      </w:r>
      <w:r w:rsidRPr="00472174">
        <w:rPr>
          <w:rFonts w:ascii="Times New Roman" w:hAnsi="Times New Roman" w:cs="Times New Roman"/>
          <w:sz w:val="24"/>
          <w:szCs w:val="24"/>
        </w:rPr>
        <w:t>million gallons per day</w:t>
      </w:r>
      <w:r w:rsidR="00326FBA">
        <w:rPr>
          <w:rFonts w:ascii="Times New Roman" w:hAnsi="Times New Roman" w:cs="Times New Roman"/>
          <w:sz w:val="24"/>
          <w:szCs w:val="24"/>
        </w:rPr>
        <w:t xml:space="preserve"> from the Haw River Basin to the Neuse River Basin and </w:t>
      </w:r>
      <w:r w:rsidR="00DE6385">
        <w:rPr>
          <w:rFonts w:ascii="Times New Roman" w:hAnsi="Times New Roman" w:cs="Times New Roman"/>
          <w:sz w:val="24"/>
          <w:szCs w:val="24"/>
        </w:rPr>
        <w:t>2</w:t>
      </w:r>
      <w:r w:rsidR="00326FBA">
        <w:rPr>
          <w:rFonts w:ascii="Times New Roman" w:hAnsi="Times New Roman" w:cs="Times New Roman"/>
          <w:sz w:val="24"/>
          <w:szCs w:val="24"/>
        </w:rPr>
        <w:t xml:space="preserve"> </w:t>
      </w:r>
      <w:r w:rsidR="00326FBA" w:rsidRPr="00472174">
        <w:rPr>
          <w:rFonts w:ascii="Times New Roman" w:hAnsi="Times New Roman" w:cs="Times New Roman"/>
          <w:sz w:val="24"/>
          <w:szCs w:val="24"/>
        </w:rPr>
        <w:t>million gallons per day</w:t>
      </w:r>
      <w:r w:rsidR="00326FBA">
        <w:rPr>
          <w:rFonts w:ascii="Times New Roman" w:hAnsi="Times New Roman" w:cs="Times New Roman"/>
          <w:sz w:val="24"/>
          <w:szCs w:val="24"/>
        </w:rPr>
        <w:t xml:space="preserve"> from the Haw River Basin to the Cape Fear River Basin</w:t>
      </w:r>
      <w:r w:rsidR="00B71D8E">
        <w:rPr>
          <w:rFonts w:ascii="Times New Roman" w:hAnsi="Times New Roman" w:cs="Times New Roman"/>
          <w:sz w:val="24"/>
          <w:szCs w:val="24"/>
        </w:rPr>
        <w:t>, calculated as</w:t>
      </w:r>
      <w:r w:rsidRPr="00472174">
        <w:rPr>
          <w:rFonts w:ascii="Times New Roman" w:hAnsi="Times New Roman" w:cs="Times New Roman"/>
          <w:sz w:val="24"/>
          <w:szCs w:val="24"/>
        </w:rPr>
        <w:t xml:space="preserve"> a daily average of a calendar month basis. </w:t>
      </w:r>
    </w:p>
    <w:p w14:paraId="7A360705" w14:textId="77777777" w:rsidR="00B71D8E" w:rsidRPr="00472174" w:rsidRDefault="00B71D8E" w:rsidP="00472174">
      <w:pPr>
        <w:spacing w:after="0" w:line="240" w:lineRule="auto"/>
        <w:contextualSpacing/>
        <w:rPr>
          <w:rFonts w:ascii="Times New Roman" w:hAnsi="Times New Roman" w:cs="Times New Roman"/>
          <w:sz w:val="24"/>
          <w:szCs w:val="24"/>
        </w:rPr>
      </w:pPr>
    </w:p>
    <w:p w14:paraId="05B856B6" w14:textId="77777777" w:rsidR="00472174" w:rsidRPr="00472174" w:rsidRDefault="00472174" w:rsidP="00472174">
      <w:pPr>
        <w:spacing w:after="0" w:line="240" w:lineRule="auto"/>
        <w:contextualSpacing/>
        <w:rPr>
          <w:rFonts w:ascii="Times New Roman" w:hAnsi="Times New Roman" w:cs="Times New Roman"/>
          <w:sz w:val="24"/>
          <w:szCs w:val="24"/>
        </w:rPr>
      </w:pPr>
      <w:r w:rsidRPr="00472174">
        <w:rPr>
          <w:rFonts w:ascii="Times New Roman" w:hAnsi="Times New Roman" w:cs="Times New Roman"/>
          <w:sz w:val="24"/>
          <w:szCs w:val="24"/>
        </w:rPr>
        <w:t xml:space="preserve">The certificate is subject to the conditions below, which are imposed under the authority of G.S. § 143-215.22L.  The Towns and County shall comply with any plan that is approved pursuant to this Certificate and any approved amendments to such plan.  A violation of any plan approved pursuant to this Certificate will be considered a violation of the terms and conditions of this Certificate. </w:t>
      </w:r>
    </w:p>
    <w:p w14:paraId="0BE33C64" w14:textId="77777777" w:rsidR="005A5083" w:rsidRDefault="005A5083" w:rsidP="00D945EA">
      <w:pPr>
        <w:spacing w:after="0" w:line="240" w:lineRule="auto"/>
        <w:contextualSpacing/>
        <w:rPr>
          <w:rFonts w:ascii="Times New Roman" w:hAnsi="Times New Roman" w:cs="Times New Roman"/>
          <w:sz w:val="24"/>
          <w:szCs w:val="24"/>
        </w:rPr>
      </w:pPr>
    </w:p>
    <w:p w14:paraId="27908B9E" w14:textId="77777777" w:rsidR="000C045E" w:rsidRPr="000C045E" w:rsidRDefault="000C045E" w:rsidP="000C045E">
      <w:pPr>
        <w:pStyle w:val="ListParagraph"/>
        <w:numPr>
          <w:ilvl w:val="0"/>
          <w:numId w:val="19"/>
        </w:numPr>
        <w:spacing w:after="0" w:line="240" w:lineRule="auto"/>
        <w:rPr>
          <w:rFonts w:ascii="Times New Roman" w:hAnsi="Times New Roman" w:cs="Times New Roman"/>
          <w:sz w:val="24"/>
          <w:szCs w:val="24"/>
        </w:rPr>
      </w:pPr>
      <w:r w:rsidRPr="000C045E">
        <w:rPr>
          <w:rFonts w:ascii="Times New Roman" w:hAnsi="Times New Roman" w:cs="Times New Roman"/>
          <w:sz w:val="24"/>
          <w:szCs w:val="24"/>
        </w:rPr>
        <w:t>Within 90 days of receipt of the IBT certificate, the Towns of Cary and Apex shall update and submit a water conservation plan subject to approval by the Division of Water Resources (Division) that specifies the water conservation measures that will be implemented by the Towns to ensure the efficient use of the transferred water.  Except in circumstances of technical or economic infeasibility or adverse environmental impact, the water conservation plan shall provide for the mandatory implementation of water conservation measures that equal or exceed the most stringent water conservation plan implemented by a public water system that withdraws water from the source river basin.</w:t>
      </w:r>
    </w:p>
    <w:p w14:paraId="6F48E438" w14:textId="77777777" w:rsidR="000C045E" w:rsidRPr="000C045E" w:rsidRDefault="000C045E" w:rsidP="000C045E">
      <w:pPr>
        <w:pStyle w:val="ListParagraph"/>
        <w:numPr>
          <w:ilvl w:val="0"/>
          <w:numId w:val="19"/>
        </w:numPr>
        <w:spacing w:after="0" w:line="240" w:lineRule="auto"/>
        <w:rPr>
          <w:rFonts w:ascii="Times New Roman" w:hAnsi="Times New Roman" w:cs="Times New Roman"/>
          <w:sz w:val="24"/>
          <w:szCs w:val="24"/>
        </w:rPr>
      </w:pPr>
      <w:r w:rsidRPr="000C045E">
        <w:rPr>
          <w:rFonts w:ascii="Times New Roman" w:hAnsi="Times New Roman" w:cs="Times New Roman"/>
          <w:sz w:val="24"/>
          <w:szCs w:val="24"/>
        </w:rPr>
        <w:t xml:space="preserve">Within 90 days of receipt of the IBT certificate, the Towns of Cary and Apex shall update and submit a drought management plan subject to approval by the Division that specifies how the transfer shall be managed to protect the source river basin (Haw River basin) during drought conditions or other emergencies that occur within the source river basin.  Except in circumstances of technical or economic infeasibility or adverse environmental impact, this drought management plan shall include mandatory reductions in the permitted amount of the transfer based on the severity and duration of a drought occurring within the source river basin and shall provide for the mandatory implementation of a drought management plan by the Towns of Cary and Apex that equals or exceeds the most stringent water conservation plan implemented by a public water system that withdraws water from the source river basin. </w:t>
      </w:r>
    </w:p>
    <w:p w14:paraId="5A681E8B" w14:textId="77777777" w:rsidR="00786C44" w:rsidRPr="00786C44" w:rsidRDefault="000C045E" w:rsidP="00122C69">
      <w:pPr>
        <w:pStyle w:val="ListParagraph"/>
        <w:numPr>
          <w:ilvl w:val="0"/>
          <w:numId w:val="19"/>
        </w:numPr>
        <w:spacing w:after="0" w:line="240" w:lineRule="auto"/>
        <w:rPr>
          <w:rFonts w:ascii="Times New Roman" w:hAnsi="Times New Roman" w:cs="Times New Roman"/>
          <w:sz w:val="24"/>
          <w:szCs w:val="24"/>
        </w:rPr>
      </w:pPr>
      <w:r w:rsidRPr="000C045E">
        <w:rPr>
          <w:rFonts w:ascii="Times New Roman" w:hAnsi="Times New Roman" w:cs="Times New Roman"/>
          <w:sz w:val="24"/>
          <w:szCs w:val="24"/>
        </w:rPr>
        <w:t xml:space="preserve">Within 90 days of receipt of the IBT certificate, the Towns of Cary and Apex shall update and submit a quarterly compliance and monitoring plan subject to approval by the Division. The plan shall include methodologies and reporting schedules for reporting the following information: daily transfer amount calculated as the average daily over the maximum month, compliance with permit conditions, progress on mitigation measures, drought management, and reporting. A copy of the approved plan shall be kept on file </w:t>
      </w:r>
      <w:r w:rsidRPr="000C045E">
        <w:rPr>
          <w:rFonts w:ascii="Times New Roman" w:hAnsi="Times New Roman" w:cs="Times New Roman"/>
          <w:sz w:val="24"/>
          <w:szCs w:val="24"/>
        </w:rPr>
        <w:lastRenderedPageBreak/>
        <w:t>with the Division for public inspection. The Division shall have the authority to make modifications to the compliance and monitoring plan as necessary to assess compliance with the certificate.  The quarterly compliance and monitoring report shall be submitted to the Commission no later than 30 days after the end of the quarter.  The Towns of Cary and Apex shall employ any methods or install and operate any devices needed to measure the amount of water that is transferred during each calendar quarter, calculated as a daily average of a calendar month.</w:t>
      </w:r>
      <w:r w:rsidR="00786C44" w:rsidRPr="00786C44">
        <w:rPr>
          <w:rFonts w:ascii="Times New Roman" w:hAnsi="Times New Roman" w:cs="Times New Roman"/>
          <w:sz w:val="24"/>
          <w:szCs w:val="24"/>
        </w:rPr>
        <w:t xml:space="preserve">  </w:t>
      </w:r>
    </w:p>
    <w:p w14:paraId="6768B168" w14:textId="77777777" w:rsidR="00C4428C" w:rsidRDefault="00F33AEC" w:rsidP="00C4428C">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4428C">
        <w:rPr>
          <w:rFonts w:ascii="Times New Roman" w:hAnsi="Times New Roman" w:cs="Times New Roman"/>
          <w:sz w:val="24"/>
          <w:szCs w:val="24"/>
        </w:rPr>
        <w:t>Commission may amend the certificate to reduce the maximum amount of water authorized to be transferred whenever it appears that an alternative source of water is available to the certificate holder from within the receiving river basin, including, but not limited to, the purchase of water from another water supplier within the receiving basin or to the transfer of water from another sub-basin within the receiving major river basin.</w:t>
      </w:r>
    </w:p>
    <w:p w14:paraId="366AC6BD" w14:textId="77777777" w:rsidR="00C4428C" w:rsidRDefault="00F33AEC" w:rsidP="00C4428C">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4428C">
        <w:rPr>
          <w:rFonts w:ascii="Times New Roman" w:hAnsi="Times New Roman" w:cs="Times New Roman"/>
          <w:sz w:val="24"/>
          <w:szCs w:val="24"/>
        </w:rPr>
        <w:t>Commission shall amend the certificate to reduce the maximum amount of water authorized to be transferred i</w:t>
      </w:r>
      <w:r w:rsidR="00EB522F">
        <w:rPr>
          <w:rFonts w:ascii="Times New Roman" w:hAnsi="Times New Roman" w:cs="Times New Roman"/>
          <w:sz w:val="24"/>
          <w:szCs w:val="24"/>
        </w:rPr>
        <w:t>f</w:t>
      </w:r>
      <w:r w:rsidR="00C4428C">
        <w:rPr>
          <w:rFonts w:ascii="Times New Roman" w:hAnsi="Times New Roman" w:cs="Times New Roman"/>
          <w:sz w:val="24"/>
          <w:szCs w:val="24"/>
        </w:rPr>
        <w:t xml:space="preserve"> the applicant’s </w:t>
      </w:r>
      <w:r w:rsidR="00F2122B">
        <w:rPr>
          <w:rFonts w:ascii="Times New Roman" w:hAnsi="Times New Roman" w:cs="Times New Roman"/>
          <w:sz w:val="24"/>
          <w:szCs w:val="24"/>
        </w:rPr>
        <w:t xml:space="preserve">actual future </w:t>
      </w:r>
      <w:r w:rsidR="00C4428C">
        <w:rPr>
          <w:rFonts w:ascii="Times New Roman" w:hAnsi="Times New Roman" w:cs="Times New Roman"/>
          <w:sz w:val="24"/>
          <w:szCs w:val="24"/>
        </w:rPr>
        <w:t>water needs are significantly less than the applicant’s projected water needs at the time the certificate was granted.</w:t>
      </w:r>
    </w:p>
    <w:p w14:paraId="3956FFFA" w14:textId="77777777" w:rsidR="00C4428C" w:rsidRDefault="00F33AEC" w:rsidP="00C4428C">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4428C">
        <w:rPr>
          <w:rFonts w:ascii="Times New Roman" w:hAnsi="Times New Roman" w:cs="Times New Roman"/>
          <w:sz w:val="24"/>
          <w:szCs w:val="24"/>
        </w:rPr>
        <w:t xml:space="preserve">applicant </w:t>
      </w:r>
      <w:r>
        <w:rPr>
          <w:rFonts w:ascii="Times New Roman" w:hAnsi="Times New Roman" w:cs="Times New Roman"/>
          <w:sz w:val="24"/>
          <w:szCs w:val="24"/>
        </w:rPr>
        <w:t xml:space="preserve">shall </w:t>
      </w:r>
      <w:r w:rsidR="00C4428C">
        <w:rPr>
          <w:rFonts w:ascii="Times New Roman" w:hAnsi="Times New Roman" w:cs="Times New Roman"/>
          <w:sz w:val="24"/>
          <w:szCs w:val="24"/>
        </w:rPr>
        <w:t>not resell the water that would be transferred pursuant to the certificate to another public water system.  This limitation shall not apply in the case of a proposed resale or transfer among public water systems within the receiving river basin as part of an inter-local agreement or other regional water supply arrangement, provided that each participant in the inter-local agreement or regional water supply arrangement is a co-applicant for the certificate and will be subject to all the terms, conditions, and limitations made applicable to any lead or primary applicant.</w:t>
      </w:r>
    </w:p>
    <w:p w14:paraId="59A6DFF4" w14:textId="77777777" w:rsidR="00C4428C" w:rsidRDefault="00C4428C" w:rsidP="00C4428C">
      <w:pPr>
        <w:pStyle w:val="ListParagraph"/>
        <w:numPr>
          <w:ilvl w:val="0"/>
          <w:numId w:val="19"/>
        </w:numPr>
        <w:spacing w:after="0" w:line="240" w:lineRule="auto"/>
        <w:rPr>
          <w:rFonts w:ascii="Times New Roman" w:hAnsi="Times New Roman" w:cs="Times New Roman"/>
          <w:sz w:val="24"/>
          <w:szCs w:val="24"/>
        </w:rPr>
      </w:pPr>
      <w:r w:rsidRPr="006F3922">
        <w:rPr>
          <w:rFonts w:ascii="Times New Roman" w:hAnsi="Times New Roman" w:cs="Times New Roman"/>
          <w:sz w:val="24"/>
          <w:szCs w:val="24"/>
        </w:rPr>
        <w:t>If the Commission determines that the record on which this Certificate is based is substantially in error or if new information becomes available that clearly demonstrates that any Finding of Fact (including those regarding environmental, hydrologic, or water use impacts) pursuant to G.S. § 143-215.22</w:t>
      </w:r>
      <w:r>
        <w:rPr>
          <w:rFonts w:ascii="Times New Roman" w:hAnsi="Times New Roman" w:cs="Times New Roman"/>
          <w:sz w:val="24"/>
          <w:szCs w:val="24"/>
        </w:rPr>
        <w:t>L</w:t>
      </w:r>
      <w:r w:rsidRPr="006F3922">
        <w:rPr>
          <w:rFonts w:ascii="Times New Roman" w:hAnsi="Times New Roman" w:cs="Times New Roman"/>
          <w:sz w:val="24"/>
          <w:szCs w:val="24"/>
        </w:rPr>
        <w:t>(</w:t>
      </w:r>
      <w:r>
        <w:rPr>
          <w:rFonts w:ascii="Times New Roman" w:hAnsi="Times New Roman" w:cs="Times New Roman"/>
          <w:sz w:val="24"/>
          <w:szCs w:val="24"/>
        </w:rPr>
        <w:t>k</w:t>
      </w:r>
      <w:r w:rsidRPr="006F3922">
        <w:rPr>
          <w:rFonts w:ascii="Times New Roman" w:hAnsi="Times New Roman" w:cs="Times New Roman"/>
          <w:sz w:val="24"/>
          <w:szCs w:val="24"/>
        </w:rPr>
        <w:t xml:space="preserve">) was not or is no longer supported or is materially incomplete, the Commission may reopen and modify this Certificate to ensure continued compliance with G.S. </w:t>
      </w:r>
      <w:r w:rsidR="00783EC1">
        <w:rPr>
          <w:rFonts w:ascii="Times New Roman" w:hAnsi="Times New Roman" w:cs="Times New Roman"/>
          <w:sz w:val="24"/>
          <w:szCs w:val="24"/>
        </w:rPr>
        <w:t>Chapter</w:t>
      </w:r>
      <w:r w:rsidRPr="006F3922">
        <w:rPr>
          <w:rFonts w:ascii="Times New Roman" w:hAnsi="Times New Roman" w:cs="Times New Roman"/>
          <w:sz w:val="24"/>
          <w:szCs w:val="24"/>
        </w:rPr>
        <w:t xml:space="preserve"> 143, </w:t>
      </w:r>
      <w:r w:rsidR="00783EC1">
        <w:rPr>
          <w:rFonts w:ascii="Times New Roman" w:hAnsi="Times New Roman" w:cs="Times New Roman"/>
          <w:sz w:val="24"/>
          <w:szCs w:val="24"/>
        </w:rPr>
        <w:t>Article</w:t>
      </w:r>
      <w:r w:rsidRPr="006F3922">
        <w:rPr>
          <w:rFonts w:ascii="Times New Roman" w:hAnsi="Times New Roman" w:cs="Times New Roman"/>
          <w:sz w:val="24"/>
          <w:szCs w:val="24"/>
        </w:rPr>
        <w:t xml:space="preserve"> 21, </w:t>
      </w:r>
      <w:r w:rsidR="00783EC1">
        <w:rPr>
          <w:rFonts w:ascii="Times New Roman" w:hAnsi="Times New Roman" w:cs="Times New Roman"/>
          <w:sz w:val="24"/>
          <w:szCs w:val="24"/>
        </w:rPr>
        <w:t>P</w:t>
      </w:r>
      <w:r w:rsidRPr="006F3922">
        <w:rPr>
          <w:rFonts w:ascii="Times New Roman" w:hAnsi="Times New Roman" w:cs="Times New Roman"/>
          <w:sz w:val="24"/>
          <w:szCs w:val="24"/>
        </w:rPr>
        <w:t>art 2A.</w:t>
      </w:r>
    </w:p>
    <w:p w14:paraId="71EA6E14" w14:textId="77777777" w:rsidR="00C4428C" w:rsidRDefault="00C4428C" w:rsidP="00C4428C">
      <w:pPr>
        <w:pStyle w:val="ListParagraph"/>
        <w:numPr>
          <w:ilvl w:val="0"/>
          <w:numId w:val="19"/>
        </w:numPr>
        <w:spacing w:after="0" w:line="240" w:lineRule="auto"/>
        <w:rPr>
          <w:rFonts w:ascii="Times New Roman" w:hAnsi="Times New Roman" w:cs="Times New Roman"/>
          <w:sz w:val="24"/>
          <w:szCs w:val="24"/>
        </w:rPr>
      </w:pPr>
      <w:r w:rsidRPr="00430A59">
        <w:rPr>
          <w:rFonts w:ascii="Times New Roman" w:hAnsi="Times New Roman" w:cs="Times New Roman"/>
          <w:sz w:val="24"/>
          <w:szCs w:val="24"/>
        </w:rPr>
        <w:t>The Towns of Cary and Apex shall be required to provide access at their existing intake site to other Jordan Lake water allocation holders that need access to utilize their allocation to the extent that this additional use is determined to be feasible by the Division of Water Resources. The cost associated with getting any necessary permits, engineering design, and associated construction costs are the responsibility of the allocation holder(s) requesting the access and not Cary and Apex.</w:t>
      </w:r>
    </w:p>
    <w:p w14:paraId="498DD852" w14:textId="77777777" w:rsidR="00B81682" w:rsidRPr="00B81682" w:rsidRDefault="00B81682" w:rsidP="00B81682">
      <w:pPr>
        <w:pStyle w:val="ListParagraph"/>
        <w:numPr>
          <w:ilvl w:val="0"/>
          <w:numId w:val="19"/>
        </w:numPr>
        <w:spacing w:after="0" w:line="240" w:lineRule="auto"/>
        <w:rPr>
          <w:rFonts w:ascii="Times New Roman" w:hAnsi="Times New Roman" w:cs="Times New Roman"/>
          <w:sz w:val="24"/>
          <w:szCs w:val="24"/>
        </w:rPr>
      </w:pPr>
      <w:r w:rsidRPr="00B81682">
        <w:rPr>
          <w:rFonts w:ascii="Times New Roman" w:hAnsi="Times New Roman" w:cs="Times New Roman"/>
          <w:sz w:val="24"/>
          <w:szCs w:val="24"/>
        </w:rPr>
        <w:t>Effective immediately and from this time on the Towns of Cary and Apex shall discharge at least the Required Discharge from the Towns of Cary and Apex’s service areas in the form of treated wastewater discharged to the Cape Fear River Basin (2-3) and Haw River Basin (2-1) receiving waters.  The Required Discharge shall be a calendar year average daily discharge measured in millions of gallons per day (“</w:t>
      </w:r>
      <w:proofErr w:type="spellStart"/>
      <w:r w:rsidRPr="00B81682">
        <w:rPr>
          <w:rFonts w:ascii="Times New Roman" w:hAnsi="Times New Roman" w:cs="Times New Roman"/>
          <w:sz w:val="24"/>
          <w:szCs w:val="24"/>
        </w:rPr>
        <w:t>mgd</w:t>
      </w:r>
      <w:proofErr w:type="spellEnd"/>
      <w:r w:rsidRPr="00B81682">
        <w:rPr>
          <w:rFonts w:ascii="Times New Roman" w:hAnsi="Times New Roman" w:cs="Times New Roman"/>
          <w:sz w:val="24"/>
          <w:szCs w:val="24"/>
        </w:rPr>
        <w:t xml:space="preserve">”) and calculated as follows:  </w:t>
      </w:r>
    </w:p>
    <w:p w14:paraId="61B0A0B9" w14:textId="77777777" w:rsidR="00B81682" w:rsidRPr="00B81682" w:rsidRDefault="00B81682" w:rsidP="00B81682">
      <w:pPr>
        <w:spacing w:after="0" w:line="240" w:lineRule="auto"/>
        <w:ind w:left="1800" w:firstLine="360"/>
        <w:rPr>
          <w:rFonts w:ascii="Times New Roman" w:hAnsi="Times New Roman" w:cs="Times New Roman"/>
          <w:sz w:val="24"/>
          <w:szCs w:val="24"/>
        </w:rPr>
      </w:pPr>
      <w:r w:rsidRPr="00B81682">
        <w:rPr>
          <w:rFonts w:ascii="Times New Roman" w:hAnsi="Times New Roman" w:cs="Times New Roman"/>
          <w:sz w:val="24"/>
          <w:szCs w:val="24"/>
        </w:rPr>
        <w:t xml:space="preserve">Required Discharge = </w:t>
      </w:r>
      <w:r w:rsidRPr="00B81682">
        <w:rPr>
          <w:rFonts w:ascii="Times New Roman" w:hAnsi="Times New Roman" w:cs="Times New Roman"/>
          <w:b/>
          <w:sz w:val="24"/>
          <w:szCs w:val="24"/>
        </w:rPr>
        <w:t xml:space="preserve">NBD – 9.756 </w:t>
      </w:r>
      <w:proofErr w:type="spellStart"/>
      <w:r w:rsidRPr="00B81682">
        <w:rPr>
          <w:rFonts w:ascii="Times New Roman" w:hAnsi="Times New Roman" w:cs="Times New Roman"/>
          <w:b/>
          <w:sz w:val="24"/>
          <w:szCs w:val="24"/>
        </w:rPr>
        <w:t>mgd</w:t>
      </w:r>
      <w:proofErr w:type="spellEnd"/>
    </w:p>
    <w:p w14:paraId="5012B85E" w14:textId="77777777" w:rsidR="00B81682" w:rsidRPr="00B81682" w:rsidRDefault="00B81682" w:rsidP="00B81682">
      <w:pPr>
        <w:spacing w:after="0" w:line="240" w:lineRule="auto"/>
        <w:ind w:left="360"/>
        <w:rPr>
          <w:rFonts w:ascii="Times New Roman" w:hAnsi="Times New Roman" w:cs="Times New Roman"/>
          <w:sz w:val="24"/>
          <w:szCs w:val="24"/>
        </w:rPr>
      </w:pPr>
    </w:p>
    <w:p w14:paraId="7937BBD9" w14:textId="77777777" w:rsidR="00B81682" w:rsidRPr="00B81682" w:rsidRDefault="00B81682" w:rsidP="00B81682">
      <w:pPr>
        <w:spacing w:after="0" w:line="240" w:lineRule="auto"/>
        <w:ind w:left="720"/>
        <w:rPr>
          <w:rFonts w:ascii="Times New Roman" w:hAnsi="Times New Roman" w:cs="Times New Roman"/>
          <w:sz w:val="24"/>
          <w:szCs w:val="24"/>
        </w:rPr>
      </w:pPr>
      <w:r w:rsidRPr="00B81682">
        <w:rPr>
          <w:rFonts w:ascii="Times New Roman" w:hAnsi="Times New Roman" w:cs="Times New Roman"/>
          <w:sz w:val="24"/>
          <w:szCs w:val="24"/>
        </w:rPr>
        <w:t xml:space="preserve">Neuse Basin Demand (“NBD”) = The three-year running annual average daily amount for the three preceding calendar years of all finished water supplied from sources within </w:t>
      </w:r>
      <w:r w:rsidRPr="00B81682">
        <w:rPr>
          <w:rFonts w:ascii="Times New Roman" w:hAnsi="Times New Roman" w:cs="Times New Roman"/>
          <w:sz w:val="24"/>
          <w:szCs w:val="24"/>
        </w:rPr>
        <w:lastRenderedPageBreak/>
        <w:t xml:space="preserve">the Haw River (2-1) and Cape Fear River (2-3) Basins, including both billed and unbilled amounts, expressed in </w:t>
      </w:r>
      <w:proofErr w:type="spellStart"/>
      <w:r w:rsidRPr="00B81682">
        <w:rPr>
          <w:rFonts w:ascii="Times New Roman" w:hAnsi="Times New Roman" w:cs="Times New Roman"/>
          <w:sz w:val="24"/>
          <w:szCs w:val="24"/>
        </w:rPr>
        <w:t>mgd</w:t>
      </w:r>
      <w:proofErr w:type="spellEnd"/>
      <w:r w:rsidRPr="00B81682">
        <w:rPr>
          <w:rFonts w:ascii="Times New Roman" w:hAnsi="Times New Roman" w:cs="Times New Roman"/>
          <w:sz w:val="24"/>
          <w:szCs w:val="24"/>
        </w:rPr>
        <w:t xml:space="preserve">, used by the Towns of Cary and Apex in the Neuse River Basin (10-1).  Unbilled amounts of finished water use are to be quantified using procedures detailed in AWWA’s M36 Water Audits and Loss Control Programs publication in effect as of 2017.  For purposes of this calculation, the annual average daily amount of all such finished water for calendar 2015 shall be 11.1 </w:t>
      </w:r>
      <w:proofErr w:type="spellStart"/>
      <w:r w:rsidRPr="00B81682">
        <w:rPr>
          <w:rFonts w:ascii="Times New Roman" w:hAnsi="Times New Roman" w:cs="Times New Roman"/>
          <w:sz w:val="24"/>
          <w:szCs w:val="24"/>
        </w:rPr>
        <w:t>mgd</w:t>
      </w:r>
      <w:proofErr w:type="spellEnd"/>
      <w:r w:rsidRPr="00B81682">
        <w:rPr>
          <w:rFonts w:ascii="Times New Roman" w:hAnsi="Times New Roman" w:cs="Times New Roman"/>
          <w:sz w:val="24"/>
          <w:szCs w:val="24"/>
        </w:rPr>
        <w:t xml:space="preserve"> and for calendar year 2016 shall be 11.2 </w:t>
      </w:r>
      <w:proofErr w:type="spellStart"/>
      <w:r w:rsidRPr="00B81682">
        <w:rPr>
          <w:rFonts w:ascii="Times New Roman" w:hAnsi="Times New Roman" w:cs="Times New Roman"/>
          <w:sz w:val="24"/>
          <w:szCs w:val="24"/>
        </w:rPr>
        <w:t>mgd</w:t>
      </w:r>
      <w:proofErr w:type="spellEnd"/>
      <w:r w:rsidRPr="00B81682">
        <w:rPr>
          <w:rFonts w:ascii="Times New Roman" w:hAnsi="Times New Roman" w:cs="Times New Roman"/>
          <w:sz w:val="24"/>
          <w:szCs w:val="24"/>
        </w:rPr>
        <w:t>.</w:t>
      </w:r>
    </w:p>
    <w:p w14:paraId="6A2E5B88" w14:textId="77777777" w:rsidR="00B81682" w:rsidRPr="00B81682" w:rsidRDefault="00B81682" w:rsidP="00B81682">
      <w:pPr>
        <w:spacing w:after="0" w:line="240" w:lineRule="auto"/>
        <w:ind w:left="360"/>
        <w:rPr>
          <w:rFonts w:ascii="Times New Roman" w:hAnsi="Times New Roman" w:cs="Times New Roman"/>
          <w:sz w:val="24"/>
          <w:szCs w:val="24"/>
        </w:rPr>
      </w:pPr>
    </w:p>
    <w:p w14:paraId="0F7A593C" w14:textId="77777777" w:rsidR="00B81682" w:rsidRPr="00B81682" w:rsidRDefault="00B81682" w:rsidP="00B81682">
      <w:pPr>
        <w:spacing w:after="0" w:line="240" w:lineRule="auto"/>
        <w:ind w:left="720" w:hanging="360"/>
        <w:rPr>
          <w:rFonts w:ascii="Times New Roman" w:hAnsi="Times New Roman" w:cs="Times New Roman"/>
          <w:sz w:val="24"/>
          <w:szCs w:val="24"/>
        </w:rPr>
      </w:pPr>
      <w:r w:rsidRPr="00B81682">
        <w:rPr>
          <w:rFonts w:ascii="Times New Roman" w:hAnsi="Times New Roman" w:cs="Times New Roman"/>
          <w:sz w:val="24"/>
          <w:szCs w:val="24"/>
        </w:rPr>
        <w:tab/>
        <w:t xml:space="preserve">The amount of treated wastewater that the Towns of Cary and Apex </w:t>
      </w:r>
      <w:proofErr w:type="gramStart"/>
      <w:r w:rsidRPr="00B81682">
        <w:rPr>
          <w:rFonts w:ascii="Times New Roman" w:hAnsi="Times New Roman" w:cs="Times New Roman"/>
          <w:sz w:val="24"/>
          <w:szCs w:val="24"/>
        </w:rPr>
        <w:t>actually discharge</w:t>
      </w:r>
      <w:proofErr w:type="gramEnd"/>
      <w:r w:rsidRPr="00B81682">
        <w:rPr>
          <w:rFonts w:ascii="Times New Roman" w:hAnsi="Times New Roman" w:cs="Times New Roman"/>
          <w:sz w:val="24"/>
          <w:szCs w:val="24"/>
        </w:rPr>
        <w:t xml:space="preserve"> to the Haw River Basin (2-1) and Cape Fear River Basin (2-3) receiving waters (the “Actual Discharge”) shall be the annual average daily flow calculated as the three-year running annual average daily treated wastewater discharged by the Towns of Cary and Apex to the Haw River Basin (2-1) and Cape Fear River Basin (2-3) receiving waters during the three preceding calendar years.  The Actual Discharge shall be determined without regard to which Town of Cary or Apex treatment facilities (whether by ownership or third-party contract) from which the treated wastewater is discharged.  For purposes of this calculation, the Actual Discharge for calendar 2015 shall be 4.3 </w:t>
      </w:r>
      <w:proofErr w:type="spellStart"/>
      <w:r w:rsidRPr="00B81682">
        <w:rPr>
          <w:rFonts w:ascii="Times New Roman" w:hAnsi="Times New Roman" w:cs="Times New Roman"/>
          <w:sz w:val="24"/>
          <w:szCs w:val="24"/>
        </w:rPr>
        <w:t>mgd</w:t>
      </w:r>
      <w:proofErr w:type="spellEnd"/>
      <w:r w:rsidRPr="00B81682">
        <w:rPr>
          <w:rFonts w:ascii="Times New Roman" w:hAnsi="Times New Roman" w:cs="Times New Roman"/>
          <w:sz w:val="24"/>
          <w:szCs w:val="24"/>
        </w:rPr>
        <w:t xml:space="preserve"> and for calendar year 2016 shall be 4.9 </w:t>
      </w:r>
      <w:proofErr w:type="spellStart"/>
      <w:r w:rsidRPr="00B81682">
        <w:rPr>
          <w:rFonts w:ascii="Times New Roman" w:hAnsi="Times New Roman" w:cs="Times New Roman"/>
          <w:sz w:val="24"/>
          <w:szCs w:val="24"/>
        </w:rPr>
        <w:t>mgd</w:t>
      </w:r>
      <w:proofErr w:type="spellEnd"/>
      <w:r w:rsidRPr="00B81682">
        <w:rPr>
          <w:rFonts w:ascii="Times New Roman" w:hAnsi="Times New Roman" w:cs="Times New Roman"/>
          <w:sz w:val="24"/>
          <w:szCs w:val="24"/>
        </w:rPr>
        <w:t>.  Return wastewater discharges from the Cary/Apex Water Treatment Plant are not to be included in the calculation of Actual Discharge.</w:t>
      </w:r>
    </w:p>
    <w:p w14:paraId="63BE0AB1" w14:textId="77777777" w:rsidR="00B81682" w:rsidRPr="00B81682" w:rsidRDefault="00B81682" w:rsidP="00B81682">
      <w:pPr>
        <w:spacing w:after="0" w:line="240" w:lineRule="auto"/>
        <w:ind w:left="720" w:hanging="360"/>
        <w:rPr>
          <w:rFonts w:ascii="Times New Roman" w:hAnsi="Times New Roman" w:cs="Times New Roman"/>
          <w:sz w:val="24"/>
          <w:szCs w:val="24"/>
        </w:rPr>
      </w:pPr>
    </w:p>
    <w:p w14:paraId="0CAD157A" w14:textId="77777777" w:rsidR="00B81682" w:rsidRPr="00B81682" w:rsidRDefault="00B81682" w:rsidP="00B81682">
      <w:pPr>
        <w:spacing w:after="0" w:line="240" w:lineRule="auto"/>
        <w:ind w:left="720" w:hanging="360"/>
        <w:rPr>
          <w:rFonts w:ascii="Times New Roman" w:hAnsi="Times New Roman" w:cs="Times New Roman"/>
          <w:sz w:val="24"/>
          <w:szCs w:val="24"/>
        </w:rPr>
      </w:pPr>
      <w:r w:rsidRPr="00B81682">
        <w:rPr>
          <w:rFonts w:ascii="Times New Roman" w:hAnsi="Times New Roman" w:cs="Times New Roman"/>
          <w:sz w:val="24"/>
          <w:szCs w:val="24"/>
        </w:rPr>
        <w:tab/>
        <w:t xml:space="preserve">The Towns of Cary and Apex shall include within the compliance and monitoring plan implementation protocols that are designed to achieve compliance with this Condition and to provide for the timely implementation of corrective measures for compliance purposes.  The implementation protocols shall not be modified or interpreted </w:t>
      </w:r>
      <w:proofErr w:type="gramStart"/>
      <w:r w:rsidRPr="00B81682">
        <w:rPr>
          <w:rFonts w:ascii="Times New Roman" w:hAnsi="Times New Roman" w:cs="Times New Roman"/>
          <w:sz w:val="24"/>
          <w:szCs w:val="24"/>
        </w:rPr>
        <w:t>so as to</w:t>
      </w:r>
      <w:proofErr w:type="gramEnd"/>
      <w:r w:rsidRPr="00B81682">
        <w:rPr>
          <w:rFonts w:ascii="Times New Roman" w:hAnsi="Times New Roman" w:cs="Times New Roman"/>
          <w:sz w:val="24"/>
          <w:szCs w:val="24"/>
        </w:rPr>
        <w:t xml:space="preserve"> reduce any required discharge; however, compliance with the implementation protocols in the compliance and monitoring plan shall be deemed to constitute compliance with this Condition. The time periods for corrective action included by the Towns of Cary and Apex in the implementation protocols, as approved by the Division of Water Resources, shall not be extended except for good cause shown as determined by the Division of Water Resources.  Nothing in this Condition shall restrict the authority of the Division of Water Resources to determine compliance with the implementation protocols in the compliance and monitoring plan or to require additional actions by the Towns of Cary and Apex to implement measures necessary to address unforeseen circumstances.</w:t>
      </w:r>
    </w:p>
    <w:p w14:paraId="671D8F62" w14:textId="77777777" w:rsidR="00B81682" w:rsidRPr="00B81682" w:rsidRDefault="00B81682" w:rsidP="00B81682">
      <w:pPr>
        <w:spacing w:after="0" w:line="240" w:lineRule="auto"/>
        <w:ind w:left="720" w:hanging="360"/>
        <w:rPr>
          <w:rFonts w:ascii="Times New Roman" w:hAnsi="Times New Roman" w:cs="Times New Roman"/>
          <w:sz w:val="24"/>
          <w:szCs w:val="24"/>
        </w:rPr>
      </w:pPr>
    </w:p>
    <w:p w14:paraId="741286ED" w14:textId="77777777" w:rsidR="00F35BD1" w:rsidRPr="00B81682" w:rsidRDefault="00B81682" w:rsidP="00B81682">
      <w:pPr>
        <w:spacing w:after="0" w:line="240" w:lineRule="auto"/>
        <w:ind w:left="720" w:hanging="360"/>
        <w:rPr>
          <w:rFonts w:ascii="Times New Roman" w:hAnsi="Times New Roman" w:cs="Times New Roman"/>
          <w:sz w:val="24"/>
          <w:szCs w:val="24"/>
        </w:rPr>
      </w:pPr>
      <w:r w:rsidRPr="00B81682">
        <w:rPr>
          <w:rFonts w:ascii="Times New Roman" w:hAnsi="Times New Roman" w:cs="Times New Roman"/>
          <w:sz w:val="24"/>
          <w:szCs w:val="24"/>
        </w:rPr>
        <w:tab/>
        <w:t>The Towns of Cary and Apex shall include in the compliance and monitoring plan additional, annual reporting information and data with respect to the following: (a) the Required Discharge; (b) all data supporting the computation of the NBD; (c) the Actual Discharge; (d) all data supporting the computation of the Actual Discharge; and (e) each of the mitigation measures and temporary compliance solutions undertaken by the Towns of Cary and Apex in the prior calendar year, the estimated impact of each such measure, and all data supporting each estimated impact ((a)-(e) are collectively the “Discharge Report”).</w:t>
      </w:r>
    </w:p>
    <w:p w14:paraId="05CF3A9F" w14:textId="77777777" w:rsidR="00460065" w:rsidRDefault="00460065" w:rsidP="00C4428C">
      <w:pPr>
        <w:spacing w:after="0" w:line="240" w:lineRule="auto"/>
        <w:contextualSpacing/>
        <w:rPr>
          <w:rFonts w:ascii="Times New Roman" w:hAnsi="Times New Roman" w:cs="Times New Roman"/>
          <w:sz w:val="24"/>
          <w:szCs w:val="24"/>
        </w:rPr>
      </w:pPr>
    </w:p>
    <w:p w14:paraId="7A089770" w14:textId="77777777" w:rsidR="00460065" w:rsidRDefault="00460065" w:rsidP="00C4428C">
      <w:pPr>
        <w:spacing w:after="0" w:line="240" w:lineRule="auto"/>
        <w:contextualSpacing/>
        <w:rPr>
          <w:rFonts w:ascii="Times New Roman" w:hAnsi="Times New Roman" w:cs="Times New Roman"/>
          <w:sz w:val="24"/>
          <w:szCs w:val="24"/>
        </w:rPr>
      </w:pPr>
    </w:p>
    <w:p w14:paraId="36A68DF0" w14:textId="77777777" w:rsidR="00460065" w:rsidRDefault="00460065" w:rsidP="00C4428C">
      <w:pPr>
        <w:spacing w:after="0" w:line="240" w:lineRule="auto"/>
        <w:contextualSpacing/>
        <w:rPr>
          <w:rFonts w:ascii="Times New Roman" w:hAnsi="Times New Roman" w:cs="Times New Roman"/>
          <w:sz w:val="24"/>
          <w:szCs w:val="24"/>
        </w:rPr>
      </w:pPr>
    </w:p>
    <w:p w14:paraId="2E9FF98B" w14:textId="77777777" w:rsidR="00C4428C" w:rsidRPr="00C4428C" w:rsidRDefault="00C4428C" w:rsidP="00C4428C">
      <w:pPr>
        <w:spacing w:after="0" w:line="240" w:lineRule="auto"/>
        <w:contextualSpacing/>
        <w:rPr>
          <w:rFonts w:ascii="Times New Roman" w:hAnsi="Times New Roman" w:cs="Times New Roman"/>
          <w:sz w:val="24"/>
          <w:szCs w:val="24"/>
        </w:rPr>
      </w:pPr>
      <w:r w:rsidRPr="00C4428C">
        <w:rPr>
          <w:rFonts w:ascii="Times New Roman" w:hAnsi="Times New Roman" w:cs="Times New Roman"/>
          <w:sz w:val="24"/>
          <w:szCs w:val="24"/>
        </w:rPr>
        <w:t>NOTICE: The holders of this certificate are jointly and severally responsible for compliance with</w:t>
      </w:r>
    </w:p>
    <w:p w14:paraId="4A351CAB" w14:textId="77777777" w:rsidR="00C4428C" w:rsidRPr="00C4428C" w:rsidRDefault="00C4428C" w:rsidP="00C4428C">
      <w:pPr>
        <w:spacing w:after="0" w:line="240" w:lineRule="auto"/>
        <w:contextualSpacing/>
        <w:rPr>
          <w:rFonts w:ascii="Times New Roman" w:hAnsi="Times New Roman" w:cs="Times New Roman"/>
          <w:sz w:val="24"/>
          <w:szCs w:val="24"/>
        </w:rPr>
      </w:pPr>
      <w:r w:rsidRPr="00C4428C">
        <w:rPr>
          <w:rFonts w:ascii="Times New Roman" w:hAnsi="Times New Roman" w:cs="Times New Roman"/>
          <w:sz w:val="24"/>
          <w:szCs w:val="24"/>
        </w:rPr>
        <w:t>the terms, conditions and requirements stated herein, and are therefore jointly and severally liable for</w:t>
      </w:r>
      <w:r>
        <w:rPr>
          <w:rFonts w:ascii="Times New Roman" w:hAnsi="Times New Roman" w:cs="Times New Roman"/>
          <w:sz w:val="24"/>
          <w:szCs w:val="24"/>
        </w:rPr>
        <w:t xml:space="preserve"> </w:t>
      </w:r>
      <w:r w:rsidRPr="00C4428C">
        <w:rPr>
          <w:rFonts w:ascii="Times New Roman" w:hAnsi="Times New Roman" w:cs="Times New Roman"/>
          <w:sz w:val="24"/>
          <w:szCs w:val="24"/>
        </w:rPr>
        <w:t>all penalties assessed to enforce such terms, conditions and requirements as provided in G.S. §143-215.6A.</w:t>
      </w:r>
    </w:p>
    <w:p w14:paraId="7299976C" w14:textId="77777777" w:rsidR="00C4428C" w:rsidRDefault="00C4428C" w:rsidP="00C4428C">
      <w:pPr>
        <w:spacing w:after="0" w:line="240" w:lineRule="auto"/>
        <w:contextualSpacing/>
        <w:rPr>
          <w:rFonts w:ascii="Times New Roman" w:hAnsi="Times New Roman" w:cs="Times New Roman"/>
          <w:sz w:val="24"/>
          <w:szCs w:val="24"/>
        </w:rPr>
      </w:pPr>
    </w:p>
    <w:p w14:paraId="0952F922" w14:textId="77777777" w:rsidR="00460065" w:rsidRDefault="00460065" w:rsidP="00C4428C">
      <w:pPr>
        <w:spacing w:after="0" w:line="240" w:lineRule="auto"/>
        <w:contextualSpacing/>
        <w:rPr>
          <w:rFonts w:ascii="Times New Roman" w:hAnsi="Times New Roman" w:cs="Times New Roman"/>
          <w:sz w:val="24"/>
          <w:szCs w:val="24"/>
        </w:rPr>
      </w:pPr>
    </w:p>
    <w:p w14:paraId="4F2C3A3C" w14:textId="77777777" w:rsidR="00C4428C" w:rsidRDefault="00C4428C" w:rsidP="00C4428C">
      <w:pPr>
        <w:spacing w:after="0" w:line="240" w:lineRule="auto"/>
        <w:contextualSpacing/>
        <w:rPr>
          <w:rFonts w:ascii="Times New Roman" w:hAnsi="Times New Roman" w:cs="Times New Roman"/>
          <w:sz w:val="24"/>
          <w:szCs w:val="24"/>
        </w:rPr>
      </w:pPr>
      <w:r w:rsidRPr="00C4428C">
        <w:rPr>
          <w:rFonts w:ascii="Times New Roman" w:hAnsi="Times New Roman" w:cs="Times New Roman"/>
          <w:sz w:val="24"/>
          <w:szCs w:val="24"/>
        </w:rPr>
        <w:t>This is the _______ day of _____________________, 20</w:t>
      </w:r>
      <w:r>
        <w:rPr>
          <w:rFonts w:ascii="Times New Roman" w:hAnsi="Times New Roman" w:cs="Times New Roman"/>
          <w:sz w:val="24"/>
          <w:szCs w:val="24"/>
        </w:rPr>
        <w:t>1</w:t>
      </w:r>
      <w:r w:rsidR="00B81682">
        <w:rPr>
          <w:rFonts w:ascii="Times New Roman" w:hAnsi="Times New Roman" w:cs="Times New Roman"/>
          <w:sz w:val="24"/>
          <w:szCs w:val="24"/>
        </w:rPr>
        <w:t>8</w:t>
      </w:r>
      <w:r w:rsidRPr="00C4428C">
        <w:rPr>
          <w:rFonts w:ascii="Times New Roman" w:hAnsi="Times New Roman" w:cs="Times New Roman"/>
          <w:sz w:val="24"/>
          <w:szCs w:val="24"/>
        </w:rPr>
        <w:t>.</w:t>
      </w:r>
    </w:p>
    <w:p w14:paraId="6EC2E211" w14:textId="77777777" w:rsidR="00C4428C" w:rsidRDefault="00C4428C" w:rsidP="00C4428C">
      <w:pPr>
        <w:spacing w:after="0" w:line="240" w:lineRule="auto"/>
        <w:contextualSpacing/>
        <w:rPr>
          <w:rFonts w:ascii="Times New Roman" w:hAnsi="Times New Roman" w:cs="Times New Roman"/>
          <w:sz w:val="24"/>
          <w:szCs w:val="24"/>
        </w:rPr>
      </w:pPr>
    </w:p>
    <w:p w14:paraId="456790F3" w14:textId="77777777" w:rsidR="00C4428C" w:rsidRDefault="00C4428C" w:rsidP="00C4428C">
      <w:pPr>
        <w:spacing w:after="0" w:line="240" w:lineRule="auto"/>
        <w:contextualSpacing/>
        <w:rPr>
          <w:rFonts w:ascii="Times New Roman" w:hAnsi="Times New Roman" w:cs="Times New Roman"/>
          <w:sz w:val="24"/>
          <w:szCs w:val="24"/>
        </w:rPr>
      </w:pPr>
    </w:p>
    <w:p w14:paraId="31308DF9" w14:textId="77777777" w:rsidR="000B208F" w:rsidRDefault="000B208F" w:rsidP="00C4428C">
      <w:pPr>
        <w:spacing w:after="0" w:line="240" w:lineRule="auto"/>
        <w:contextualSpacing/>
        <w:rPr>
          <w:rFonts w:ascii="Times New Roman" w:hAnsi="Times New Roman" w:cs="Times New Roman"/>
          <w:sz w:val="24"/>
          <w:szCs w:val="24"/>
        </w:rPr>
      </w:pPr>
    </w:p>
    <w:p w14:paraId="2EC35F2D" w14:textId="77777777" w:rsidR="000B208F" w:rsidRDefault="000B208F" w:rsidP="00C4428C">
      <w:pPr>
        <w:spacing w:after="0" w:line="240" w:lineRule="auto"/>
        <w:contextualSpacing/>
        <w:rPr>
          <w:rFonts w:ascii="Times New Roman" w:hAnsi="Times New Roman" w:cs="Times New Roman"/>
          <w:sz w:val="24"/>
          <w:szCs w:val="24"/>
        </w:rPr>
      </w:pPr>
    </w:p>
    <w:p w14:paraId="18271366" w14:textId="77777777" w:rsidR="000B208F" w:rsidRDefault="000B208F" w:rsidP="00C4428C">
      <w:pPr>
        <w:spacing w:after="0" w:line="240" w:lineRule="auto"/>
        <w:contextualSpacing/>
        <w:rPr>
          <w:rFonts w:ascii="Times New Roman" w:hAnsi="Times New Roman" w:cs="Times New Roman"/>
          <w:sz w:val="24"/>
          <w:szCs w:val="24"/>
        </w:rPr>
      </w:pPr>
    </w:p>
    <w:p w14:paraId="2E1FDF90" w14:textId="77777777" w:rsidR="000B208F" w:rsidRDefault="000B208F" w:rsidP="00C4428C">
      <w:pPr>
        <w:spacing w:after="0" w:line="240" w:lineRule="auto"/>
        <w:contextualSpacing/>
        <w:rPr>
          <w:rFonts w:ascii="Times New Roman" w:hAnsi="Times New Roman" w:cs="Times New Roman"/>
          <w:sz w:val="24"/>
          <w:szCs w:val="24"/>
        </w:rPr>
      </w:pPr>
    </w:p>
    <w:p w14:paraId="17D050EF" w14:textId="77777777" w:rsidR="000B208F" w:rsidRDefault="000B208F" w:rsidP="000B208F">
      <w:pPr>
        <w:jc w:val="right"/>
      </w:pPr>
      <w:r>
        <w:rPr>
          <w:rFonts w:ascii="Times New Roman" w:hAnsi="Times New Roman" w:cs="Times New Roman"/>
          <w:sz w:val="24"/>
          <w:szCs w:val="24"/>
        </w:rPr>
        <w:t>________________________________________</w:t>
      </w:r>
    </w:p>
    <w:p w14:paraId="2DBDAE74" w14:textId="77777777" w:rsidR="00A744A7" w:rsidRDefault="00B81682" w:rsidP="000B208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J.D. Solomon</w:t>
      </w:r>
      <w:r w:rsidR="000B208F">
        <w:rPr>
          <w:rFonts w:ascii="Times New Roman" w:hAnsi="Times New Roman" w:cs="Times New Roman"/>
          <w:sz w:val="24"/>
          <w:szCs w:val="24"/>
        </w:rPr>
        <w:t>, Chairman</w:t>
      </w:r>
    </w:p>
    <w:p w14:paraId="60DA5282" w14:textId="77777777" w:rsidR="000B208F" w:rsidRDefault="000B208F" w:rsidP="00786C44">
      <w:pPr>
        <w:rPr>
          <w:rFonts w:ascii="Times New Roman" w:hAnsi="Times New Roman" w:cs="Times New Roman"/>
          <w:sz w:val="24"/>
          <w:szCs w:val="24"/>
        </w:rPr>
      </w:pPr>
    </w:p>
    <w:p w14:paraId="329C322C" w14:textId="77777777" w:rsidR="00B401CE" w:rsidRDefault="00B401CE" w:rsidP="00786C44">
      <w:pPr>
        <w:rPr>
          <w:rFonts w:ascii="Times New Roman" w:hAnsi="Times New Roman" w:cs="Times New Roman"/>
          <w:sz w:val="24"/>
          <w:szCs w:val="24"/>
        </w:rPr>
      </w:pPr>
    </w:p>
    <w:p w14:paraId="2D3D9FDF" w14:textId="77777777" w:rsidR="0001281A" w:rsidRPr="00364EFC" w:rsidRDefault="0001281A" w:rsidP="00364EFC">
      <w:pPr>
        <w:rPr>
          <w:rFonts w:ascii="Times New Roman" w:hAnsi="Times New Roman" w:cs="Times New Roman"/>
          <w:sz w:val="24"/>
          <w:szCs w:val="24"/>
        </w:rPr>
      </w:pPr>
    </w:p>
    <w:sectPr w:rsidR="0001281A" w:rsidRPr="00364EFC" w:rsidSect="00364EF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58A3" w14:textId="77777777" w:rsidR="007F4B0A" w:rsidRDefault="007F4B0A" w:rsidP="00100F84">
      <w:pPr>
        <w:spacing w:after="0" w:line="240" w:lineRule="auto"/>
      </w:pPr>
      <w:r>
        <w:separator/>
      </w:r>
    </w:p>
  </w:endnote>
  <w:endnote w:type="continuationSeparator" w:id="0">
    <w:p w14:paraId="5DFBF215" w14:textId="77777777" w:rsidR="007F4B0A" w:rsidRDefault="007F4B0A" w:rsidP="0010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8AF1" w14:textId="77777777" w:rsidR="00040A4A" w:rsidRDefault="00040A4A">
    <w:pPr>
      <w:spacing w:after="0" w:line="200" w:lineRule="exact"/>
      <w:rPr>
        <w:sz w:val="20"/>
        <w:szCs w:val="20"/>
      </w:rPr>
    </w:pPr>
    <w:r>
      <w:rPr>
        <w:noProof/>
      </w:rPr>
      <mc:AlternateContent>
        <mc:Choice Requires="wps">
          <w:drawing>
            <wp:anchor distT="0" distB="0" distL="114300" distR="114300" simplePos="0" relativeHeight="251662336" behindDoc="1" locked="0" layoutInCell="1" allowOverlap="1" wp14:anchorId="3681F2D0" wp14:editId="324CE48A">
              <wp:simplePos x="0" y="0"/>
              <wp:positionH relativeFrom="page">
                <wp:posOffset>901700</wp:posOffset>
              </wp:positionH>
              <wp:positionV relativeFrom="page">
                <wp:posOffset>9543415</wp:posOffset>
              </wp:positionV>
              <wp:extent cx="158115" cy="101600"/>
              <wp:effectExtent l="0" t="0" r="0" b="381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846D7" w14:textId="77777777" w:rsidR="00040A4A" w:rsidRDefault="00040A4A">
                          <w:pPr>
                            <w:spacing w:after="0" w:line="160" w:lineRule="exact"/>
                            <w:ind w:left="20" w:right="-20"/>
                            <w:rPr>
                              <w:rFonts w:ascii="Shruti" w:eastAsia="Shruti" w:hAnsi="Shruti" w:cs="Shruti"/>
                              <w:sz w:val="12"/>
                              <w:szCs w:val="12"/>
                            </w:rPr>
                          </w:pPr>
                          <w:r>
                            <w:rPr>
                              <w:rFonts w:ascii="Shruti" w:eastAsia="Shruti" w:hAnsi="Shruti" w:cs="Shruti"/>
                              <w:spacing w:val="1"/>
                              <w:position w:val="4"/>
                              <w:sz w:val="12"/>
                              <w:szCs w:val="12"/>
                            </w:rPr>
                            <w:t>5-</w:t>
                          </w:r>
                          <w:r>
                            <w:fldChar w:fldCharType="begin"/>
                          </w:r>
                          <w:r>
                            <w:rPr>
                              <w:rFonts w:ascii="Shruti" w:eastAsia="Shruti" w:hAnsi="Shruti" w:cs="Shruti"/>
                              <w:position w:val="4"/>
                              <w:sz w:val="12"/>
                              <w:szCs w:val="12"/>
                            </w:rPr>
                            <w:instrText xml:space="preserve"> PAGE </w:instrText>
                          </w:r>
                          <w:r>
                            <w:fldChar w:fldCharType="separate"/>
                          </w:r>
                          <w:r>
                            <w:rPr>
                              <w:rFonts w:ascii="Shruti" w:eastAsia="Shruti" w:hAnsi="Shruti" w:cs="Shruti"/>
                              <w:noProof/>
                              <w:position w:val="4"/>
                              <w:sz w:val="12"/>
                              <w:szCs w:val="12"/>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F2D0" id="_x0000_t202" coordsize="21600,21600" o:spt="202" path="m,l,21600r21600,l21600,xe">
              <v:stroke joinstyle="miter"/>
              <v:path gradientshapeok="t" o:connecttype="rect"/>
            </v:shapetype>
            <v:shape id="Text Box 241" o:spid="_x0000_s1026" type="#_x0000_t202" style="position:absolute;margin-left:71pt;margin-top:751.45pt;width:12.45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" filled="f" stroked="f">
              <v:textbox inset="0,0,0,0">
                <w:txbxContent>
                  <w:p w14:paraId="4AE846D7" w14:textId="77777777" w:rsidR="00040A4A" w:rsidRDefault="00040A4A">
                    <w:pPr>
                      <w:spacing w:after="0" w:line="160" w:lineRule="exact"/>
                      <w:ind w:left="20" w:right="-20"/>
                      <w:rPr>
                        <w:rFonts w:ascii="Shruti" w:eastAsia="Shruti" w:hAnsi="Shruti" w:cs="Shruti"/>
                        <w:sz w:val="12"/>
                        <w:szCs w:val="12"/>
                      </w:rPr>
                    </w:pPr>
                    <w:r>
                      <w:rPr>
                        <w:rFonts w:ascii="Shruti" w:eastAsia="Shruti" w:hAnsi="Shruti" w:cs="Shruti"/>
                        <w:spacing w:val="1"/>
                        <w:position w:val="4"/>
                        <w:sz w:val="12"/>
                        <w:szCs w:val="12"/>
                      </w:rPr>
                      <w:t>5-</w:t>
                    </w:r>
                    <w:r>
                      <w:fldChar w:fldCharType="begin"/>
                    </w:r>
                    <w:r>
                      <w:rPr>
                        <w:rFonts w:ascii="Shruti" w:eastAsia="Shruti" w:hAnsi="Shruti" w:cs="Shruti"/>
                        <w:position w:val="4"/>
                        <w:sz w:val="12"/>
                        <w:szCs w:val="12"/>
                      </w:rPr>
                      <w:instrText xml:space="preserve"> PAGE </w:instrText>
                    </w:r>
                    <w:r>
                      <w:fldChar w:fldCharType="separate"/>
                    </w:r>
                    <w:r>
                      <w:rPr>
                        <w:rFonts w:ascii="Shruti" w:eastAsia="Shruti" w:hAnsi="Shruti" w:cs="Shruti"/>
                        <w:noProof/>
                        <w:position w:val="4"/>
                        <w:sz w:val="12"/>
                        <w:szCs w:val="12"/>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3919" w14:textId="77777777" w:rsidR="00040A4A" w:rsidRDefault="00040A4A">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5C40" w14:textId="77777777" w:rsidR="000204FC" w:rsidRDefault="000204FC"/>
  <w:p w14:paraId="2D14D8E5" w14:textId="77777777" w:rsidR="000204FC" w:rsidRDefault="000204FC"/>
  <w:p w14:paraId="13D19446" w14:textId="77777777" w:rsidR="000204FC" w:rsidRDefault="000204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ECB6" w14:textId="77777777" w:rsidR="007F4B0A" w:rsidRDefault="007F4B0A" w:rsidP="00100F84">
      <w:pPr>
        <w:spacing w:after="0" w:line="240" w:lineRule="auto"/>
      </w:pPr>
      <w:r>
        <w:separator/>
      </w:r>
    </w:p>
  </w:footnote>
  <w:footnote w:type="continuationSeparator" w:id="0">
    <w:p w14:paraId="0CCBFA99" w14:textId="77777777" w:rsidR="007F4B0A" w:rsidRDefault="007F4B0A" w:rsidP="00100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7244" w14:textId="77777777" w:rsidR="00040A4A" w:rsidRDefault="00040A4A" w:rsidP="004E07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3C8"/>
    <w:multiLevelType w:val="hybridMultilevel"/>
    <w:tmpl w:val="1586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E0C6"/>
    <w:multiLevelType w:val="hybridMultilevel"/>
    <w:tmpl w:val="D89035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307DDF"/>
    <w:multiLevelType w:val="hybridMultilevel"/>
    <w:tmpl w:val="07A6CFD2"/>
    <w:lvl w:ilvl="0" w:tplc="84D436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A46FC"/>
    <w:multiLevelType w:val="hybridMultilevel"/>
    <w:tmpl w:val="0E74B624"/>
    <w:lvl w:ilvl="0" w:tplc="D796421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0119F"/>
    <w:multiLevelType w:val="hybridMultilevel"/>
    <w:tmpl w:val="74FC694A"/>
    <w:lvl w:ilvl="0" w:tplc="A202D6B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3755F"/>
    <w:multiLevelType w:val="hybridMultilevel"/>
    <w:tmpl w:val="FF74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743B0"/>
    <w:multiLevelType w:val="hybridMultilevel"/>
    <w:tmpl w:val="87F06C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C115F"/>
    <w:multiLevelType w:val="hybridMultilevel"/>
    <w:tmpl w:val="C18CC092"/>
    <w:lvl w:ilvl="0" w:tplc="B374F00A">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8F7E7F"/>
    <w:multiLevelType w:val="hybridMultilevel"/>
    <w:tmpl w:val="87F06C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96C55"/>
    <w:multiLevelType w:val="hybridMultilevel"/>
    <w:tmpl w:val="4116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41D94"/>
    <w:multiLevelType w:val="hybridMultilevel"/>
    <w:tmpl w:val="F8B25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85636"/>
    <w:multiLevelType w:val="hybridMultilevel"/>
    <w:tmpl w:val="5D48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533EB"/>
    <w:multiLevelType w:val="hybridMultilevel"/>
    <w:tmpl w:val="9A24E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0B31F4"/>
    <w:multiLevelType w:val="hybridMultilevel"/>
    <w:tmpl w:val="2766DA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DC7566C"/>
    <w:multiLevelType w:val="hybridMultilevel"/>
    <w:tmpl w:val="87F06C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70840"/>
    <w:multiLevelType w:val="hybridMultilevel"/>
    <w:tmpl w:val="24A06726"/>
    <w:lvl w:ilvl="0" w:tplc="D7964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2545EA"/>
    <w:multiLevelType w:val="hybridMultilevel"/>
    <w:tmpl w:val="6F744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D6A63"/>
    <w:multiLevelType w:val="hybridMultilevel"/>
    <w:tmpl w:val="6CF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969DF"/>
    <w:multiLevelType w:val="hybridMultilevel"/>
    <w:tmpl w:val="DE9A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90528"/>
    <w:multiLevelType w:val="hybridMultilevel"/>
    <w:tmpl w:val="6F744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CE5779"/>
    <w:multiLevelType w:val="hybridMultilevel"/>
    <w:tmpl w:val="7024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B56AE"/>
    <w:multiLevelType w:val="hybridMultilevel"/>
    <w:tmpl w:val="51221E2E"/>
    <w:lvl w:ilvl="0" w:tplc="D79642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8"/>
  </w:num>
  <w:num w:numId="3">
    <w:abstractNumId w:val="11"/>
  </w:num>
  <w:num w:numId="4">
    <w:abstractNumId w:val="13"/>
  </w:num>
  <w:num w:numId="5">
    <w:abstractNumId w:val="0"/>
  </w:num>
  <w:num w:numId="6">
    <w:abstractNumId w:val="19"/>
  </w:num>
  <w:num w:numId="7">
    <w:abstractNumId w:val="5"/>
  </w:num>
  <w:num w:numId="8">
    <w:abstractNumId w:val="9"/>
  </w:num>
  <w:num w:numId="9">
    <w:abstractNumId w:val="20"/>
  </w:num>
  <w:num w:numId="10">
    <w:abstractNumId w:val="17"/>
  </w:num>
  <w:num w:numId="11">
    <w:abstractNumId w:val="10"/>
  </w:num>
  <w:num w:numId="12">
    <w:abstractNumId w:val="16"/>
  </w:num>
  <w:num w:numId="13">
    <w:abstractNumId w:val="12"/>
  </w:num>
  <w:num w:numId="14">
    <w:abstractNumId w:val="15"/>
  </w:num>
  <w:num w:numId="15">
    <w:abstractNumId w:val="21"/>
  </w:num>
  <w:num w:numId="16">
    <w:abstractNumId w:val="3"/>
  </w:num>
  <w:num w:numId="17">
    <w:abstractNumId w:val="14"/>
  </w:num>
  <w:num w:numId="18">
    <w:abstractNumId w:val="6"/>
  </w:num>
  <w:num w:numId="19">
    <w:abstractNumId w:val="8"/>
  </w:num>
  <w:num w:numId="20">
    <w:abstractNumId w:val="4"/>
  </w:num>
  <w:num w:numId="21">
    <w:abstractNumId w:val="2"/>
  </w:num>
  <w:num w:numId="22">
    <w:abstractNumId w:val="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796"/>
    <w:rsid w:val="000002E0"/>
    <w:rsid w:val="00011157"/>
    <w:rsid w:val="00011650"/>
    <w:rsid w:val="0001281A"/>
    <w:rsid w:val="00015115"/>
    <w:rsid w:val="000204FC"/>
    <w:rsid w:val="00026660"/>
    <w:rsid w:val="00040A4A"/>
    <w:rsid w:val="00041D59"/>
    <w:rsid w:val="00043775"/>
    <w:rsid w:val="0005772C"/>
    <w:rsid w:val="00062697"/>
    <w:rsid w:val="000A2ACE"/>
    <w:rsid w:val="000A5AC3"/>
    <w:rsid w:val="000A7EC8"/>
    <w:rsid w:val="000B208F"/>
    <w:rsid w:val="000B5A25"/>
    <w:rsid w:val="000B7BB7"/>
    <w:rsid w:val="000C045E"/>
    <w:rsid w:val="000C1FE5"/>
    <w:rsid w:val="000E0B29"/>
    <w:rsid w:val="000E249B"/>
    <w:rsid w:val="000E33F1"/>
    <w:rsid w:val="000E3698"/>
    <w:rsid w:val="00100F84"/>
    <w:rsid w:val="00122C69"/>
    <w:rsid w:val="00123B14"/>
    <w:rsid w:val="001431AA"/>
    <w:rsid w:val="001515ED"/>
    <w:rsid w:val="00151F79"/>
    <w:rsid w:val="00163053"/>
    <w:rsid w:val="00163F75"/>
    <w:rsid w:val="00177B82"/>
    <w:rsid w:val="00183FD7"/>
    <w:rsid w:val="0019297B"/>
    <w:rsid w:val="00194946"/>
    <w:rsid w:val="00194C06"/>
    <w:rsid w:val="00197C96"/>
    <w:rsid w:val="001A01A9"/>
    <w:rsid w:val="001A1EF5"/>
    <w:rsid w:val="001A4DD2"/>
    <w:rsid w:val="001B0FAD"/>
    <w:rsid w:val="001C4F71"/>
    <w:rsid w:val="001C769A"/>
    <w:rsid w:val="001F0966"/>
    <w:rsid w:val="002173E1"/>
    <w:rsid w:val="00220320"/>
    <w:rsid w:val="0022719D"/>
    <w:rsid w:val="0024500A"/>
    <w:rsid w:val="00246BEA"/>
    <w:rsid w:val="00257079"/>
    <w:rsid w:val="00266751"/>
    <w:rsid w:val="002669FC"/>
    <w:rsid w:val="00285AF6"/>
    <w:rsid w:val="002B312E"/>
    <w:rsid w:val="002B4BB9"/>
    <w:rsid w:val="002C284A"/>
    <w:rsid w:val="002C3ADF"/>
    <w:rsid w:val="002C4753"/>
    <w:rsid w:val="002D3D23"/>
    <w:rsid w:val="003009FF"/>
    <w:rsid w:val="00307CCB"/>
    <w:rsid w:val="00311757"/>
    <w:rsid w:val="003159BC"/>
    <w:rsid w:val="00316D65"/>
    <w:rsid w:val="003171D4"/>
    <w:rsid w:val="003221B2"/>
    <w:rsid w:val="00324977"/>
    <w:rsid w:val="00326FBA"/>
    <w:rsid w:val="00331697"/>
    <w:rsid w:val="0033660E"/>
    <w:rsid w:val="00340BE3"/>
    <w:rsid w:val="00357E4E"/>
    <w:rsid w:val="003610B5"/>
    <w:rsid w:val="00364EFC"/>
    <w:rsid w:val="0037234C"/>
    <w:rsid w:val="00372EA0"/>
    <w:rsid w:val="0037678C"/>
    <w:rsid w:val="003876DC"/>
    <w:rsid w:val="00397665"/>
    <w:rsid w:val="0039788B"/>
    <w:rsid w:val="003B3CD3"/>
    <w:rsid w:val="003C1796"/>
    <w:rsid w:val="003D70A6"/>
    <w:rsid w:val="003E145F"/>
    <w:rsid w:val="003F1F42"/>
    <w:rsid w:val="003F51DB"/>
    <w:rsid w:val="00430A59"/>
    <w:rsid w:val="00444617"/>
    <w:rsid w:val="00460065"/>
    <w:rsid w:val="00472174"/>
    <w:rsid w:val="0047509B"/>
    <w:rsid w:val="00475862"/>
    <w:rsid w:val="00475A61"/>
    <w:rsid w:val="00486E6A"/>
    <w:rsid w:val="004A03A2"/>
    <w:rsid w:val="004A2605"/>
    <w:rsid w:val="004A6698"/>
    <w:rsid w:val="004C63E3"/>
    <w:rsid w:val="004D2C0B"/>
    <w:rsid w:val="004D362F"/>
    <w:rsid w:val="004E07CB"/>
    <w:rsid w:val="004F494C"/>
    <w:rsid w:val="0050662A"/>
    <w:rsid w:val="005205E9"/>
    <w:rsid w:val="005215D7"/>
    <w:rsid w:val="005268CE"/>
    <w:rsid w:val="0053771F"/>
    <w:rsid w:val="005431AA"/>
    <w:rsid w:val="00555FFF"/>
    <w:rsid w:val="005615C5"/>
    <w:rsid w:val="0056411D"/>
    <w:rsid w:val="00564A81"/>
    <w:rsid w:val="00573499"/>
    <w:rsid w:val="00580528"/>
    <w:rsid w:val="0058484D"/>
    <w:rsid w:val="00584E06"/>
    <w:rsid w:val="005968DD"/>
    <w:rsid w:val="005A5083"/>
    <w:rsid w:val="005B3A6E"/>
    <w:rsid w:val="005B6C7F"/>
    <w:rsid w:val="005E6F00"/>
    <w:rsid w:val="006022BE"/>
    <w:rsid w:val="00614296"/>
    <w:rsid w:val="006179DD"/>
    <w:rsid w:val="00626866"/>
    <w:rsid w:val="006309ED"/>
    <w:rsid w:val="00633EE0"/>
    <w:rsid w:val="00646844"/>
    <w:rsid w:val="00656C7F"/>
    <w:rsid w:val="0067022C"/>
    <w:rsid w:val="0067307C"/>
    <w:rsid w:val="006766B5"/>
    <w:rsid w:val="006830B1"/>
    <w:rsid w:val="00685BD1"/>
    <w:rsid w:val="00694DCD"/>
    <w:rsid w:val="006A2D3E"/>
    <w:rsid w:val="006D4283"/>
    <w:rsid w:val="006F3922"/>
    <w:rsid w:val="00700543"/>
    <w:rsid w:val="00712B65"/>
    <w:rsid w:val="00725403"/>
    <w:rsid w:val="007305E7"/>
    <w:rsid w:val="00747E28"/>
    <w:rsid w:val="00766951"/>
    <w:rsid w:val="00772726"/>
    <w:rsid w:val="00783EC1"/>
    <w:rsid w:val="00786C44"/>
    <w:rsid w:val="00787FF4"/>
    <w:rsid w:val="00794862"/>
    <w:rsid w:val="00797784"/>
    <w:rsid w:val="007D5701"/>
    <w:rsid w:val="007E0AA8"/>
    <w:rsid w:val="007E51A0"/>
    <w:rsid w:val="007F426F"/>
    <w:rsid w:val="007F4B0A"/>
    <w:rsid w:val="007F4EAA"/>
    <w:rsid w:val="00802ACF"/>
    <w:rsid w:val="00805A35"/>
    <w:rsid w:val="008138AC"/>
    <w:rsid w:val="00823C50"/>
    <w:rsid w:val="00833F43"/>
    <w:rsid w:val="008547A9"/>
    <w:rsid w:val="00856A94"/>
    <w:rsid w:val="008600F9"/>
    <w:rsid w:val="008642AB"/>
    <w:rsid w:val="00866CCB"/>
    <w:rsid w:val="0087380F"/>
    <w:rsid w:val="00887FA5"/>
    <w:rsid w:val="00895DE3"/>
    <w:rsid w:val="008B4C0C"/>
    <w:rsid w:val="008C1924"/>
    <w:rsid w:val="008C7047"/>
    <w:rsid w:val="008D4E44"/>
    <w:rsid w:val="00907810"/>
    <w:rsid w:val="00912B3E"/>
    <w:rsid w:val="00915D48"/>
    <w:rsid w:val="00924A38"/>
    <w:rsid w:val="00927E8F"/>
    <w:rsid w:val="009463AE"/>
    <w:rsid w:val="00965276"/>
    <w:rsid w:val="00975EBD"/>
    <w:rsid w:val="009B79CD"/>
    <w:rsid w:val="009C0441"/>
    <w:rsid w:val="009D0796"/>
    <w:rsid w:val="009F1A7C"/>
    <w:rsid w:val="00A14C0D"/>
    <w:rsid w:val="00A14C51"/>
    <w:rsid w:val="00A15F3A"/>
    <w:rsid w:val="00A40D32"/>
    <w:rsid w:val="00A44F70"/>
    <w:rsid w:val="00A4557E"/>
    <w:rsid w:val="00A530F6"/>
    <w:rsid w:val="00A57A4C"/>
    <w:rsid w:val="00A57BD3"/>
    <w:rsid w:val="00A61AAD"/>
    <w:rsid w:val="00A744A7"/>
    <w:rsid w:val="00AA4313"/>
    <w:rsid w:val="00AB032F"/>
    <w:rsid w:val="00AE2400"/>
    <w:rsid w:val="00AE6191"/>
    <w:rsid w:val="00AF20BF"/>
    <w:rsid w:val="00AF21E1"/>
    <w:rsid w:val="00AF7E89"/>
    <w:rsid w:val="00B14313"/>
    <w:rsid w:val="00B401CE"/>
    <w:rsid w:val="00B46161"/>
    <w:rsid w:val="00B46C61"/>
    <w:rsid w:val="00B50021"/>
    <w:rsid w:val="00B51820"/>
    <w:rsid w:val="00B71D8E"/>
    <w:rsid w:val="00B81682"/>
    <w:rsid w:val="00B82290"/>
    <w:rsid w:val="00B85196"/>
    <w:rsid w:val="00B902B8"/>
    <w:rsid w:val="00B90D13"/>
    <w:rsid w:val="00BA21D3"/>
    <w:rsid w:val="00BB67EF"/>
    <w:rsid w:val="00BC1604"/>
    <w:rsid w:val="00BC6384"/>
    <w:rsid w:val="00BD4423"/>
    <w:rsid w:val="00BE0D1B"/>
    <w:rsid w:val="00BE41A3"/>
    <w:rsid w:val="00BF5D23"/>
    <w:rsid w:val="00C03513"/>
    <w:rsid w:val="00C10979"/>
    <w:rsid w:val="00C3171B"/>
    <w:rsid w:val="00C4171D"/>
    <w:rsid w:val="00C4428C"/>
    <w:rsid w:val="00C53C8A"/>
    <w:rsid w:val="00C64CA9"/>
    <w:rsid w:val="00C67488"/>
    <w:rsid w:val="00C75134"/>
    <w:rsid w:val="00C80317"/>
    <w:rsid w:val="00C84E6A"/>
    <w:rsid w:val="00C91713"/>
    <w:rsid w:val="00C97F52"/>
    <w:rsid w:val="00CA576A"/>
    <w:rsid w:val="00CB2AC2"/>
    <w:rsid w:val="00CB4269"/>
    <w:rsid w:val="00CD5D5E"/>
    <w:rsid w:val="00CD6841"/>
    <w:rsid w:val="00CE4F14"/>
    <w:rsid w:val="00CF78BE"/>
    <w:rsid w:val="00D00238"/>
    <w:rsid w:val="00D01DBD"/>
    <w:rsid w:val="00D05AEE"/>
    <w:rsid w:val="00D0704E"/>
    <w:rsid w:val="00D10150"/>
    <w:rsid w:val="00D16C52"/>
    <w:rsid w:val="00D20A53"/>
    <w:rsid w:val="00D33395"/>
    <w:rsid w:val="00D348D1"/>
    <w:rsid w:val="00D36F59"/>
    <w:rsid w:val="00D45EB8"/>
    <w:rsid w:val="00D52AA7"/>
    <w:rsid w:val="00D7616A"/>
    <w:rsid w:val="00D80AD9"/>
    <w:rsid w:val="00D817F6"/>
    <w:rsid w:val="00D87C52"/>
    <w:rsid w:val="00D87EC9"/>
    <w:rsid w:val="00D945EA"/>
    <w:rsid w:val="00DA050B"/>
    <w:rsid w:val="00DA6BFA"/>
    <w:rsid w:val="00DB110E"/>
    <w:rsid w:val="00DC1595"/>
    <w:rsid w:val="00DC5467"/>
    <w:rsid w:val="00DC6CCA"/>
    <w:rsid w:val="00DD2ED2"/>
    <w:rsid w:val="00DE6385"/>
    <w:rsid w:val="00DE749C"/>
    <w:rsid w:val="00DF7456"/>
    <w:rsid w:val="00E0391D"/>
    <w:rsid w:val="00E04DAD"/>
    <w:rsid w:val="00E279C9"/>
    <w:rsid w:val="00E317CC"/>
    <w:rsid w:val="00E34ABB"/>
    <w:rsid w:val="00E83275"/>
    <w:rsid w:val="00EB522F"/>
    <w:rsid w:val="00EB7550"/>
    <w:rsid w:val="00ED582A"/>
    <w:rsid w:val="00EE0C63"/>
    <w:rsid w:val="00EE7D78"/>
    <w:rsid w:val="00EF07DB"/>
    <w:rsid w:val="00EF2510"/>
    <w:rsid w:val="00F2122B"/>
    <w:rsid w:val="00F27DAC"/>
    <w:rsid w:val="00F3269A"/>
    <w:rsid w:val="00F33AEC"/>
    <w:rsid w:val="00F35BD1"/>
    <w:rsid w:val="00F71F12"/>
    <w:rsid w:val="00F775FB"/>
    <w:rsid w:val="00FA4166"/>
    <w:rsid w:val="00FB03D4"/>
    <w:rsid w:val="00FC5F80"/>
    <w:rsid w:val="00FD0FCA"/>
    <w:rsid w:val="00FD707E"/>
    <w:rsid w:val="00FE3FC9"/>
    <w:rsid w:val="00FE6EC8"/>
    <w:rsid w:val="00FF3CDA"/>
    <w:rsid w:val="00FF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B55ED"/>
  <w15:docId w15:val="{6085CDC5-ACE2-4601-9CDD-CAD3B7AC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69A"/>
    <w:pPr>
      <w:ind w:left="720"/>
      <w:contextualSpacing/>
    </w:pPr>
  </w:style>
  <w:style w:type="paragraph" w:styleId="Header">
    <w:name w:val="header"/>
    <w:basedOn w:val="Normal"/>
    <w:link w:val="HeaderChar"/>
    <w:uiPriority w:val="99"/>
    <w:unhideWhenUsed/>
    <w:rsid w:val="00100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F84"/>
  </w:style>
  <w:style w:type="paragraph" w:styleId="Footer">
    <w:name w:val="footer"/>
    <w:basedOn w:val="Normal"/>
    <w:link w:val="FooterChar"/>
    <w:uiPriority w:val="99"/>
    <w:unhideWhenUsed/>
    <w:rsid w:val="00100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F84"/>
  </w:style>
  <w:style w:type="paragraph" w:styleId="BalloonText">
    <w:name w:val="Balloon Text"/>
    <w:basedOn w:val="Normal"/>
    <w:link w:val="BalloonTextChar"/>
    <w:uiPriority w:val="99"/>
    <w:semiHidden/>
    <w:unhideWhenUsed/>
    <w:rsid w:val="0088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A5"/>
    <w:rPr>
      <w:rFonts w:ascii="Tahoma" w:hAnsi="Tahoma" w:cs="Tahoma"/>
      <w:sz w:val="16"/>
      <w:szCs w:val="16"/>
    </w:rPr>
  </w:style>
  <w:style w:type="character" w:styleId="CommentReference">
    <w:name w:val="annotation reference"/>
    <w:basedOn w:val="DefaultParagraphFont"/>
    <w:uiPriority w:val="99"/>
    <w:semiHidden/>
    <w:unhideWhenUsed/>
    <w:rsid w:val="00E34ABB"/>
    <w:rPr>
      <w:sz w:val="16"/>
      <w:szCs w:val="16"/>
    </w:rPr>
  </w:style>
  <w:style w:type="paragraph" w:styleId="CommentText">
    <w:name w:val="annotation text"/>
    <w:basedOn w:val="Normal"/>
    <w:link w:val="CommentTextChar"/>
    <w:uiPriority w:val="99"/>
    <w:semiHidden/>
    <w:unhideWhenUsed/>
    <w:rsid w:val="00E34ABB"/>
    <w:pPr>
      <w:spacing w:line="240" w:lineRule="auto"/>
    </w:pPr>
    <w:rPr>
      <w:sz w:val="20"/>
      <w:szCs w:val="20"/>
    </w:rPr>
  </w:style>
  <w:style w:type="character" w:customStyle="1" w:styleId="CommentTextChar">
    <w:name w:val="Comment Text Char"/>
    <w:basedOn w:val="DefaultParagraphFont"/>
    <w:link w:val="CommentText"/>
    <w:uiPriority w:val="99"/>
    <w:semiHidden/>
    <w:rsid w:val="00E34ABB"/>
    <w:rPr>
      <w:sz w:val="20"/>
      <w:szCs w:val="20"/>
    </w:rPr>
  </w:style>
  <w:style w:type="paragraph" w:styleId="CommentSubject">
    <w:name w:val="annotation subject"/>
    <w:basedOn w:val="CommentText"/>
    <w:next w:val="CommentText"/>
    <w:link w:val="CommentSubjectChar"/>
    <w:uiPriority w:val="99"/>
    <w:semiHidden/>
    <w:unhideWhenUsed/>
    <w:rsid w:val="00E34ABB"/>
    <w:rPr>
      <w:b/>
      <w:bCs/>
    </w:rPr>
  </w:style>
  <w:style w:type="character" w:customStyle="1" w:styleId="CommentSubjectChar">
    <w:name w:val="Comment Subject Char"/>
    <w:basedOn w:val="CommentTextChar"/>
    <w:link w:val="CommentSubject"/>
    <w:uiPriority w:val="99"/>
    <w:semiHidden/>
    <w:rsid w:val="00E34ABB"/>
    <w:rPr>
      <w:b/>
      <w:bCs/>
      <w:sz w:val="20"/>
      <w:szCs w:val="20"/>
    </w:rPr>
  </w:style>
  <w:style w:type="table" w:styleId="TableGrid">
    <w:name w:val="Table Grid"/>
    <w:basedOn w:val="TableNormal"/>
    <w:uiPriority w:val="59"/>
    <w:rsid w:val="00011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1650"/>
    <w:pPr>
      <w:spacing w:after="0" w:line="240" w:lineRule="auto"/>
    </w:pPr>
  </w:style>
  <w:style w:type="paragraph" w:styleId="Revision">
    <w:name w:val="Revision"/>
    <w:hidden/>
    <w:uiPriority w:val="99"/>
    <w:semiHidden/>
    <w:rsid w:val="00B822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4712">
      <w:bodyDiv w:val="1"/>
      <w:marLeft w:val="0"/>
      <w:marRight w:val="0"/>
      <w:marTop w:val="0"/>
      <w:marBottom w:val="0"/>
      <w:divBdr>
        <w:top w:val="none" w:sz="0" w:space="0" w:color="auto"/>
        <w:left w:val="none" w:sz="0" w:space="0" w:color="auto"/>
        <w:bottom w:val="none" w:sz="0" w:space="0" w:color="auto"/>
        <w:right w:val="none" w:sz="0" w:space="0" w:color="auto"/>
      </w:divBdr>
    </w:div>
    <w:div w:id="1225916573">
      <w:bodyDiv w:val="1"/>
      <w:marLeft w:val="0"/>
      <w:marRight w:val="0"/>
      <w:marTop w:val="0"/>
      <w:marBottom w:val="0"/>
      <w:divBdr>
        <w:top w:val="none" w:sz="0" w:space="0" w:color="auto"/>
        <w:left w:val="none" w:sz="0" w:space="0" w:color="auto"/>
        <w:bottom w:val="none" w:sz="0" w:space="0" w:color="auto"/>
        <w:right w:val="none" w:sz="0" w:space="0" w:color="auto"/>
      </w:divBdr>
    </w:div>
    <w:div w:id="21049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BA17C-DFF4-43C9-8A4A-E0DA64A5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7942</Words>
  <Characters>45274</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Nimmer, Kimberly</dc:creator>
  <cp:lastModifiedBy>Nimmer, Kim</cp:lastModifiedBy>
  <cp:revision>2</cp:revision>
  <cp:lastPrinted>2015-02-23T20:37:00Z</cp:lastPrinted>
  <dcterms:created xsi:type="dcterms:W3CDTF">2021-05-18T14:41:00Z</dcterms:created>
  <dcterms:modified xsi:type="dcterms:W3CDTF">2021-05-18T14:41:00Z</dcterms:modified>
</cp:coreProperties>
</file>