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1A56" w14:textId="77777777" w:rsidR="000F30E4" w:rsidRPr="000F30E4" w:rsidRDefault="000F30E4" w:rsidP="000F30E4">
      <w:pPr>
        <w:spacing w:after="0" w:line="240" w:lineRule="auto"/>
        <w:jc w:val="center"/>
        <w:rPr>
          <w:rFonts w:ascii="Calibri" w:eastAsia="Calibri" w:hAnsi="Calibri" w:cs="Arial"/>
          <w:b/>
          <w:sz w:val="16"/>
          <w:szCs w:val="16"/>
          <w:u w:val="single"/>
        </w:rPr>
      </w:pPr>
    </w:p>
    <w:p w14:paraId="6E26BF93" w14:textId="55EBDB3D" w:rsidR="00C70E40" w:rsidRPr="004E05D9" w:rsidRDefault="006B23C4" w:rsidP="00D12980">
      <w:pPr>
        <w:jc w:val="center"/>
        <w:rPr>
          <w:bCs/>
          <w:sz w:val="24"/>
          <w:szCs w:val="24"/>
          <w:u w:val="single"/>
        </w:rPr>
      </w:pPr>
      <w:r w:rsidRPr="006B23C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Distressed Unit</w:t>
      </w:r>
      <w:r w:rsidR="003B4CEA" w:rsidRPr="004E05D9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="006C4BD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Assessment </w:t>
      </w:r>
      <w:r w:rsidR="003B4CEA" w:rsidRPr="004E05D9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Criteria</w:t>
      </w:r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430"/>
        <w:gridCol w:w="2070"/>
        <w:gridCol w:w="2160"/>
        <w:gridCol w:w="1710"/>
      </w:tblGrid>
      <w:tr w:rsidR="00510E3C" w:rsidRPr="00830687" w14:paraId="4E33688E" w14:textId="77777777" w:rsidTr="00CE4B76">
        <w:trPr>
          <w:trHeight w:val="576"/>
          <w:tblHeader/>
        </w:trPr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3D61F71C" w14:textId="462F4C5B" w:rsidR="00510E3C" w:rsidRPr="005610EA" w:rsidRDefault="00692B29" w:rsidP="007712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Parameter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14:paraId="7251C06A" w14:textId="6D9DD002" w:rsidR="00510E3C" w:rsidRPr="005610EA" w:rsidRDefault="00510E3C" w:rsidP="0077129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Weight</w:t>
            </w:r>
          </w:p>
        </w:tc>
        <w:tc>
          <w:tcPr>
            <w:tcW w:w="4500" w:type="dxa"/>
            <w:gridSpan w:val="2"/>
            <w:shd w:val="clear" w:color="auto" w:fill="D0CECE" w:themeFill="background2" w:themeFillShade="E6"/>
            <w:vAlign w:val="bottom"/>
          </w:tcPr>
          <w:p w14:paraId="7E83A48E" w14:textId="77777777" w:rsidR="00510E3C" w:rsidRPr="005610EA" w:rsidRDefault="00510E3C" w:rsidP="0077129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Description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bottom"/>
          </w:tcPr>
          <w:p w14:paraId="1B4CC876" w14:textId="4E24D941" w:rsidR="00510E3C" w:rsidRPr="005610EA" w:rsidRDefault="00510E3C" w:rsidP="0077129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Formula</w:t>
            </w:r>
            <w:r w:rsidR="00EE34DF">
              <w:rPr>
                <w:rFonts w:cstheme="minorHAnsi"/>
                <w:b/>
                <w:sz w:val="21"/>
                <w:szCs w:val="21"/>
              </w:rPr>
              <w:t xml:space="preserve"> / Other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bottom"/>
          </w:tcPr>
          <w:p w14:paraId="6BB3077E" w14:textId="77777777" w:rsidR="00510E3C" w:rsidRPr="005610EA" w:rsidRDefault="00510E3C" w:rsidP="0077129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Data Source</w:t>
            </w:r>
          </w:p>
        </w:tc>
      </w:tr>
      <w:tr w:rsidR="00FA5907" w:rsidRPr="00A84F51" w14:paraId="604AC82E" w14:textId="77777777" w:rsidTr="00CE4B76">
        <w:trPr>
          <w:trHeight w:val="576"/>
        </w:trPr>
        <w:tc>
          <w:tcPr>
            <w:tcW w:w="10710" w:type="dxa"/>
            <w:gridSpan w:val="6"/>
            <w:shd w:val="clear" w:color="auto" w:fill="DEEAF6" w:themeFill="accent1" w:themeFillTint="33"/>
            <w:vAlign w:val="center"/>
          </w:tcPr>
          <w:p w14:paraId="7428E7A0" w14:textId="5F0DA60B" w:rsidR="00FA5907" w:rsidRPr="00A84F51" w:rsidRDefault="00FA5907" w:rsidP="00771299">
            <w:pPr>
              <w:rPr>
                <w:rFonts w:cstheme="minorHAnsi"/>
                <w:sz w:val="20"/>
                <w:szCs w:val="20"/>
              </w:rPr>
            </w:pPr>
            <w:r w:rsidRPr="002B480A">
              <w:rPr>
                <w:rFonts w:cstheme="minorHAnsi"/>
                <w:b/>
                <w:bCs/>
                <w:sz w:val="24"/>
                <w:szCs w:val="24"/>
              </w:rPr>
              <w:t>Criteria Required by Statute</w:t>
            </w:r>
          </w:p>
        </w:tc>
      </w:tr>
      <w:tr w:rsidR="00510E3C" w:rsidRPr="00A84F51" w14:paraId="12771F1A" w14:textId="77777777" w:rsidTr="008510C2">
        <w:trPr>
          <w:trHeight w:val="576"/>
        </w:trPr>
        <w:tc>
          <w:tcPr>
            <w:tcW w:w="1440" w:type="dxa"/>
            <w:vAlign w:val="center"/>
          </w:tcPr>
          <w:p w14:paraId="253EEC20" w14:textId="77777777" w:rsidR="00510E3C" w:rsidRPr="00A84F51" w:rsidRDefault="00510E3C" w:rsidP="0077129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Service Population</w:t>
            </w:r>
          </w:p>
        </w:tc>
        <w:tc>
          <w:tcPr>
            <w:tcW w:w="900" w:type="dxa"/>
            <w:vAlign w:val="center"/>
          </w:tcPr>
          <w:p w14:paraId="79F5479C" w14:textId="77777777" w:rsidR="00510E3C" w:rsidRPr="00A84F51" w:rsidRDefault="00510E3C" w:rsidP="007712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vAlign w:val="center"/>
          </w:tcPr>
          <w:p w14:paraId="635CE4D7" w14:textId="406BF1BF" w:rsidR="00510E3C" w:rsidRPr="00A84F51" w:rsidRDefault="00510E3C" w:rsidP="004D7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Identifies smaller systems (less than 10,000 people served). </w:t>
            </w:r>
          </w:p>
        </w:tc>
        <w:tc>
          <w:tcPr>
            <w:tcW w:w="2160" w:type="dxa"/>
            <w:vAlign w:val="center"/>
          </w:tcPr>
          <w:p w14:paraId="7DC3ED6F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078B9A7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 xml:space="preserve">Varied </w:t>
            </w:r>
          </w:p>
        </w:tc>
      </w:tr>
      <w:tr w:rsidR="00510E3C" w:rsidRPr="00A84F51" w14:paraId="421BACCD" w14:textId="77777777" w:rsidTr="008510C2">
        <w:trPr>
          <w:trHeight w:val="1574"/>
        </w:trPr>
        <w:tc>
          <w:tcPr>
            <w:tcW w:w="1440" w:type="dxa"/>
            <w:vAlign w:val="center"/>
          </w:tcPr>
          <w:p w14:paraId="7EF0DD57" w14:textId="77777777" w:rsidR="00510E3C" w:rsidRPr="00A84F51" w:rsidRDefault="00510E3C" w:rsidP="00771299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Transfers Out</w:t>
            </w:r>
          </w:p>
        </w:tc>
        <w:tc>
          <w:tcPr>
            <w:tcW w:w="900" w:type="dxa"/>
            <w:vAlign w:val="center"/>
          </w:tcPr>
          <w:p w14:paraId="79685BF2" w14:textId="77777777" w:rsidR="00510E3C" w:rsidRPr="00A84F51" w:rsidRDefault="00510E3C" w:rsidP="00561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vAlign w:val="center"/>
          </w:tcPr>
          <w:p w14:paraId="0EE2BB03" w14:textId="1FA11E60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 xml:space="preserve">Point scored when money is transferred out of </w:t>
            </w:r>
            <w:r>
              <w:rPr>
                <w:rFonts w:cstheme="minorHAnsi"/>
                <w:sz w:val="20"/>
                <w:szCs w:val="20"/>
              </w:rPr>
              <w:t xml:space="preserve">the system’s dedicated utility </w:t>
            </w:r>
            <w:r w:rsidRPr="00A84F51">
              <w:rPr>
                <w:rFonts w:cstheme="minorHAnsi"/>
                <w:sz w:val="20"/>
                <w:szCs w:val="20"/>
              </w:rPr>
              <w:t>fund in 2</w:t>
            </w:r>
            <w:r>
              <w:rPr>
                <w:rFonts w:cstheme="minorHAnsi"/>
                <w:sz w:val="20"/>
                <w:szCs w:val="20"/>
              </w:rPr>
              <w:t xml:space="preserve"> or more</w:t>
            </w:r>
            <w:r w:rsidRPr="00A84F51">
              <w:rPr>
                <w:rFonts w:cstheme="minorHAnsi"/>
                <w:sz w:val="20"/>
                <w:szCs w:val="20"/>
              </w:rPr>
              <w:t xml:space="preserve"> of </w:t>
            </w:r>
            <w:r w:rsidR="008E3542">
              <w:rPr>
                <w:rFonts w:cstheme="minorHAnsi"/>
                <w:sz w:val="20"/>
                <w:szCs w:val="20"/>
              </w:rPr>
              <w:t xml:space="preserve">the </w:t>
            </w:r>
            <w:r w:rsidRPr="00A84F51">
              <w:rPr>
                <w:rFonts w:cstheme="minorHAnsi"/>
                <w:sz w:val="20"/>
                <w:szCs w:val="20"/>
              </w:rPr>
              <w:t xml:space="preserve">last 5 </w:t>
            </w:r>
            <w:r w:rsidR="008E3542" w:rsidRPr="008C3E8A">
              <w:rPr>
                <w:rFonts w:cstheme="minorHAnsi"/>
                <w:sz w:val="20"/>
                <w:szCs w:val="20"/>
              </w:rPr>
              <w:t xml:space="preserve">fiscal </w:t>
            </w:r>
            <w:r w:rsidRPr="008C3E8A">
              <w:rPr>
                <w:rFonts w:cstheme="minorHAnsi"/>
                <w:sz w:val="20"/>
                <w:szCs w:val="20"/>
              </w:rPr>
              <w:t>years if the system also has a negative surplus</w:t>
            </w:r>
            <w:r w:rsidR="008E3542" w:rsidRPr="008C3E8A">
              <w:rPr>
                <w:rFonts w:cstheme="minorHAnsi"/>
                <w:sz w:val="20"/>
                <w:szCs w:val="20"/>
              </w:rPr>
              <w:t xml:space="preserve"> in the fiscal year of the transfer</w:t>
            </w:r>
            <w:r w:rsidR="00AF4E11" w:rsidRPr="008C3E8A">
              <w:rPr>
                <w:rFonts w:cstheme="minorHAnsi"/>
                <w:sz w:val="20"/>
                <w:szCs w:val="20"/>
              </w:rPr>
              <w:t xml:space="preserve">, or if the system has no debt and there is a negative surplus with </w:t>
            </w:r>
            <w:r w:rsidR="008C3E8A" w:rsidRPr="008C3E8A">
              <w:rPr>
                <w:rFonts w:cstheme="minorHAnsi"/>
                <w:sz w:val="20"/>
                <w:szCs w:val="20"/>
              </w:rPr>
              <w:t xml:space="preserve">debt service for </w:t>
            </w:r>
            <w:r w:rsidR="00AF4E11" w:rsidRPr="008C3E8A">
              <w:rPr>
                <w:rFonts w:cstheme="minorHAnsi"/>
                <w:sz w:val="20"/>
                <w:szCs w:val="20"/>
              </w:rPr>
              <w:t xml:space="preserve">a $1 million “test” project. </w:t>
            </w:r>
            <w:r w:rsidRPr="008C3E8A">
              <w:rPr>
                <w:rFonts w:cstheme="minorHAnsi"/>
                <w:sz w:val="20"/>
                <w:szCs w:val="20"/>
              </w:rPr>
              <w:t>This</w:t>
            </w:r>
            <w:r>
              <w:rPr>
                <w:rFonts w:cstheme="minorHAnsi"/>
                <w:sz w:val="20"/>
                <w:szCs w:val="20"/>
              </w:rPr>
              <w:t xml:space="preserve"> indicates that money generated by the utilities is not being put back into the system for improvements</w:t>
            </w:r>
            <w:r w:rsidRPr="00DD5088">
              <w:rPr>
                <w:rFonts w:cstheme="minorHAnsi"/>
                <w:sz w:val="20"/>
                <w:szCs w:val="20"/>
              </w:rPr>
              <w:t>.</w:t>
            </w:r>
            <w:r w:rsidR="00DD5088" w:rsidRPr="00DD508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B2D1425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B6A8FCD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510E3C" w:rsidRPr="00A84F51" w14:paraId="37C447C1" w14:textId="77777777" w:rsidTr="00FA7D33">
        <w:trPr>
          <w:trHeight w:val="1160"/>
        </w:trPr>
        <w:tc>
          <w:tcPr>
            <w:tcW w:w="1440" w:type="dxa"/>
            <w:vAlign w:val="center"/>
          </w:tcPr>
          <w:p w14:paraId="3AC0FBBB" w14:textId="77777777" w:rsidR="00510E3C" w:rsidRPr="00A84F51" w:rsidRDefault="00510E3C" w:rsidP="0077129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Transfers In</w:t>
            </w:r>
          </w:p>
        </w:tc>
        <w:tc>
          <w:tcPr>
            <w:tcW w:w="900" w:type="dxa"/>
            <w:vAlign w:val="center"/>
          </w:tcPr>
          <w:p w14:paraId="188604CF" w14:textId="77777777" w:rsidR="00510E3C" w:rsidRPr="00A84F51" w:rsidRDefault="00510E3C" w:rsidP="00561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vAlign w:val="center"/>
          </w:tcPr>
          <w:p w14:paraId="292350E1" w14:textId="672F71BC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Indicates that the system is not generating enough money to cover expenses. </w:t>
            </w:r>
            <w:r w:rsidRPr="00A84F51">
              <w:rPr>
                <w:rFonts w:cstheme="minorHAnsi"/>
                <w:sz w:val="20"/>
                <w:szCs w:val="20"/>
              </w:rPr>
              <w:t xml:space="preserve">Point scored when money is transferred into the </w:t>
            </w:r>
            <w:r>
              <w:rPr>
                <w:rFonts w:cstheme="minorHAnsi"/>
                <w:sz w:val="20"/>
                <w:szCs w:val="20"/>
              </w:rPr>
              <w:t>primary water/sewer</w:t>
            </w:r>
            <w:r w:rsidRPr="00A84F51">
              <w:rPr>
                <w:rFonts w:cstheme="minorHAnsi"/>
                <w:sz w:val="20"/>
                <w:szCs w:val="20"/>
              </w:rPr>
              <w:t xml:space="preserve"> fund </w:t>
            </w:r>
            <w:r>
              <w:rPr>
                <w:rFonts w:cstheme="minorHAnsi"/>
                <w:sz w:val="20"/>
                <w:szCs w:val="20"/>
              </w:rPr>
              <w:t xml:space="preserve">from other sources </w:t>
            </w:r>
            <w:r w:rsidRPr="00A84F51">
              <w:rPr>
                <w:rFonts w:cstheme="minorHAnsi"/>
                <w:sz w:val="20"/>
                <w:szCs w:val="20"/>
              </w:rPr>
              <w:t xml:space="preserve">in 2 or more of the last </w:t>
            </w: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A84F51">
              <w:rPr>
                <w:rFonts w:cstheme="minorHAnsi"/>
                <w:sz w:val="20"/>
                <w:szCs w:val="20"/>
              </w:rPr>
              <w:t>years.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4AE28A80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FE82444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510E3C" w:rsidRPr="00A84F51" w14:paraId="36E81A9E" w14:textId="77777777" w:rsidTr="00184CE6">
        <w:trPr>
          <w:trHeight w:val="1349"/>
        </w:trPr>
        <w:tc>
          <w:tcPr>
            <w:tcW w:w="1440" w:type="dxa"/>
            <w:vAlign w:val="center"/>
          </w:tcPr>
          <w:p w14:paraId="0001851E" w14:textId="77777777" w:rsidR="00510E3C" w:rsidRPr="00A84F51" w:rsidRDefault="00510E3C" w:rsidP="0077129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Debt Service Coverage Ratio (DSCR)</w:t>
            </w:r>
          </w:p>
        </w:tc>
        <w:tc>
          <w:tcPr>
            <w:tcW w:w="900" w:type="dxa"/>
            <w:vAlign w:val="center"/>
          </w:tcPr>
          <w:p w14:paraId="555C86BF" w14:textId="77777777" w:rsidR="00510E3C" w:rsidRPr="00A84F51" w:rsidRDefault="00510E3C" w:rsidP="00561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vAlign w:val="center"/>
          </w:tcPr>
          <w:p w14:paraId="263CADAD" w14:textId="28D94A3A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 xml:space="preserve">Measures unit’s ability to cover </w:t>
            </w:r>
            <w:r>
              <w:rPr>
                <w:rFonts w:cstheme="minorHAnsi"/>
                <w:sz w:val="20"/>
                <w:szCs w:val="20"/>
              </w:rPr>
              <w:t>loan payments by looking at revenue, expenses, and loan payments (principal and interest)</w:t>
            </w:r>
            <w:r w:rsidRPr="00A84F51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Threshold value is less than 1.1.</w:t>
            </w:r>
          </w:p>
        </w:tc>
        <w:tc>
          <w:tcPr>
            <w:tcW w:w="2160" w:type="dxa"/>
            <w:vAlign w:val="center"/>
          </w:tcPr>
          <w:p w14:paraId="00DF919B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(Operating revenues-operating expenses excluding depreciation) / (principal + interest payments)</w:t>
            </w:r>
          </w:p>
        </w:tc>
        <w:tc>
          <w:tcPr>
            <w:tcW w:w="1710" w:type="dxa"/>
            <w:vAlign w:val="center"/>
          </w:tcPr>
          <w:p w14:paraId="1BE18CED" w14:textId="77777777" w:rsidR="00510E3C" w:rsidRPr="00A84F51" w:rsidRDefault="00510E3C" w:rsidP="00771299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Calculated from LGC data</w:t>
            </w:r>
          </w:p>
        </w:tc>
      </w:tr>
      <w:tr w:rsidR="005C7D1C" w:rsidRPr="00A84F51" w14:paraId="596EBABD" w14:textId="77777777" w:rsidTr="00FA7D33">
        <w:trPr>
          <w:trHeight w:val="800"/>
        </w:trPr>
        <w:tc>
          <w:tcPr>
            <w:tcW w:w="4770" w:type="dxa"/>
            <w:gridSpan w:val="3"/>
            <w:vAlign w:val="center"/>
          </w:tcPr>
          <w:p w14:paraId="5B3EC50C" w14:textId="6BBCF150" w:rsidR="005C7D1C" w:rsidRPr="00A84F51" w:rsidRDefault="005C7D1C" w:rsidP="0077129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92B29">
              <w:rPr>
                <w:sz w:val="20"/>
                <w:szCs w:val="20"/>
              </w:rPr>
              <w:t>stablished, operational, and adequately funded program for repair, maintenance, and management</w:t>
            </w:r>
          </w:p>
        </w:tc>
        <w:tc>
          <w:tcPr>
            <w:tcW w:w="5940" w:type="dxa"/>
            <w:gridSpan w:val="3"/>
            <w:vAlign w:val="center"/>
          </w:tcPr>
          <w:p w14:paraId="2E3F9CCA" w14:textId="56469C85" w:rsidR="005C7D1C" w:rsidRPr="00A84F51" w:rsidRDefault="005C7D1C" w:rsidP="007712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This criterion is measured by other parameters that are identified by an asterisk (*) including compliance, flow moratorium, and </w:t>
            </w:r>
            <w:r w:rsidR="003E416B">
              <w:rPr>
                <w:rFonts w:cstheme="minorHAnsi"/>
                <w:sz w:val="20"/>
                <w:szCs w:val="20"/>
              </w:rPr>
              <w:t xml:space="preserve">UAL </w:t>
            </w:r>
            <w:r>
              <w:rPr>
                <w:rFonts w:cstheme="minorHAnsi"/>
                <w:sz w:val="20"/>
                <w:szCs w:val="20"/>
              </w:rPr>
              <w:t>control issues.</w:t>
            </w:r>
          </w:p>
        </w:tc>
      </w:tr>
      <w:tr w:rsidR="00CF5E2F" w:rsidRPr="00A84F51" w14:paraId="2F76FF2F" w14:textId="77777777" w:rsidTr="00CE4B76">
        <w:trPr>
          <w:trHeight w:val="576"/>
        </w:trPr>
        <w:tc>
          <w:tcPr>
            <w:tcW w:w="10710" w:type="dxa"/>
            <w:gridSpan w:val="6"/>
            <w:shd w:val="clear" w:color="auto" w:fill="DEEAF6" w:themeFill="accent1" w:themeFillTint="33"/>
            <w:vAlign w:val="center"/>
          </w:tcPr>
          <w:p w14:paraId="72EAA98A" w14:textId="1A727F06" w:rsidR="00CF5E2F" w:rsidRPr="00A84F51" w:rsidRDefault="00CF5E2F" w:rsidP="00CF5E2F">
            <w:pPr>
              <w:rPr>
                <w:rFonts w:cstheme="minorHAnsi"/>
                <w:sz w:val="20"/>
                <w:szCs w:val="20"/>
              </w:rPr>
            </w:pPr>
            <w:r w:rsidRPr="005610EA">
              <w:rPr>
                <w:rFonts w:cstheme="minorHAnsi"/>
                <w:b/>
                <w:bCs/>
                <w:sz w:val="24"/>
                <w:szCs w:val="24"/>
              </w:rPr>
              <w:t>Infrastructure/Organizational Criteria</w:t>
            </w:r>
          </w:p>
        </w:tc>
      </w:tr>
      <w:tr w:rsidR="00CF5E2F" w:rsidRPr="00A84F51" w14:paraId="7E9FA983" w14:textId="77777777" w:rsidTr="00BC357D">
        <w:trPr>
          <w:cantSplit/>
          <w:trHeight w:val="845"/>
        </w:trPr>
        <w:tc>
          <w:tcPr>
            <w:tcW w:w="1440" w:type="dxa"/>
            <w:vAlign w:val="center"/>
          </w:tcPr>
          <w:p w14:paraId="0151FF6C" w14:textId="187C7914" w:rsidR="00CF5E2F" w:rsidRPr="00A84F51" w:rsidRDefault="00CF5E2F" w:rsidP="00CF5E2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DW Compliance</w:t>
            </w:r>
            <w:r w:rsidR="005C7D1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900" w:type="dxa"/>
            <w:vAlign w:val="center"/>
          </w:tcPr>
          <w:p w14:paraId="41C09020" w14:textId="77777777" w:rsidR="00CF5E2F" w:rsidRPr="00A84F51" w:rsidRDefault="00CF5E2F" w:rsidP="00CF5E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vAlign w:val="center"/>
          </w:tcPr>
          <w:p w14:paraId="49BA710A" w14:textId="483A1984" w:rsidR="00CF5E2F" w:rsidRPr="00EF252E" w:rsidRDefault="00EF252E" w:rsidP="00CF5E2F">
            <w:pPr>
              <w:rPr>
                <w:rFonts w:cstheme="minorHAnsi"/>
                <w:sz w:val="20"/>
                <w:szCs w:val="20"/>
              </w:rPr>
            </w:pPr>
            <w:r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Point scored for more than </w:t>
            </w:r>
            <w:r w:rsidR="00E06D56"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5 MCL violations</w:t>
            </w:r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in </w:t>
            </w:r>
            <w:r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a 5-year period or for </w:t>
            </w:r>
            <w:r w:rsidR="00E06D56"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ongoing treatment </w:t>
            </w:r>
            <w:r w:rsidR="00EB45F7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technique </w:t>
            </w:r>
            <w:r w:rsidR="00E06D56"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violation</w:t>
            </w:r>
            <w:r w:rsidRPr="00EF252E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s. </w:t>
            </w:r>
            <w:r w:rsidR="00CF5E2F" w:rsidRPr="00EF25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08F608E" w14:textId="1C549DBF" w:rsidR="006B23C4" w:rsidRPr="006B23C4" w:rsidRDefault="006B23C4" w:rsidP="006B23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777EBD8" w14:textId="77777777" w:rsidR="00CF5E2F" w:rsidRPr="00A84F51" w:rsidRDefault="00CF5E2F" w:rsidP="00CF5E2F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NC DEQ-DWR</w:t>
            </w:r>
          </w:p>
        </w:tc>
      </w:tr>
    </w:tbl>
    <w:p w14:paraId="37B51ACD" w14:textId="77777777" w:rsidR="00BC357D" w:rsidRDefault="00BC357D">
      <w:r>
        <w:br w:type="page"/>
      </w:r>
      <w:bookmarkStart w:id="0" w:name="_GoBack"/>
      <w:bookmarkEnd w:id="0"/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4500"/>
        <w:gridCol w:w="2160"/>
        <w:gridCol w:w="1710"/>
      </w:tblGrid>
      <w:tr w:rsidR="00BC357D" w:rsidRPr="00830687" w14:paraId="45A21FB4" w14:textId="77777777" w:rsidTr="00D41CED">
        <w:trPr>
          <w:trHeight w:val="576"/>
          <w:tblHeader/>
        </w:trPr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5E29F5DA" w14:textId="77777777" w:rsidR="00BC357D" w:rsidRPr="005610EA" w:rsidRDefault="00BC357D" w:rsidP="00D41C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lastRenderedPageBreak/>
              <w:t>Parameter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14:paraId="0AC9A4D5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Weight</w:t>
            </w:r>
          </w:p>
        </w:tc>
        <w:tc>
          <w:tcPr>
            <w:tcW w:w="4500" w:type="dxa"/>
            <w:shd w:val="clear" w:color="auto" w:fill="D0CECE" w:themeFill="background2" w:themeFillShade="E6"/>
            <w:vAlign w:val="bottom"/>
          </w:tcPr>
          <w:p w14:paraId="74C543C9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Description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bottom"/>
          </w:tcPr>
          <w:p w14:paraId="4EC67001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Formula</w:t>
            </w:r>
            <w:r>
              <w:rPr>
                <w:rFonts w:cstheme="minorHAnsi"/>
                <w:b/>
                <w:sz w:val="21"/>
                <w:szCs w:val="21"/>
              </w:rPr>
              <w:t xml:space="preserve"> / Other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bottom"/>
          </w:tcPr>
          <w:p w14:paraId="2DC3A51D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Data Source</w:t>
            </w:r>
          </w:p>
        </w:tc>
      </w:tr>
      <w:tr w:rsidR="00C70E40" w:rsidRPr="001405F3" w14:paraId="57392049" w14:textId="77777777" w:rsidTr="00BC357D">
        <w:trPr>
          <w:cantSplit/>
          <w:trHeight w:val="576"/>
        </w:trPr>
        <w:tc>
          <w:tcPr>
            <w:tcW w:w="10710" w:type="dxa"/>
            <w:gridSpan w:val="5"/>
            <w:shd w:val="clear" w:color="auto" w:fill="DEEAF6" w:themeFill="accent1" w:themeFillTint="33"/>
            <w:vAlign w:val="center"/>
          </w:tcPr>
          <w:p w14:paraId="29810F6A" w14:textId="35DE998A" w:rsidR="00C70E40" w:rsidRPr="001405F3" w:rsidRDefault="00C70E40" w:rsidP="00CF5E2F">
            <w:pPr>
              <w:rPr>
                <w:rFonts w:cstheme="minorHAnsi"/>
                <w:sz w:val="20"/>
                <w:szCs w:val="20"/>
              </w:rPr>
            </w:pPr>
            <w:r w:rsidRPr="005610EA">
              <w:rPr>
                <w:rFonts w:cstheme="minorHAnsi"/>
                <w:b/>
                <w:bCs/>
                <w:sz w:val="24"/>
                <w:szCs w:val="24"/>
              </w:rPr>
              <w:t>Infrastructure/Organizational Criteria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BC357D" w:rsidRPr="00A84F51" w14:paraId="46AB6266" w14:textId="77777777" w:rsidTr="00BC357D">
        <w:trPr>
          <w:cantSplit/>
          <w:trHeight w:val="3860"/>
        </w:trPr>
        <w:tc>
          <w:tcPr>
            <w:tcW w:w="1440" w:type="dxa"/>
            <w:vAlign w:val="center"/>
          </w:tcPr>
          <w:p w14:paraId="19598B41" w14:textId="77777777" w:rsidR="00BC357D" w:rsidRPr="00A84F51" w:rsidRDefault="00BC357D" w:rsidP="00D41CED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WW /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CS </w:t>
            </w:r>
            <w:r w:rsidRPr="00A84F5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Compliance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900" w:type="dxa"/>
            <w:vAlign w:val="center"/>
          </w:tcPr>
          <w:p w14:paraId="1B3FFCAE" w14:textId="77777777" w:rsidR="00BC357D" w:rsidRPr="00A84F51" w:rsidRDefault="00BC357D" w:rsidP="00D41C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00CD5E4E" w14:textId="77777777" w:rsidR="00BC357D" w:rsidRPr="00184CE6" w:rsidRDefault="00BC357D" w:rsidP="00D41CED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184CE6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WW: Point scored if either in the top 10% for number of violations in a 5-year period, or a combination of in the top 20% for number of violations in a 5-year period and more than 50% of inspections document violations</w:t>
            </w:r>
            <w:r w:rsidRPr="00184CE6">
              <w:rPr>
                <w:rFonts w:cstheme="minorHAnsi"/>
                <w:sz w:val="20"/>
                <w:szCs w:val="20"/>
              </w:rPr>
              <w:t xml:space="preserve"> for wastewater treatment operations.  </w:t>
            </w:r>
          </w:p>
          <w:p w14:paraId="61A78790" w14:textId="77777777" w:rsidR="00BC357D" w:rsidRPr="00184CE6" w:rsidRDefault="00BC357D" w:rsidP="00D41CED">
            <w:pPr>
              <w:pStyle w:val="xmsonormal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184CE6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CS: Point scored if either the following occur:</w:t>
            </w:r>
          </w:p>
          <w:p w14:paraId="7308861D" w14:textId="77777777" w:rsidR="00BC357D" w:rsidRPr="00184CE6" w:rsidRDefault="00BC357D" w:rsidP="00D41CED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184CE6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The system is in the top </w:t>
            </w:r>
            <w:r w:rsidRPr="00184CE6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10% of systems for the number of SSO violations in a 5-year period and the top 20% for the number of SSOs per mile of collection system, or </w:t>
            </w:r>
          </w:p>
          <w:p w14:paraId="290DF3EF" w14:textId="77777777" w:rsidR="00BC357D" w:rsidRPr="00444F07" w:rsidRDefault="00BC357D" w:rsidP="00D41CED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184CE6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The system is in the top 20% of systems for the number of SSO violations in a 5-year period and the top 10% for the number of SSOs per mile of collection system.</w:t>
            </w:r>
          </w:p>
        </w:tc>
        <w:tc>
          <w:tcPr>
            <w:tcW w:w="2160" w:type="dxa"/>
            <w:vAlign w:val="center"/>
          </w:tcPr>
          <w:p w14:paraId="1753D2CC" w14:textId="77777777" w:rsidR="00BC357D" w:rsidRPr="00A84F51" w:rsidRDefault="00BC357D" w:rsidP="00D41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5CA8DB7" w14:textId="77777777" w:rsidR="00BC357D" w:rsidRPr="00A84F51" w:rsidRDefault="00BC357D" w:rsidP="00D41CED">
            <w:pPr>
              <w:rPr>
                <w:rFonts w:cstheme="minorHAnsi"/>
                <w:sz w:val="20"/>
                <w:szCs w:val="20"/>
              </w:rPr>
            </w:pPr>
            <w:r w:rsidRPr="00A84F51">
              <w:rPr>
                <w:rFonts w:cstheme="minorHAnsi"/>
                <w:sz w:val="20"/>
                <w:szCs w:val="20"/>
              </w:rPr>
              <w:t>NC DEQ-DWR</w:t>
            </w:r>
          </w:p>
        </w:tc>
      </w:tr>
      <w:tr w:rsidR="00CF5E2F" w:rsidRPr="001405F3" w14:paraId="756EC08C" w14:textId="77777777" w:rsidTr="00184CE6">
        <w:trPr>
          <w:trHeight w:val="1008"/>
        </w:trPr>
        <w:tc>
          <w:tcPr>
            <w:tcW w:w="1440" w:type="dxa"/>
            <w:vAlign w:val="center"/>
          </w:tcPr>
          <w:p w14:paraId="7ED05600" w14:textId="32264775" w:rsidR="00CF5E2F" w:rsidRPr="001405F3" w:rsidRDefault="00CF5E2F" w:rsidP="00CF5E2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405F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Flow Moratorium</w:t>
            </w:r>
            <w:r w:rsidR="005C7D1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900" w:type="dxa"/>
            <w:vAlign w:val="center"/>
          </w:tcPr>
          <w:p w14:paraId="19804C97" w14:textId="77777777" w:rsidR="00CF5E2F" w:rsidRPr="001405F3" w:rsidRDefault="00CF5E2F" w:rsidP="00CF5E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00" w:type="dxa"/>
            <w:vAlign w:val="center"/>
          </w:tcPr>
          <w:p w14:paraId="2B101295" w14:textId="7AD268D0" w:rsidR="00CF5E2F" w:rsidRPr="001405F3" w:rsidRDefault="00CF5E2F" w:rsidP="00CF5E2F">
            <w:pPr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cstheme="minorHAnsi"/>
                <w:sz w:val="20"/>
                <w:szCs w:val="20"/>
              </w:rPr>
              <w:t xml:space="preserve">Points scored when the </w:t>
            </w:r>
            <w:r>
              <w:rPr>
                <w:rFonts w:cstheme="minorHAnsi"/>
                <w:sz w:val="20"/>
                <w:szCs w:val="20"/>
              </w:rPr>
              <w:t>system</w:t>
            </w:r>
            <w:r w:rsidRPr="001405F3">
              <w:rPr>
                <w:rFonts w:cstheme="minorHAnsi"/>
                <w:sz w:val="20"/>
                <w:szCs w:val="20"/>
              </w:rPr>
              <w:t xml:space="preserve"> is under a moratorium preventing service expansion due to</w:t>
            </w:r>
            <w:r>
              <w:rPr>
                <w:rFonts w:cstheme="minorHAnsi"/>
                <w:sz w:val="20"/>
                <w:szCs w:val="20"/>
              </w:rPr>
              <w:t xml:space="preserve"> inability to treat wastewater or because the system has reached </w:t>
            </w:r>
            <w:r w:rsidRPr="001405F3">
              <w:rPr>
                <w:rFonts w:cstheme="minorHAnsi"/>
                <w:sz w:val="20"/>
                <w:szCs w:val="20"/>
              </w:rPr>
              <w:t xml:space="preserve">90% of permitted </w:t>
            </w:r>
            <w:r>
              <w:rPr>
                <w:rFonts w:cstheme="minorHAnsi"/>
                <w:sz w:val="20"/>
                <w:szCs w:val="20"/>
              </w:rPr>
              <w:t>capacity.</w:t>
            </w:r>
          </w:p>
        </w:tc>
        <w:tc>
          <w:tcPr>
            <w:tcW w:w="2160" w:type="dxa"/>
            <w:vAlign w:val="center"/>
          </w:tcPr>
          <w:p w14:paraId="22A5A371" w14:textId="77777777" w:rsidR="00CF5E2F" w:rsidRPr="001405F3" w:rsidRDefault="00CF5E2F" w:rsidP="00CF5E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7BDA33" w14:textId="77777777" w:rsidR="00CF5E2F" w:rsidRPr="001405F3" w:rsidRDefault="00CF5E2F" w:rsidP="00CF5E2F">
            <w:pPr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cstheme="minorHAnsi"/>
                <w:sz w:val="20"/>
                <w:szCs w:val="20"/>
              </w:rPr>
              <w:t>NC DEQ-DWR</w:t>
            </w:r>
          </w:p>
        </w:tc>
      </w:tr>
      <w:tr w:rsidR="00CE4B76" w:rsidRPr="001F5AD9" w14:paraId="2710DD14" w14:textId="77777777" w:rsidTr="00184CE6">
        <w:trPr>
          <w:trHeight w:val="864"/>
        </w:trPr>
        <w:tc>
          <w:tcPr>
            <w:tcW w:w="1440" w:type="dxa"/>
            <w:vAlign w:val="center"/>
          </w:tcPr>
          <w:p w14:paraId="34975F78" w14:textId="3BC51118" w:rsidR="00CE4B76" w:rsidRPr="001F5AD9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405F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Revenue Outlook</w:t>
            </w:r>
          </w:p>
        </w:tc>
        <w:tc>
          <w:tcPr>
            <w:tcW w:w="900" w:type="dxa"/>
            <w:vAlign w:val="center"/>
          </w:tcPr>
          <w:p w14:paraId="2E36507E" w14:textId="122D9CDE" w:rsidR="00CE4B76" w:rsidRPr="001F5AD9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0" w:type="dxa"/>
            <w:vAlign w:val="center"/>
          </w:tcPr>
          <w:p w14:paraId="74BAB9B4" w14:textId="7AE79E47" w:rsidR="00CE4B76" w:rsidRPr="001F5A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Reflects service unit’s ability to generate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income</w:t>
            </w:r>
            <w:r w:rsidRPr="001405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the future. Points scored when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system has high rates</w:t>
            </w:r>
            <w:r w:rsidRPr="001405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declining </w:t>
            </w:r>
            <w:r w:rsidRPr="001405F3">
              <w:rPr>
                <w:rFonts w:ascii="Calibri" w:hAnsi="Calibri" w:cs="Calibri"/>
                <w:color w:val="000000"/>
                <w:sz w:val="20"/>
                <w:szCs w:val="20"/>
              </w:rPr>
              <w:t>population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14:paraId="3A73169E" w14:textId="77777777" w:rsidR="00CE4B76" w:rsidRDefault="00CE4B76" w:rsidP="00CE4B7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6C377859" w14:textId="22AFFB63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1405F3">
              <w:rPr>
                <w:rFonts w:cstheme="minorHAnsi"/>
                <w:sz w:val="20"/>
                <w:szCs w:val="20"/>
              </w:rPr>
              <w:t>EFC</w:t>
            </w:r>
            <w:r>
              <w:rPr>
                <w:rFonts w:cstheme="minorHAnsi"/>
                <w:sz w:val="20"/>
                <w:szCs w:val="20"/>
              </w:rPr>
              <w:t xml:space="preserve"> rates; source of population varies</w:t>
            </w:r>
          </w:p>
        </w:tc>
      </w:tr>
      <w:tr w:rsidR="00CE4B76" w:rsidRPr="001F5AD9" w14:paraId="42F79970" w14:textId="77777777" w:rsidTr="007032CB">
        <w:trPr>
          <w:trHeight w:val="2150"/>
        </w:trPr>
        <w:tc>
          <w:tcPr>
            <w:tcW w:w="1440" w:type="dxa"/>
            <w:vAlign w:val="center"/>
          </w:tcPr>
          <w:p w14:paraId="64B0642F" w14:textId="77777777" w:rsidR="00CE4B76" w:rsidRPr="001F5AD9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F5AD9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Affordability</w:t>
            </w:r>
          </w:p>
        </w:tc>
        <w:tc>
          <w:tcPr>
            <w:tcW w:w="900" w:type="dxa"/>
            <w:vAlign w:val="center"/>
          </w:tcPr>
          <w:p w14:paraId="5E003A1C" w14:textId="77777777" w:rsidR="00CE4B76" w:rsidRPr="001F5AD9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A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6E482B6A" w14:textId="50BAB225" w:rsidR="00CE4B76" w:rsidRPr="001F5A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1F5AD9">
              <w:rPr>
                <w:rFonts w:cstheme="minorHAnsi"/>
                <w:sz w:val="20"/>
                <w:szCs w:val="20"/>
              </w:rPr>
              <w:t>Identifies economically disadvantaged communities by comparing the service area’s population change rate, poverty rate, median household income</w:t>
            </w:r>
            <w:r>
              <w:rPr>
                <w:rFonts w:cstheme="minorHAnsi"/>
                <w:sz w:val="20"/>
                <w:szCs w:val="20"/>
              </w:rPr>
              <w:t xml:space="preserve"> (MHI)</w:t>
            </w:r>
            <w:r w:rsidRPr="001F5AD9">
              <w:rPr>
                <w:rFonts w:cstheme="minorHAnsi"/>
                <w:sz w:val="20"/>
                <w:szCs w:val="20"/>
              </w:rPr>
              <w:t>, unemployment rate, and</w:t>
            </w:r>
            <w:r>
              <w:rPr>
                <w:rFonts w:cstheme="minorHAnsi"/>
                <w:sz w:val="20"/>
                <w:szCs w:val="20"/>
              </w:rPr>
              <w:t xml:space="preserve"> property valuation per capita </w:t>
            </w:r>
            <w:r w:rsidRPr="001F5AD9">
              <w:rPr>
                <w:rFonts w:cstheme="minorHAnsi"/>
                <w:sz w:val="20"/>
                <w:szCs w:val="20"/>
              </w:rPr>
              <w:t>to established state benchmarks.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5AD9">
              <w:rPr>
                <w:rFonts w:cstheme="minorHAnsi"/>
                <w:sz w:val="20"/>
                <w:szCs w:val="20"/>
              </w:rPr>
              <w:t>Point scored if 4 or 5 of these indicators are worse than the state benchmark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32557C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DD5088">
              <w:rPr>
                <w:rFonts w:cstheme="minorHAnsi"/>
                <w:b/>
                <w:bCs/>
                <w:sz w:val="20"/>
                <w:szCs w:val="20"/>
              </w:rPr>
              <w:t>ote that the benchmark values are updated every year.</w:t>
            </w:r>
          </w:p>
        </w:tc>
        <w:tc>
          <w:tcPr>
            <w:tcW w:w="2160" w:type="dxa"/>
            <w:vAlign w:val="center"/>
          </w:tcPr>
          <w:p w14:paraId="414B220C" w14:textId="3EBDB184" w:rsidR="00CE4B76" w:rsidRPr="00254E8F" w:rsidRDefault="00CE4B76" w:rsidP="00CE4B7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Current </w:t>
            </w:r>
            <w:r w:rsidRPr="00254E8F">
              <w:rPr>
                <w:rFonts w:cstheme="minorHAnsi"/>
                <w:sz w:val="20"/>
                <w:szCs w:val="20"/>
                <w:u w:val="single"/>
              </w:rPr>
              <w:t>Benchmarks:</w:t>
            </w:r>
          </w:p>
          <w:p w14:paraId="186B6356" w14:textId="00EC45B7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Population change: 4.42%</w:t>
            </w:r>
          </w:p>
          <w:p w14:paraId="25A896A4" w14:textId="6E70AFA3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Poverty rate: 14.0%</w:t>
            </w:r>
          </w:p>
          <w:p w14:paraId="798E4FD8" w14:textId="5EFFBA67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MHI: $52,413</w:t>
            </w:r>
          </w:p>
          <w:p w14:paraId="1EFB5698" w14:textId="352F17E5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Unemployment rate: 4.0%</w:t>
            </w:r>
          </w:p>
          <w:p w14:paraId="61B661A4" w14:textId="33BE9B9A" w:rsidR="00CE4B76" w:rsidRPr="001F5AD9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Property valuation per capita: $107,620</w:t>
            </w:r>
          </w:p>
        </w:tc>
        <w:tc>
          <w:tcPr>
            <w:tcW w:w="1710" w:type="dxa"/>
            <w:vAlign w:val="center"/>
          </w:tcPr>
          <w:p w14:paraId="2CCCAC38" w14:textId="32068C42" w:rsidR="00CE4B76" w:rsidRPr="001F5AD9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F5AD9">
              <w:rPr>
                <w:rFonts w:cstheme="minorHAnsi"/>
                <w:sz w:val="20"/>
                <w:szCs w:val="20"/>
              </w:rPr>
              <w:t>eveloped by DWI/SWIA</w:t>
            </w:r>
          </w:p>
        </w:tc>
      </w:tr>
      <w:tr w:rsidR="00CE4B76" w:rsidRPr="003C6B31" w14:paraId="3ADB2CCD" w14:textId="77777777" w:rsidTr="00075B9C">
        <w:trPr>
          <w:trHeight w:val="1565"/>
        </w:trPr>
        <w:tc>
          <w:tcPr>
            <w:tcW w:w="1440" w:type="dxa"/>
            <w:vAlign w:val="center"/>
          </w:tcPr>
          <w:p w14:paraId="2FC64743" w14:textId="77777777" w:rsidR="00CE4B76" w:rsidRPr="003C6B31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C6B3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Rates </w:t>
            </w:r>
          </w:p>
        </w:tc>
        <w:tc>
          <w:tcPr>
            <w:tcW w:w="900" w:type="dxa"/>
            <w:vAlign w:val="center"/>
          </w:tcPr>
          <w:p w14:paraId="64A8AC8E" w14:textId="77777777" w:rsidR="00CE4B76" w:rsidRPr="003C6B31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6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4777A4BC" w14:textId="004FCC6C" w:rsidR="00CE4B76" w:rsidRPr="003C6B31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C6B31">
              <w:rPr>
                <w:rFonts w:cstheme="minorHAnsi"/>
                <w:sz w:val="20"/>
                <w:szCs w:val="20"/>
              </w:rPr>
              <w:t>Point sco</w:t>
            </w:r>
            <w:r>
              <w:rPr>
                <w:rFonts w:cstheme="minorHAnsi"/>
                <w:sz w:val="20"/>
                <w:szCs w:val="20"/>
              </w:rPr>
              <w:t xml:space="preserve">red when rates are already high. Indicates that the </w:t>
            </w:r>
            <w:r w:rsidRPr="003C6B31">
              <w:rPr>
                <w:rFonts w:cstheme="minorHAnsi"/>
                <w:sz w:val="20"/>
                <w:szCs w:val="20"/>
              </w:rPr>
              <w:t xml:space="preserve">system is unlikely to be able to increase rates to improve revenue. </w:t>
            </w:r>
            <w:r>
              <w:rPr>
                <w:rFonts w:cstheme="minorHAnsi"/>
                <w:sz w:val="20"/>
                <w:szCs w:val="20"/>
              </w:rPr>
              <w:t>High rates thresholds are: &gt; $100/month for combined water and sewer service; &gt; $50/month for water service only; and      &gt; $60/month for wastewater service only.</w:t>
            </w:r>
          </w:p>
        </w:tc>
        <w:tc>
          <w:tcPr>
            <w:tcW w:w="2160" w:type="dxa"/>
            <w:vAlign w:val="center"/>
          </w:tcPr>
          <w:p w14:paraId="53F7A839" w14:textId="77777777" w:rsidR="00CE4B76" w:rsidRPr="003C6B31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2019 inside rate for 5,000 gallons used</w:t>
            </w:r>
          </w:p>
        </w:tc>
        <w:tc>
          <w:tcPr>
            <w:tcW w:w="1710" w:type="dxa"/>
            <w:vAlign w:val="center"/>
          </w:tcPr>
          <w:p w14:paraId="5EFD6A12" w14:textId="77777777" w:rsidR="00CE4B76" w:rsidRPr="003C6B31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C6B31">
              <w:rPr>
                <w:rFonts w:cstheme="minorHAnsi"/>
                <w:sz w:val="20"/>
                <w:szCs w:val="20"/>
              </w:rPr>
              <w:t>EFC</w:t>
            </w:r>
          </w:p>
        </w:tc>
      </w:tr>
      <w:tr w:rsidR="00CE4B76" w:rsidRPr="0032082A" w14:paraId="0BB48939" w14:textId="77777777" w:rsidTr="00EA4986">
        <w:trPr>
          <w:trHeight w:val="809"/>
        </w:trPr>
        <w:tc>
          <w:tcPr>
            <w:tcW w:w="1440" w:type="dxa"/>
            <w:vAlign w:val="center"/>
          </w:tcPr>
          <w:p w14:paraId="05527C68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DW Pop / Mile</w:t>
            </w:r>
          </w:p>
        </w:tc>
        <w:tc>
          <w:tcPr>
            <w:tcW w:w="900" w:type="dxa"/>
            <w:vAlign w:val="center"/>
          </w:tcPr>
          <w:p w14:paraId="487B63A5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67A9A2B3" w14:textId="388A2B5E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 xml:space="preserve">Evaluates population density. Lower density areas tend to face more service challenges. </w:t>
            </w:r>
            <w:r>
              <w:rPr>
                <w:rFonts w:cstheme="minorHAnsi"/>
                <w:sz w:val="20"/>
                <w:szCs w:val="20"/>
              </w:rPr>
              <w:t>Threshold value is less than 100.</w:t>
            </w:r>
          </w:p>
        </w:tc>
        <w:tc>
          <w:tcPr>
            <w:tcW w:w="2160" w:type="dxa"/>
            <w:vAlign w:val="center"/>
          </w:tcPr>
          <w:p w14:paraId="71D39CD1" w14:textId="22C6828D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Service </w:t>
            </w:r>
            <w:r w:rsidRPr="0032082A">
              <w:rPr>
                <w:rFonts w:cstheme="minorHAnsi"/>
                <w:sz w:val="20"/>
                <w:szCs w:val="20"/>
              </w:rPr>
              <w:t>Population/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82A">
              <w:rPr>
                <w:rFonts w:cstheme="minorHAnsi"/>
                <w:sz w:val="20"/>
                <w:szCs w:val="20"/>
              </w:rPr>
              <w:t>Miles of drinking water pipe</w:t>
            </w:r>
          </w:p>
        </w:tc>
        <w:tc>
          <w:tcPr>
            <w:tcW w:w="1710" w:type="dxa"/>
            <w:vAlign w:val="center"/>
          </w:tcPr>
          <w:p w14:paraId="5E33FE6D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 xml:space="preserve">LWSP (see above for population) </w:t>
            </w:r>
          </w:p>
        </w:tc>
      </w:tr>
      <w:tr w:rsidR="00CE4B76" w:rsidRPr="0032082A" w14:paraId="1C11E13E" w14:textId="77777777" w:rsidTr="00075B9C">
        <w:trPr>
          <w:trHeight w:val="1259"/>
        </w:trPr>
        <w:tc>
          <w:tcPr>
            <w:tcW w:w="1440" w:type="dxa"/>
            <w:vAlign w:val="center"/>
          </w:tcPr>
          <w:p w14:paraId="2800F938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Sewer Pop / Mile</w:t>
            </w:r>
          </w:p>
        </w:tc>
        <w:tc>
          <w:tcPr>
            <w:tcW w:w="900" w:type="dxa"/>
            <w:vAlign w:val="center"/>
          </w:tcPr>
          <w:p w14:paraId="4865A4F2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253FED12" w14:textId="00D286E4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Evaluates population density. Lower density areas tend to face more service challenges. Note</w:t>
            </w:r>
            <w:r>
              <w:rPr>
                <w:rFonts w:cstheme="minorHAnsi"/>
                <w:sz w:val="20"/>
                <w:szCs w:val="20"/>
              </w:rPr>
              <w:t xml:space="preserve"> that</w:t>
            </w:r>
            <w:r w:rsidRPr="0032082A">
              <w:rPr>
                <w:rFonts w:cstheme="minorHAnsi"/>
                <w:sz w:val="20"/>
                <w:szCs w:val="20"/>
              </w:rPr>
              <w:t xml:space="preserve"> there is a significant lack of data on miles of sewer line for small systems.</w:t>
            </w:r>
            <w:r>
              <w:rPr>
                <w:rFonts w:cstheme="minorHAnsi"/>
                <w:sz w:val="20"/>
                <w:szCs w:val="20"/>
              </w:rPr>
              <w:t xml:space="preserve"> Threshold value is less than 100.</w:t>
            </w:r>
          </w:p>
        </w:tc>
        <w:tc>
          <w:tcPr>
            <w:tcW w:w="2160" w:type="dxa"/>
            <w:vAlign w:val="center"/>
          </w:tcPr>
          <w:p w14:paraId="7E6C1D2E" w14:textId="278D93B9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Service Population/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82A">
              <w:rPr>
                <w:rFonts w:cstheme="minorHAnsi"/>
                <w:sz w:val="20"/>
                <w:szCs w:val="20"/>
              </w:rPr>
              <w:t>Miles of sewer pipe</w:t>
            </w:r>
          </w:p>
        </w:tc>
        <w:tc>
          <w:tcPr>
            <w:tcW w:w="1710" w:type="dxa"/>
            <w:vAlign w:val="center"/>
          </w:tcPr>
          <w:p w14:paraId="14A86AB2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 xml:space="preserve">NC DEQ-DWR </w:t>
            </w:r>
          </w:p>
        </w:tc>
      </w:tr>
    </w:tbl>
    <w:p w14:paraId="26E7D78C" w14:textId="77777777" w:rsidR="00BC357D" w:rsidRDefault="00BC357D">
      <w:r>
        <w:br w:type="page"/>
      </w:r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4500"/>
        <w:gridCol w:w="2160"/>
        <w:gridCol w:w="1710"/>
      </w:tblGrid>
      <w:tr w:rsidR="00BC357D" w:rsidRPr="00830687" w14:paraId="02CF5081" w14:textId="77777777" w:rsidTr="00D41CED">
        <w:trPr>
          <w:trHeight w:val="576"/>
          <w:tblHeader/>
        </w:trPr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6E53C165" w14:textId="77777777" w:rsidR="00BC357D" w:rsidRPr="005610EA" w:rsidRDefault="00BC357D" w:rsidP="00D41C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lastRenderedPageBreak/>
              <w:t>Parameter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14:paraId="1E2F4238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Weight</w:t>
            </w:r>
          </w:p>
        </w:tc>
        <w:tc>
          <w:tcPr>
            <w:tcW w:w="4500" w:type="dxa"/>
            <w:shd w:val="clear" w:color="auto" w:fill="D0CECE" w:themeFill="background2" w:themeFillShade="E6"/>
            <w:vAlign w:val="bottom"/>
          </w:tcPr>
          <w:p w14:paraId="160C2202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Description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bottom"/>
          </w:tcPr>
          <w:p w14:paraId="6A815B06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Formula</w:t>
            </w:r>
            <w:r>
              <w:rPr>
                <w:rFonts w:cstheme="minorHAnsi"/>
                <w:b/>
                <w:sz w:val="21"/>
                <w:szCs w:val="21"/>
              </w:rPr>
              <w:t xml:space="preserve"> / Other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bottom"/>
          </w:tcPr>
          <w:p w14:paraId="7F8DED23" w14:textId="77777777" w:rsidR="00BC357D" w:rsidRPr="005610EA" w:rsidRDefault="00BC357D" w:rsidP="00D41CE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610EA">
              <w:rPr>
                <w:rFonts w:cstheme="minorHAnsi"/>
                <w:b/>
                <w:sz w:val="21"/>
                <w:szCs w:val="21"/>
              </w:rPr>
              <w:t>Data Source</w:t>
            </w:r>
          </w:p>
        </w:tc>
      </w:tr>
      <w:tr w:rsidR="00BC357D" w:rsidRPr="001405F3" w14:paraId="375A5F48" w14:textId="77777777" w:rsidTr="00D41CED">
        <w:trPr>
          <w:cantSplit/>
          <w:trHeight w:val="576"/>
        </w:trPr>
        <w:tc>
          <w:tcPr>
            <w:tcW w:w="10710" w:type="dxa"/>
            <w:gridSpan w:val="5"/>
            <w:shd w:val="clear" w:color="auto" w:fill="DEEAF6" w:themeFill="accent1" w:themeFillTint="33"/>
            <w:vAlign w:val="center"/>
          </w:tcPr>
          <w:p w14:paraId="24AA6110" w14:textId="21F3F417" w:rsidR="00BC357D" w:rsidRPr="001405F3" w:rsidRDefault="00BC357D" w:rsidP="00D41CED">
            <w:pPr>
              <w:rPr>
                <w:rFonts w:cstheme="minorHAnsi"/>
                <w:sz w:val="20"/>
                <w:szCs w:val="20"/>
              </w:rPr>
            </w:pPr>
            <w:r w:rsidRPr="005610EA">
              <w:rPr>
                <w:rFonts w:cstheme="minorHAnsi"/>
                <w:b/>
                <w:bCs/>
                <w:sz w:val="24"/>
                <w:szCs w:val="24"/>
              </w:rPr>
              <w:t>Infrastructure/Organizational Criteria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CE4B76" w:rsidRPr="0032082A" w14:paraId="041592A8" w14:textId="77777777" w:rsidTr="00075B9C">
        <w:trPr>
          <w:cantSplit/>
          <w:trHeight w:val="971"/>
        </w:trPr>
        <w:tc>
          <w:tcPr>
            <w:tcW w:w="1440" w:type="dxa"/>
            <w:vAlign w:val="center"/>
          </w:tcPr>
          <w:p w14:paraId="74FAD24D" w14:textId="7A453242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UAL Control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Issues</w:t>
            </w: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- W/S only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900" w:type="dxa"/>
            <w:vAlign w:val="center"/>
          </w:tcPr>
          <w:p w14:paraId="5562B873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00" w:type="dxa"/>
            <w:vAlign w:val="center"/>
          </w:tcPr>
          <w:p w14:paraId="23E33189" w14:textId="4530B184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Points scored for systems that have been identified as medium</w:t>
            </w:r>
            <w:r>
              <w:rPr>
                <w:rFonts w:cstheme="minorHAnsi"/>
                <w:sz w:val="20"/>
                <w:szCs w:val="20"/>
              </w:rPr>
              <w:t xml:space="preserve"> risk (2)</w:t>
            </w:r>
            <w:r w:rsidRPr="0032082A">
              <w:rPr>
                <w:rFonts w:cstheme="minorHAnsi"/>
                <w:sz w:val="20"/>
                <w:szCs w:val="20"/>
              </w:rPr>
              <w:t xml:space="preserve"> or high risk</w:t>
            </w:r>
            <w:r>
              <w:rPr>
                <w:rFonts w:cstheme="minorHAnsi"/>
                <w:sz w:val="20"/>
                <w:szCs w:val="20"/>
              </w:rPr>
              <w:t xml:space="preserve"> (1)</w:t>
            </w:r>
            <w:r w:rsidRPr="0032082A">
              <w:rPr>
                <w:rFonts w:cstheme="minorHAnsi"/>
                <w:sz w:val="20"/>
                <w:szCs w:val="20"/>
              </w:rPr>
              <w:t xml:space="preserve"> of accounting control </w:t>
            </w:r>
            <w:r>
              <w:rPr>
                <w:rFonts w:cstheme="minorHAnsi"/>
                <w:sz w:val="20"/>
                <w:szCs w:val="20"/>
              </w:rPr>
              <w:t>issues</w:t>
            </w:r>
            <w:r w:rsidRPr="0032082A">
              <w:rPr>
                <w:rFonts w:cstheme="minorHAnsi"/>
                <w:sz w:val="20"/>
                <w:szCs w:val="20"/>
              </w:rPr>
              <w:t xml:space="preserve"> associated with water and/or sewer systems based on annual audits. </w:t>
            </w:r>
          </w:p>
        </w:tc>
        <w:tc>
          <w:tcPr>
            <w:tcW w:w="2160" w:type="dxa"/>
            <w:vAlign w:val="center"/>
          </w:tcPr>
          <w:p w14:paraId="5DF00758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C56AC1C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LGC</w:t>
            </w:r>
          </w:p>
        </w:tc>
      </w:tr>
      <w:tr w:rsidR="00CE4B76" w:rsidRPr="0032082A" w14:paraId="228F252F" w14:textId="77777777" w:rsidTr="00614BCA">
        <w:trPr>
          <w:cantSplit/>
          <w:trHeight w:val="576"/>
        </w:trPr>
        <w:tc>
          <w:tcPr>
            <w:tcW w:w="10710" w:type="dxa"/>
            <w:gridSpan w:val="5"/>
            <w:shd w:val="clear" w:color="auto" w:fill="DEEAF6" w:themeFill="accent1" w:themeFillTint="33"/>
            <w:vAlign w:val="center"/>
          </w:tcPr>
          <w:p w14:paraId="619815F4" w14:textId="3D2523ED" w:rsidR="00CE4B76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5610EA">
              <w:rPr>
                <w:rFonts w:cstheme="minorHAnsi"/>
                <w:b/>
                <w:bCs/>
                <w:sz w:val="24"/>
                <w:szCs w:val="24"/>
              </w:rPr>
              <w:t>Financial Criteria</w:t>
            </w:r>
          </w:p>
        </w:tc>
      </w:tr>
      <w:tr w:rsidR="00CE4B76" w:rsidRPr="0032082A" w14:paraId="51F50478" w14:textId="77777777" w:rsidTr="008510C2">
        <w:trPr>
          <w:cantSplit/>
          <w:trHeight w:val="501"/>
        </w:trPr>
        <w:tc>
          <w:tcPr>
            <w:tcW w:w="1440" w:type="dxa"/>
            <w:vAlign w:val="center"/>
          </w:tcPr>
          <w:p w14:paraId="1A290EC9" w14:textId="3564B21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UAL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Missing Audit</w:t>
            </w:r>
          </w:p>
        </w:tc>
        <w:tc>
          <w:tcPr>
            <w:tcW w:w="900" w:type="dxa"/>
            <w:vAlign w:val="center"/>
          </w:tcPr>
          <w:p w14:paraId="3428FB01" w14:textId="3D0E1485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00" w:type="dxa"/>
            <w:vAlign w:val="center"/>
          </w:tcPr>
          <w:p w14:paraId="554A0695" w14:textId="268D14D6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E236C7">
              <w:rPr>
                <w:rFonts w:cstheme="minorHAnsi"/>
                <w:sz w:val="20"/>
                <w:szCs w:val="20"/>
              </w:rPr>
              <w:t>If audit not submitted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236C7">
              <w:rPr>
                <w:rFonts w:cstheme="minorHAnsi"/>
                <w:sz w:val="20"/>
                <w:szCs w:val="20"/>
              </w:rPr>
              <w:t xml:space="preserve"> then treat as if on the UAL for control issues</w:t>
            </w:r>
            <w:r>
              <w:rPr>
                <w:rFonts w:cstheme="minorHAnsi"/>
                <w:sz w:val="20"/>
                <w:szCs w:val="20"/>
              </w:rPr>
              <w:t xml:space="preserve"> (for FY 19 audits)</w:t>
            </w:r>
          </w:p>
        </w:tc>
        <w:tc>
          <w:tcPr>
            <w:tcW w:w="2160" w:type="dxa"/>
            <w:vAlign w:val="center"/>
          </w:tcPr>
          <w:p w14:paraId="13EB602B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D50386" w14:textId="0A4B81DB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LGC</w:t>
            </w:r>
          </w:p>
        </w:tc>
      </w:tr>
      <w:tr w:rsidR="00CE4B76" w:rsidRPr="0032082A" w14:paraId="73DF2DBB" w14:textId="77777777" w:rsidTr="008510C2">
        <w:trPr>
          <w:cantSplit/>
          <w:trHeight w:val="979"/>
        </w:trPr>
        <w:tc>
          <w:tcPr>
            <w:tcW w:w="1440" w:type="dxa"/>
            <w:vAlign w:val="center"/>
          </w:tcPr>
          <w:p w14:paraId="4AA7DA66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Surplus (deficit) w/ Debt </w:t>
            </w:r>
          </w:p>
        </w:tc>
        <w:tc>
          <w:tcPr>
            <w:tcW w:w="900" w:type="dxa"/>
            <w:vAlign w:val="center"/>
          </w:tcPr>
          <w:p w14:paraId="24724AB5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00" w:type="dxa"/>
            <w:vAlign w:val="center"/>
          </w:tcPr>
          <w:p w14:paraId="16B9048C" w14:textId="2F5F299E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Identifies</w:t>
            </w:r>
            <w:r w:rsidRPr="003208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systems that are not generating enough revenue to cover expenses, asset depreciation, and debt payments.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Threshold value is less than or equal to $0.</w:t>
            </w:r>
          </w:p>
        </w:tc>
        <w:tc>
          <w:tcPr>
            <w:tcW w:w="2160" w:type="dxa"/>
            <w:vAlign w:val="center"/>
          </w:tcPr>
          <w:p w14:paraId="52F0307F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ascii="Calibri" w:hAnsi="Calibri" w:cs="Calibri"/>
                <w:color w:val="000000"/>
                <w:sz w:val="20"/>
                <w:szCs w:val="20"/>
              </w:rPr>
              <w:t>Operating Revenues-((Operating Expenses-Depreciation)+Long-term Debt Service)</w:t>
            </w:r>
          </w:p>
        </w:tc>
        <w:tc>
          <w:tcPr>
            <w:tcW w:w="1710" w:type="dxa"/>
            <w:vAlign w:val="center"/>
          </w:tcPr>
          <w:p w14:paraId="63815678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CE4B76" w:rsidRPr="0032082A" w14:paraId="63A0616D" w14:textId="77777777" w:rsidTr="008510C2">
        <w:trPr>
          <w:trHeight w:val="991"/>
        </w:trPr>
        <w:tc>
          <w:tcPr>
            <w:tcW w:w="1440" w:type="dxa"/>
            <w:vAlign w:val="center"/>
          </w:tcPr>
          <w:p w14:paraId="53EA4D9A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 Debt DSCR Test</w:t>
            </w:r>
          </w:p>
        </w:tc>
        <w:tc>
          <w:tcPr>
            <w:tcW w:w="900" w:type="dxa"/>
            <w:vAlign w:val="center"/>
          </w:tcPr>
          <w:p w14:paraId="5EAFF1B9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0C7289BB" w14:textId="222B2904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 xml:space="preserve">Similar to the DSCR calculated above but includes $1 million “test” project if system has no debt to </w:t>
            </w:r>
            <w:r>
              <w:rPr>
                <w:rFonts w:cstheme="minorHAnsi"/>
                <w:sz w:val="20"/>
                <w:szCs w:val="20"/>
              </w:rPr>
              <w:t xml:space="preserve">allow </w:t>
            </w:r>
            <w:r w:rsidRPr="0032082A">
              <w:rPr>
                <w:rFonts w:cstheme="minorHAnsi"/>
                <w:sz w:val="20"/>
                <w:szCs w:val="20"/>
              </w:rPr>
              <w:t>evaluat</w:t>
            </w:r>
            <w:r>
              <w:rPr>
                <w:rFonts w:cstheme="minorHAnsi"/>
                <w:sz w:val="20"/>
                <w:szCs w:val="20"/>
              </w:rPr>
              <w:t>ion of</w:t>
            </w:r>
            <w:r w:rsidRPr="0032082A">
              <w:rPr>
                <w:rFonts w:cstheme="minorHAnsi"/>
                <w:sz w:val="20"/>
                <w:szCs w:val="20"/>
              </w:rPr>
              <w:t xml:space="preserve"> the ability to finance a simple project</w:t>
            </w:r>
            <w:r>
              <w:rPr>
                <w:rFonts w:cstheme="minorHAnsi"/>
                <w:sz w:val="20"/>
                <w:szCs w:val="20"/>
              </w:rPr>
              <w:t>. Threshold value is 1.1.</w:t>
            </w:r>
          </w:p>
        </w:tc>
        <w:tc>
          <w:tcPr>
            <w:tcW w:w="2160" w:type="dxa"/>
            <w:vAlign w:val="center"/>
          </w:tcPr>
          <w:p w14:paraId="211A8322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1256BAC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CE4B76" w:rsidRPr="0032082A" w14:paraId="0476B7E6" w14:textId="77777777" w:rsidTr="008510C2">
        <w:trPr>
          <w:trHeight w:val="734"/>
        </w:trPr>
        <w:tc>
          <w:tcPr>
            <w:tcW w:w="1440" w:type="dxa"/>
            <w:vAlign w:val="center"/>
          </w:tcPr>
          <w:p w14:paraId="1AC6786E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% Depreciated</w:t>
            </w:r>
          </w:p>
        </w:tc>
        <w:tc>
          <w:tcPr>
            <w:tcW w:w="900" w:type="dxa"/>
            <w:vAlign w:val="center"/>
          </w:tcPr>
          <w:p w14:paraId="4B06C1AB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10C6FA3C" w14:textId="046F5E9D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Evaluates the financial impact of depreciation of water and sewer assets as they age</w:t>
            </w:r>
            <w:r>
              <w:rPr>
                <w:rFonts w:cstheme="minorHAnsi"/>
                <w:sz w:val="20"/>
                <w:szCs w:val="20"/>
              </w:rPr>
              <w:t>. Threshold value is greater than 50%.</w:t>
            </w:r>
          </w:p>
        </w:tc>
        <w:tc>
          <w:tcPr>
            <w:tcW w:w="2160" w:type="dxa"/>
            <w:vAlign w:val="center"/>
          </w:tcPr>
          <w:p w14:paraId="3C7A812D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BA69B9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CE4B76" w:rsidRPr="0032082A" w14:paraId="2F29B996" w14:textId="77777777" w:rsidTr="008510C2">
        <w:trPr>
          <w:trHeight w:val="991"/>
        </w:trPr>
        <w:tc>
          <w:tcPr>
            <w:tcW w:w="1440" w:type="dxa"/>
            <w:vAlign w:val="center"/>
          </w:tcPr>
          <w:p w14:paraId="5979B64A" w14:textId="77777777" w:rsidR="00CE4B76" w:rsidRPr="0032082A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2082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Operating Margin</w:t>
            </w:r>
          </w:p>
        </w:tc>
        <w:tc>
          <w:tcPr>
            <w:tcW w:w="900" w:type="dxa"/>
            <w:vAlign w:val="center"/>
          </w:tcPr>
          <w:p w14:paraId="2D531684" w14:textId="77777777" w:rsidR="00CE4B76" w:rsidRPr="0032082A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41C8A24D" w14:textId="69DC340F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Point scored if the system is not generating enough revenue to cover operating expenses.</w:t>
            </w:r>
            <w:r>
              <w:rPr>
                <w:rFonts w:cstheme="minorHAnsi"/>
                <w:sz w:val="20"/>
                <w:szCs w:val="20"/>
              </w:rPr>
              <w:t xml:space="preserve"> Threshold value is less than 0.</w:t>
            </w:r>
          </w:p>
        </w:tc>
        <w:tc>
          <w:tcPr>
            <w:tcW w:w="2160" w:type="dxa"/>
            <w:vAlign w:val="center"/>
          </w:tcPr>
          <w:p w14:paraId="4907411C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 xml:space="preserve">(Operating Revenue - Operating Expenses) / Operating Revenue  </w:t>
            </w:r>
          </w:p>
          <w:p w14:paraId="3659A08B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Includes depreciation</w:t>
            </w:r>
          </w:p>
        </w:tc>
        <w:tc>
          <w:tcPr>
            <w:tcW w:w="1710" w:type="dxa"/>
            <w:vAlign w:val="center"/>
          </w:tcPr>
          <w:p w14:paraId="2770D861" w14:textId="77777777" w:rsidR="00CE4B76" w:rsidRPr="0032082A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CE4B76" w:rsidRPr="00B12FD9" w14:paraId="04C1B231" w14:textId="77777777" w:rsidTr="008510C2">
        <w:trPr>
          <w:trHeight w:val="991"/>
        </w:trPr>
        <w:tc>
          <w:tcPr>
            <w:tcW w:w="1440" w:type="dxa"/>
            <w:vAlign w:val="center"/>
          </w:tcPr>
          <w:p w14:paraId="6EC179BE" w14:textId="77777777" w:rsidR="00CE4B76" w:rsidRPr="00B12FD9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12FD9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Quick Ratio</w:t>
            </w:r>
          </w:p>
        </w:tc>
        <w:tc>
          <w:tcPr>
            <w:tcW w:w="900" w:type="dxa"/>
            <w:vAlign w:val="center"/>
          </w:tcPr>
          <w:p w14:paraId="0F686E74" w14:textId="77777777" w:rsidR="00CE4B76" w:rsidRPr="00B12FD9" w:rsidRDefault="00CE4B76" w:rsidP="00CE4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2F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31947720" w14:textId="0D1B35D1" w:rsidR="00CE4B76" w:rsidRPr="00B12F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B12FD9">
              <w:rPr>
                <w:rFonts w:cstheme="minorHAnsi"/>
                <w:sz w:val="20"/>
                <w:szCs w:val="20"/>
              </w:rPr>
              <w:t xml:space="preserve">Evaluates a system’s ability to meet short-term financial obligations with </w:t>
            </w:r>
            <w:r>
              <w:rPr>
                <w:rFonts w:cstheme="minorHAnsi"/>
                <w:sz w:val="20"/>
                <w:szCs w:val="20"/>
              </w:rPr>
              <w:t>cash or easily accessible funds.</w:t>
            </w:r>
            <w:r w:rsidRPr="00B12F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Threshold value is less than 1.1.</w:t>
            </w:r>
          </w:p>
        </w:tc>
        <w:tc>
          <w:tcPr>
            <w:tcW w:w="2160" w:type="dxa"/>
            <w:vAlign w:val="center"/>
          </w:tcPr>
          <w:p w14:paraId="27AAC890" w14:textId="77777777" w:rsidR="00CE4B76" w:rsidRPr="00B12F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B12FD9">
              <w:rPr>
                <w:rFonts w:cstheme="minorHAnsi"/>
                <w:sz w:val="20"/>
                <w:szCs w:val="20"/>
              </w:rPr>
              <w:t xml:space="preserve">Current assets (excluding inventories and </w:t>
            </w:r>
            <w:proofErr w:type="spellStart"/>
            <w:r w:rsidRPr="00B12FD9">
              <w:rPr>
                <w:rFonts w:cstheme="minorHAnsi"/>
                <w:sz w:val="20"/>
                <w:szCs w:val="20"/>
              </w:rPr>
              <w:t>prepaids</w:t>
            </w:r>
            <w:proofErr w:type="spellEnd"/>
            <w:r w:rsidRPr="00B12FD9">
              <w:rPr>
                <w:rFonts w:cstheme="minorHAnsi"/>
                <w:sz w:val="20"/>
                <w:szCs w:val="20"/>
              </w:rPr>
              <w:t>) / current liabilities</w:t>
            </w:r>
          </w:p>
        </w:tc>
        <w:tc>
          <w:tcPr>
            <w:tcW w:w="1710" w:type="dxa"/>
            <w:vAlign w:val="center"/>
          </w:tcPr>
          <w:p w14:paraId="5DDD1028" w14:textId="77777777" w:rsidR="00CE4B76" w:rsidRPr="00B12F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CE4B76" w:rsidRPr="00AE0BD8" w14:paraId="36A412D6" w14:textId="77777777" w:rsidTr="008510C2">
        <w:trPr>
          <w:trHeight w:val="1469"/>
        </w:trPr>
        <w:tc>
          <w:tcPr>
            <w:tcW w:w="1440" w:type="dxa"/>
            <w:vAlign w:val="center"/>
          </w:tcPr>
          <w:p w14:paraId="15DDA53F" w14:textId="77777777" w:rsidR="00CE4B76" w:rsidRPr="00B12FD9" w:rsidRDefault="00CE4B76" w:rsidP="00CE4B7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12FD9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Receivables Ratio</w:t>
            </w:r>
          </w:p>
        </w:tc>
        <w:tc>
          <w:tcPr>
            <w:tcW w:w="900" w:type="dxa"/>
            <w:vAlign w:val="center"/>
          </w:tcPr>
          <w:p w14:paraId="73191223" w14:textId="77777777" w:rsidR="00CE4B76" w:rsidRPr="00B12FD9" w:rsidRDefault="00CE4B76" w:rsidP="00CE4B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74DB32AB" w14:textId="065ABA6C" w:rsidR="00CE4B76" w:rsidRPr="00B12FD9" w:rsidRDefault="00CE4B76" w:rsidP="00CE4B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Measures how well the system is collecting money from customers. Point scored for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year average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greater than or equal to 2.3 or if there is an increase of greater than or equal to 0.2 in each of the last two years which demonstrates a declining</w:t>
            </w: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trend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</w:t>
            </w: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bill payment.</w:t>
            </w:r>
          </w:p>
        </w:tc>
        <w:tc>
          <w:tcPr>
            <w:tcW w:w="2160" w:type="dxa"/>
            <w:vAlign w:val="center"/>
          </w:tcPr>
          <w:p w14:paraId="1833B592" w14:textId="77777777" w:rsidR="00CE4B76" w:rsidRDefault="00CE4B76" w:rsidP="00CE4B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Days Receivables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/billing period</w:t>
            </w:r>
          </w:p>
          <w:p w14:paraId="12C967CD" w14:textId="77777777" w:rsidR="00CE4B76" w:rsidRPr="00B12FD9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B12FD9">
              <w:rPr>
                <w:rFonts w:ascii="Calibri" w:hAnsi="Calibri" w:cs="Calibri"/>
                <w:color w:val="000000"/>
                <w:sz w:val="20"/>
                <w:szCs w:val="20"/>
              </w:rPr>
              <w:t>Days receivables=Net Customer Accounts Receivable/Charges for services /365</w:t>
            </w:r>
          </w:p>
        </w:tc>
        <w:tc>
          <w:tcPr>
            <w:tcW w:w="1710" w:type="dxa"/>
            <w:vAlign w:val="center"/>
          </w:tcPr>
          <w:p w14:paraId="539FDB12" w14:textId="77777777" w:rsidR="00CE4B76" w:rsidRPr="00AE0BD8" w:rsidRDefault="00CE4B76" w:rsidP="00CE4B76">
            <w:pPr>
              <w:rPr>
                <w:rFonts w:cstheme="minorHAnsi"/>
                <w:sz w:val="20"/>
                <w:szCs w:val="20"/>
              </w:rPr>
            </w:pPr>
            <w:r w:rsidRPr="0032082A">
              <w:rPr>
                <w:rFonts w:cstheme="minorHAnsi"/>
                <w:sz w:val="20"/>
                <w:szCs w:val="20"/>
              </w:rPr>
              <w:t>Calculated from LGC</w:t>
            </w:r>
            <w:r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</w:tbl>
    <w:p w14:paraId="4F7378A7" w14:textId="77777777" w:rsidR="00D85CCB" w:rsidRPr="00914B67" w:rsidRDefault="00D85CCB" w:rsidP="00FA4C6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1BCD561" w14:textId="77777777" w:rsidR="00D85CCB" w:rsidRPr="00D85CCB" w:rsidRDefault="00D85CCB" w:rsidP="0005570E">
      <w:pPr>
        <w:jc w:val="center"/>
        <w:rPr>
          <w:rFonts w:cstheme="minorHAnsi"/>
          <w:b/>
          <w:sz w:val="20"/>
          <w:szCs w:val="20"/>
        </w:rPr>
        <w:sectPr w:rsidR="00D85CCB" w:rsidRPr="00D85CCB" w:rsidSect="00D25160">
          <w:footerReference w:type="default" r:id="rId11"/>
          <w:pgSz w:w="12240" w:h="15840" w:code="1"/>
          <w:pgMar w:top="1152" w:right="864" w:bottom="720" w:left="720" w:header="720" w:footer="432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811" w:tblpY="16"/>
        <w:tblW w:w="10705" w:type="dxa"/>
        <w:tblLook w:val="04A0" w:firstRow="1" w:lastRow="0" w:firstColumn="1" w:lastColumn="0" w:noHBand="0" w:noVBand="1"/>
      </w:tblPr>
      <w:tblGrid>
        <w:gridCol w:w="3420"/>
        <w:gridCol w:w="3330"/>
        <w:gridCol w:w="3955"/>
      </w:tblGrid>
      <w:tr w:rsidR="0005570E" w14:paraId="414FE0BF" w14:textId="77777777" w:rsidTr="004D6A07">
        <w:trPr>
          <w:trHeight w:val="432"/>
        </w:trPr>
        <w:tc>
          <w:tcPr>
            <w:tcW w:w="10705" w:type="dxa"/>
            <w:gridSpan w:val="3"/>
            <w:shd w:val="clear" w:color="auto" w:fill="D0CECE" w:themeFill="background2" w:themeFillShade="E6"/>
            <w:vAlign w:val="center"/>
          </w:tcPr>
          <w:p w14:paraId="75044ECC" w14:textId="0AFD90C6" w:rsidR="0005570E" w:rsidRPr="00FA4C67" w:rsidRDefault="0005570E" w:rsidP="004D6A07">
            <w:pPr>
              <w:rPr>
                <w:rFonts w:cstheme="minorHAnsi"/>
                <w:sz w:val="20"/>
                <w:szCs w:val="20"/>
              </w:rPr>
            </w:pPr>
            <w:r w:rsidRPr="0005570E">
              <w:rPr>
                <w:rFonts w:cstheme="minorHAnsi"/>
                <w:b/>
                <w:sz w:val="24"/>
                <w:szCs w:val="24"/>
              </w:rPr>
              <w:t>List of Acronyms</w:t>
            </w:r>
          </w:p>
        </w:tc>
      </w:tr>
      <w:tr w:rsidR="00FA4C67" w14:paraId="4499D5CF" w14:textId="77777777" w:rsidTr="004D6A07">
        <w:trPr>
          <w:trHeight w:val="504"/>
        </w:trPr>
        <w:tc>
          <w:tcPr>
            <w:tcW w:w="3420" w:type="dxa"/>
            <w:vAlign w:val="center"/>
          </w:tcPr>
          <w:p w14:paraId="7AB54BAA" w14:textId="75DAEEEF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CS = Collection System</w:t>
            </w:r>
          </w:p>
        </w:tc>
        <w:tc>
          <w:tcPr>
            <w:tcW w:w="3330" w:type="dxa"/>
            <w:vAlign w:val="center"/>
          </w:tcPr>
          <w:p w14:paraId="1824B631" w14:textId="0608F6BB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DWR = Division of Water Resources</w:t>
            </w:r>
          </w:p>
        </w:tc>
        <w:tc>
          <w:tcPr>
            <w:tcW w:w="3955" w:type="dxa"/>
            <w:vAlign w:val="center"/>
          </w:tcPr>
          <w:p w14:paraId="536E2BF9" w14:textId="43BCCC5C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SSO = Sanitary Sewer Overflow</w:t>
            </w:r>
          </w:p>
        </w:tc>
      </w:tr>
      <w:tr w:rsidR="00914B67" w14:paraId="444BB85E" w14:textId="77777777" w:rsidTr="004D6A07">
        <w:trPr>
          <w:trHeight w:val="504"/>
        </w:trPr>
        <w:tc>
          <w:tcPr>
            <w:tcW w:w="3420" w:type="dxa"/>
            <w:vAlign w:val="center"/>
          </w:tcPr>
          <w:p w14:paraId="5CAC44AF" w14:textId="0B1EA562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DEQ = Dep</w:t>
            </w:r>
            <w:r>
              <w:rPr>
                <w:rFonts w:cstheme="minorHAnsi"/>
                <w:sz w:val="20"/>
                <w:szCs w:val="20"/>
              </w:rPr>
              <w:t xml:space="preserve">t. </w:t>
            </w:r>
            <w:r w:rsidRPr="00FA4C67">
              <w:rPr>
                <w:rFonts w:cstheme="minorHAnsi"/>
                <w:sz w:val="20"/>
                <w:szCs w:val="20"/>
              </w:rPr>
              <w:t>of Environmental Quality</w:t>
            </w:r>
          </w:p>
        </w:tc>
        <w:tc>
          <w:tcPr>
            <w:tcW w:w="3330" w:type="dxa"/>
            <w:vAlign w:val="center"/>
          </w:tcPr>
          <w:p w14:paraId="57D3C949" w14:textId="3084B581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EFC = Environmental Finance Center</w:t>
            </w:r>
          </w:p>
        </w:tc>
        <w:tc>
          <w:tcPr>
            <w:tcW w:w="3955" w:type="dxa"/>
            <w:vAlign w:val="center"/>
          </w:tcPr>
          <w:p w14:paraId="72DDDBF2" w14:textId="457002A8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SWIA = State Water Infrastructure Authority</w:t>
            </w:r>
          </w:p>
        </w:tc>
      </w:tr>
      <w:tr w:rsidR="00914B67" w14:paraId="6F3905DD" w14:textId="77777777" w:rsidTr="004D6A07">
        <w:trPr>
          <w:trHeight w:val="504"/>
        </w:trPr>
        <w:tc>
          <w:tcPr>
            <w:tcW w:w="3420" w:type="dxa"/>
            <w:vAlign w:val="center"/>
          </w:tcPr>
          <w:p w14:paraId="27ECC5E4" w14:textId="525FD706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DSCR = Debt Service Coverage Ratio</w:t>
            </w:r>
          </w:p>
        </w:tc>
        <w:tc>
          <w:tcPr>
            <w:tcW w:w="3330" w:type="dxa"/>
            <w:vAlign w:val="center"/>
          </w:tcPr>
          <w:p w14:paraId="41708A34" w14:textId="53FC5E4F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LGC = Local Government Commission</w:t>
            </w:r>
          </w:p>
        </w:tc>
        <w:tc>
          <w:tcPr>
            <w:tcW w:w="3955" w:type="dxa"/>
            <w:vAlign w:val="center"/>
          </w:tcPr>
          <w:p w14:paraId="1572C695" w14:textId="229605FB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WW = Wastewater (sewer)</w:t>
            </w:r>
          </w:p>
        </w:tc>
      </w:tr>
      <w:tr w:rsidR="00FA4C67" w14:paraId="6E260826" w14:textId="77777777" w:rsidTr="004D6A07">
        <w:trPr>
          <w:trHeight w:val="504"/>
        </w:trPr>
        <w:tc>
          <w:tcPr>
            <w:tcW w:w="3420" w:type="dxa"/>
            <w:vAlign w:val="center"/>
          </w:tcPr>
          <w:p w14:paraId="79A2D0EA" w14:textId="01C0D246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DW = Drinking Water</w:t>
            </w:r>
          </w:p>
        </w:tc>
        <w:tc>
          <w:tcPr>
            <w:tcW w:w="3330" w:type="dxa"/>
            <w:vAlign w:val="center"/>
          </w:tcPr>
          <w:p w14:paraId="763594EB" w14:textId="4F5B5C4A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LWSR = Local Water Supply Plan</w:t>
            </w:r>
          </w:p>
        </w:tc>
        <w:tc>
          <w:tcPr>
            <w:tcW w:w="3955" w:type="dxa"/>
            <w:vMerge w:val="restart"/>
            <w:vAlign w:val="center"/>
          </w:tcPr>
          <w:p w14:paraId="009EFB94" w14:textId="08405FCD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UAL = Unit Assistant List generated by LGC to identify communities that may have problems with accounting procedures identified through audits</w:t>
            </w:r>
          </w:p>
        </w:tc>
      </w:tr>
      <w:tr w:rsidR="00FA4C67" w14:paraId="5F315AA0" w14:textId="77777777" w:rsidTr="004D6A07">
        <w:tc>
          <w:tcPr>
            <w:tcW w:w="3420" w:type="dxa"/>
            <w:vAlign w:val="center"/>
          </w:tcPr>
          <w:p w14:paraId="44137A2A" w14:textId="2AC7894D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DWI = Division of Water Infrastructure</w:t>
            </w:r>
          </w:p>
        </w:tc>
        <w:tc>
          <w:tcPr>
            <w:tcW w:w="3330" w:type="dxa"/>
            <w:vAlign w:val="center"/>
          </w:tcPr>
          <w:p w14:paraId="3A4272E7" w14:textId="179F4CAD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  <w:r w:rsidRPr="00FA4C67">
              <w:rPr>
                <w:rFonts w:cstheme="minorHAnsi"/>
                <w:sz w:val="20"/>
                <w:szCs w:val="20"/>
              </w:rPr>
              <w:t>MCL = Maximum Contaminant Level</w:t>
            </w:r>
          </w:p>
        </w:tc>
        <w:tc>
          <w:tcPr>
            <w:tcW w:w="3955" w:type="dxa"/>
            <w:vMerge/>
          </w:tcPr>
          <w:p w14:paraId="223ED300" w14:textId="77777777" w:rsidR="00FA4C67" w:rsidRDefault="00FA4C67" w:rsidP="004D6A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0819CE" w14:textId="2CC37782" w:rsidR="002D5871" w:rsidRPr="00D1765A" w:rsidRDefault="002D5871" w:rsidP="00D1765A">
      <w:pPr>
        <w:spacing w:after="0"/>
        <w:rPr>
          <w:rFonts w:cstheme="minorHAnsi"/>
          <w:sz w:val="6"/>
          <w:szCs w:val="6"/>
        </w:rPr>
      </w:pPr>
    </w:p>
    <w:p w14:paraId="2610512F" w14:textId="5B074506" w:rsidR="005D41A1" w:rsidRDefault="005D41A1" w:rsidP="00D85CCB">
      <w:pPr>
        <w:rPr>
          <w:rFonts w:cstheme="minorHAnsi"/>
          <w:sz w:val="20"/>
          <w:szCs w:val="20"/>
        </w:rPr>
      </w:pPr>
    </w:p>
    <w:p w14:paraId="40EFE5ED" w14:textId="77777777" w:rsidR="005D41A1" w:rsidRPr="005D41A1" w:rsidRDefault="005D41A1" w:rsidP="00D85CCB">
      <w:pPr>
        <w:rPr>
          <w:rFonts w:cstheme="minorHAnsi"/>
          <w:sz w:val="24"/>
          <w:szCs w:val="24"/>
        </w:rPr>
      </w:pPr>
    </w:p>
    <w:sectPr w:rsidR="005D41A1" w:rsidRPr="005D41A1" w:rsidSect="0054269E">
      <w:type w:val="continuous"/>
      <w:pgSz w:w="12240" w:h="15840" w:code="1"/>
      <w:pgMar w:top="720" w:right="720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9A8" w14:textId="77777777" w:rsidR="006D61C0" w:rsidRDefault="006D61C0" w:rsidP="005610EA">
      <w:pPr>
        <w:spacing w:after="0" w:line="240" w:lineRule="auto"/>
      </w:pPr>
      <w:r>
        <w:separator/>
      </w:r>
    </w:p>
  </w:endnote>
  <w:endnote w:type="continuationSeparator" w:id="0">
    <w:p w14:paraId="45CB2782" w14:textId="77777777" w:rsidR="006D61C0" w:rsidRDefault="006D61C0" w:rsidP="005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32A1" w14:textId="46C70FBF" w:rsidR="00C93415" w:rsidRPr="006A66ED" w:rsidRDefault="00FA241A" w:rsidP="006A66ED">
    <w:pPr>
      <w:pStyle w:val="Footer"/>
    </w:pPr>
    <w:r w:rsidRPr="006A66E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C1CF" w14:textId="77777777" w:rsidR="006D61C0" w:rsidRDefault="006D61C0" w:rsidP="005610EA">
      <w:pPr>
        <w:spacing w:after="0" w:line="240" w:lineRule="auto"/>
      </w:pPr>
      <w:r>
        <w:separator/>
      </w:r>
    </w:p>
  </w:footnote>
  <w:footnote w:type="continuationSeparator" w:id="0">
    <w:p w14:paraId="737BE7B4" w14:textId="77777777" w:rsidR="006D61C0" w:rsidRDefault="006D61C0" w:rsidP="0056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A34"/>
    <w:multiLevelType w:val="hybridMultilevel"/>
    <w:tmpl w:val="87ECE1C2"/>
    <w:lvl w:ilvl="0" w:tplc="50600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C398">
      <w:numFmt w:val="none"/>
      <w:lvlText w:val=""/>
      <w:lvlJc w:val="left"/>
      <w:pPr>
        <w:tabs>
          <w:tab w:val="num" w:pos="360"/>
        </w:tabs>
      </w:pPr>
    </w:lvl>
    <w:lvl w:ilvl="2" w:tplc="417EC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4C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7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7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A8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8A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CF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C36ED2"/>
    <w:multiLevelType w:val="hybridMultilevel"/>
    <w:tmpl w:val="306CE8F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EDD07F3"/>
    <w:multiLevelType w:val="hybridMultilevel"/>
    <w:tmpl w:val="2ADEE3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57A03"/>
    <w:multiLevelType w:val="hybridMultilevel"/>
    <w:tmpl w:val="115C4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43F9"/>
    <w:multiLevelType w:val="hybridMultilevel"/>
    <w:tmpl w:val="79845066"/>
    <w:lvl w:ilvl="0" w:tplc="0409000F">
      <w:start w:val="1"/>
      <w:numFmt w:val="decimal"/>
      <w:lvlText w:val="%1."/>
      <w:lvlJc w:val="left"/>
      <w:pPr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37381604"/>
    <w:multiLevelType w:val="hybridMultilevel"/>
    <w:tmpl w:val="880CB250"/>
    <w:lvl w:ilvl="0" w:tplc="D3AE3682">
      <w:start w:val="4"/>
      <w:numFmt w:val="decimal"/>
      <w:lvlText w:val="%1."/>
      <w:lvlJc w:val="left"/>
      <w:pPr>
        <w:ind w:left="10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AEE728D"/>
    <w:multiLevelType w:val="hybridMultilevel"/>
    <w:tmpl w:val="D3644BB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BC523E0"/>
    <w:multiLevelType w:val="hybridMultilevel"/>
    <w:tmpl w:val="5D2A6AAA"/>
    <w:lvl w:ilvl="0" w:tplc="105E3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48DB"/>
    <w:multiLevelType w:val="hybridMultilevel"/>
    <w:tmpl w:val="9BE89038"/>
    <w:lvl w:ilvl="0" w:tplc="268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E2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A5736">
      <w:numFmt w:val="none"/>
      <w:lvlText w:val=""/>
      <w:lvlJc w:val="left"/>
      <w:pPr>
        <w:tabs>
          <w:tab w:val="num" w:pos="360"/>
        </w:tabs>
      </w:pPr>
    </w:lvl>
    <w:lvl w:ilvl="3" w:tplc="18422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C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0B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C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E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C87928"/>
    <w:multiLevelType w:val="hybridMultilevel"/>
    <w:tmpl w:val="8F1CC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A5644"/>
    <w:multiLevelType w:val="hybridMultilevel"/>
    <w:tmpl w:val="AE6619E0"/>
    <w:lvl w:ilvl="0" w:tplc="0C428A36">
      <w:start w:val="1"/>
      <w:numFmt w:val="bullet"/>
      <w:lvlText w:val="o"/>
      <w:lvlJc w:val="left"/>
      <w:pPr>
        <w:ind w:left="36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4B524CC1"/>
    <w:multiLevelType w:val="hybridMultilevel"/>
    <w:tmpl w:val="B5E82310"/>
    <w:lvl w:ilvl="0" w:tplc="4CC8134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538E6D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B70D3"/>
    <w:multiLevelType w:val="multilevel"/>
    <w:tmpl w:val="1F4CF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C1F75"/>
    <w:multiLevelType w:val="hybridMultilevel"/>
    <w:tmpl w:val="79845066"/>
    <w:lvl w:ilvl="0" w:tplc="0409000F">
      <w:start w:val="1"/>
      <w:numFmt w:val="decimal"/>
      <w:lvlText w:val="%1."/>
      <w:lvlJc w:val="left"/>
      <w:pPr>
        <w:ind w:left="10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5B3A17CE"/>
    <w:multiLevelType w:val="hybridMultilevel"/>
    <w:tmpl w:val="D72E82D8"/>
    <w:lvl w:ilvl="0" w:tplc="6480DE2C">
      <w:start w:val="1"/>
      <w:numFmt w:val="lowerLetter"/>
      <w:lvlText w:val="%1."/>
      <w:lvlJc w:val="left"/>
      <w:pPr>
        <w:ind w:left="13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6AE474A7"/>
    <w:multiLevelType w:val="hybridMultilevel"/>
    <w:tmpl w:val="F0348FF6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6D884B2E"/>
    <w:multiLevelType w:val="hybridMultilevel"/>
    <w:tmpl w:val="8402BB60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 w15:restartNumberingAfterBreak="0">
    <w:nsid w:val="6E423C64"/>
    <w:multiLevelType w:val="hybridMultilevel"/>
    <w:tmpl w:val="FBB60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5E4F"/>
    <w:multiLevelType w:val="multilevel"/>
    <w:tmpl w:val="832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D46EF8"/>
    <w:multiLevelType w:val="hybridMultilevel"/>
    <w:tmpl w:val="4A7867F4"/>
    <w:lvl w:ilvl="0" w:tplc="9B36FD0C">
      <w:start w:val="1"/>
      <w:numFmt w:val="lowerLetter"/>
      <w:lvlText w:val="%1)"/>
      <w:lvlJc w:val="left"/>
      <w:pPr>
        <w:ind w:left="1267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7BB1930"/>
    <w:multiLevelType w:val="hybridMultilevel"/>
    <w:tmpl w:val="07F21C40"/>
    <w:lvl w:ilvl="0" w:tplc="349EE7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F0102E"/>
    <w:multiLevelType w:val="hybridMultilevel"/>
    <w:tmpl w:val="F0581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6A116C"/>
    <w:multiLevelType w:val="hybridMultilevel"/>
    <w:tmpl w:val="277AD59A"/>
    <w:lvl w:ilvl="0" w:tplc="1F8CC49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21"/>
  </w:num>
  <w:num w:numId="6">
    <w:abstractNumId w:val="22"/>
  </w:num>
  <w:num w:numId="7">
    <w:abstractNumId w:val="9"/>
  </w:num>
  <w:num w:numId="8">
    <w:abstractNumId w:val="8"/>
  </w:num>
  <w:num w:numId="9">
    <w:abstractNumId w:val="18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  <w:num w:numId="14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7"/>
  </w:num>
  <w:num w:numId="16">
    <w:abstractNumId w:val="13"/>
  </w:num>
  <w:num w:numId="17">
    <w:abstractNumId w:val="5"/>
  </w:num>
  <w:num w:numId="18">
    <w:abstractNumId w:val="14"/>
  </w:num>
  <w:num w:numId="19">
    <w:abstractNumId w:val="20"/>
  </w:num>
  <w:num w:numId="20">
    <w:abstractNumId w:val="19"/>
  </w:num>
  <w:num w:numId="21">
    <w:abstractNumId w:val="6"/>
  </w:num>
  <w:num w:numId="22">
    <w:abstractNumId w:val="15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8"/>
    <w:rsid w:val="000050DC"/>
    <w:rsid w:val="00007674"/>
    <w:rsid w:val="000252DC"/>
    <w:rsid w:val="00037619"/>
    <w:rsid w:val="0005570E"/>
    <w:rsid w:val="00075B9C"/>
    <w:rsid w:val="000A47FB"/>
    <w:rsid w:val="000B53FD"/>
    <w:rsid w:val="000D13E5"/>
    <w:rsid w:val="000E11A9"/>
    <w:rsid w:val="000F30E4"/>
    <w:rsid w:val="000F478B"/>
    <w:rsid w:val="000F5A71"/>
    <w:rsid w:val="000F7B42"/>
    <w:rsid w:val="00111023"/>
    <w:rsid w:val="00114CE9"/>
    <w:rsid w:val="00115CDB"/>
    <w:rsid w:val="001203EE"/>
    <w:rsid w:val="0012735C"/>
    <w:rsid w:val="001405F3"/>
    <w:rsid w:val="0014729A"/>
    <w:rsid w:val="00162400"/>
    <w:rsid w:val="00184CE6"/>
    <w:rsid w:val="00197500"/>
    <w:rsid w:val="001A2715"/>
    <w:rsid w:val="001A7482"/>
    <w:rsid w:val="001B1DE0"/>
    <w:rsid w:val="001C243A"/>
    <w:rsid w:val="001F5AD9"/>
    <w:rsid w:val="00216E16"/>
    <w:rsid w:val="0023339A"/>
    <w:rsid w:val="002442BF"/>
    <w:rsid w:val="00250DF0"/>
    <w:rsid w:val="00254E8F"/>
    <w:rsid w:val="002662BD"/>
    <w:rsid w:val="002673B1"/>
    <w:rsid w:val="00273104"/>
    <w:rsid w:val="00277F75"/>
    <w:rsid w:val="0028355E"/>
    <w:rsid w:val="00291B1B"/>
    <w:rsid w:val="002A5951"/>
    <w:rsid w:val="002B480A"/>
    <w:rsid w:val="002D1424"/>
    <w:rsid w:val="002D44A2"/>
    <w:rsid w:val="002D5871"/>
    <w:rsid w:val="002D5A4B"/>
    <w:rsid w:val="002E2595"/>
    <w:rsid w:val="002F11C5"/>
    <w:rsid w:val="002F3FFE"/>
    <w:rsid w:val="002F54B0"/>
    <w:rsid w:val="00317B03"/>
    <w:rsid w:val="0032082A"/>
    <w:rsid w:val="0032557C"/>
    <w:rsid w:val="00345D79"/>
    <w:rsid w:val="00372F65"/>
    <w:rsid w:val="00382012"/>
    <w:rsid w:val="0039339A"/>
    <w:rsid w:val="003A5CCC"/>
    <w:rsid w:val="003B4CEA"/>
    <w:rsid w:val="003C6B31"/>
    <w:rsid w:val="003D529A"/>
    <w:rsid w:val="003E416B"/>
    <w:rsid w:val="00412C93"/>
    <w:rsid w:val="00422205"/>
    <w:rsid w:val="00430860"/>
    <w:rsid w:val="00437C87"/>
    <w:rsid w:val="00444457"/>
    <w:rsid w:val="00444F07"/>
    <w:rsid w:val="004763A6"/>
    <w:rsid w:val="004768B0"/>
    <w:rsid w:val="00492509"/>
    <w:rsid w:val="004C2B15"/>
    <w:rsid w:val="004C574A"/>
    <w:rsid w:val="004D6A07"/>
    <w:rsid w:val="004D748E"/>
    <w:rsid w:val="004E05D9"/>
    <w:rsid w:val="004E7367"/>
    <w:rsid w:val="00500A16"/>
    <w:rsid w:val="0050102C"/>
    <w:rsid w:val="00501670"/>
    <w:rsid w:val="00510E3C"/>
    <w:rsid w:val="00514257"/>
    <w:rsid w:val="00515EFB"/>
    <w:rsid w:val="00530244"/>
    <w:rsid w:val="0054269E"/>
    <w:rsid w:val="005565CC"/>
    <w:rsid w:val="0055693D"/>
    <w:rsid w:val="005610EA"/>
    <w:rsid w:val="0056317C"/>
    <w:rsid w:val="00592135"/>
    <w:rsid w:val="00592375"/>
    <w:rsid w:val="005C12C2"/>
    <w:rsid w:val="005C6331"/>
    <w:rsid w:val="005C7D1C"/>
    <w:rsid w:val="005D41A1"/>
    <w:rsid w:val="005E1DF3"/>
    <w:rsid w:val="005F5E70"/>
    <w:rsid w:val="00607050"/>
    <w:rsid w:val="00610949"/>
    <w:rsid w:val="0062690D"/>
    <w:rsid w:val="00635BE9"/>
    <w:rsid w:val="00646E50"/>
    <w:rsid w:val="00665E1E"/>
    <w:rsid w:val="00692B29"/>
    <w:rsid w:val="00695E08"/>
    <w:rsid w:val="006A66ED"/>
    <w:rsid w:val="006B09C2"/>
    <w:rsid w:val="006B23C4"/>
    <w:rsid w:val="006B419F"/>
    <w:rsid w:val="006C07B9"/>
    <w:rsid w:val="006C4BD4"/>
    <w:rsid w:val="006D57D8"/>
    <w:rsid w:val="006D61C0"/>
    <w:rsid w:val="006E2C16"/>
    <w:rsid w:val="006F07B2"/>
    <w:rsid w:val="00700384"/>
    <w:rsid w:val="007032CB"/>
    <w:rsid w:val="00704ACF"/>
    <w:rsid w:val="00706919"/>
    <w:rsid w:val="00771299"/>
    <w:rsid w:val="00781E79"/>
    <w:rsid w:val="007B35A2"/>
    <w:rsid w:val="007B6E94"/>
    <w:rsid w:val="007D12B3"/>
    <w:rsid w:val="007E06F0"/>
    <w:rsid w:val="007E765A"/>
    <w:rsid w:val="00802FDF"/>
    <w:rsid w:val="00825DAB"/>
    <w:rsid w:val="00825E5B"/>
    <w:rsid w:val="00826C7B"/>
    <w:rsid w:val="008276F5"/>
    <w:rsid w:val="00830687"/>
    <w:rsid w:val="00837F3E"/>
    <w:rsid w:val="00840C10"/>
    <w:rsid w:val="00842B09"/>
    <w:rsid w:val="00844AC1"/>
    <w:rsid w:val="008510C2"/>
    <w:rsid w:val="008A5EAD"/>
    <w:rsid w:val="008B1987"/>
    <w:rsid w:val="008C3E8A"/>
    <w:rsid w:val="008D755E"/>
    <w:rsid w:val="008E0DE2"/>
    <w:rsid w:val="008E3542"/>
    <w:rsid w:val="008E7C73"/>
    <w:rsid w:val="0091076E"/>
    <w:rsid w:val="00914B67"/>
    <w:rsid w:val="0095295F"/>
    <w:rsid w:val="00971D1E"/>
    <w:rsid w:val="00972624"/>
    <w:rsid w:val="00991A31"/>
    <w:rsid w:val="00996FA9"/>
    <w:rsid w:val="009A6C61"/>
    <w:rsid w:val="009C1DD8"/>
    <w:rsid w:val="009F39C0"/>
    <w:rsid w:val="00A06A18"/>
    <w:rsid w:val="00A318E2"/>
    <w:rsid w:val="00A32BA3"/>
    <w:rsid w:val="00A33AE8"/>
    <w:rsid w:val="00A35863"/>
    <w:rsid w:val="00A367F0"/>
    <w:rsid w:val="00A566A1"/>
    <w:rsid w:val="00A62380"/>
    <w:rsid w:val="00A62DE3"/>
    <w:rsid w:val="00A62E57"/>
    <w:rsid w:val="00A71621"/>
    <w:rsid w:val="00A72026"/>
    <w:rsid w:val="00A8085A"/>
    <w:rsid w:val="00A84F51"/>
    <w:rsid w:val="00A915FB"/>
    <w:rsid w:val="00AC33BC"/>
    <w:rsid w:val="00AC4797"/>
    <w:rsid w:val="00AC4871"/>
    <w:rsid w:val="00AD2472"/>
    <w:rsid w:val="00AE0BD8"/>
    <w:rsid w:val="00AF4E11"/>
    <w:rsid w:val="00B12AA7"/>
    <w:rsid w:val="00B12FD9"/>
    <w:rsid w:val="00B35729"/>
    <w:rsid w:val="00B51F72"/>
    <w:rsid w:val="00B56DAB"/>
    <w:rsid w:val="00B61B9D"/>
    <w:rsid w:val="00B62970"/>
    <w:rsid w:val="00B6409E"/>
    <w:rsid w:val="00B6592D"/>
    <w:rsid w:val="00B72887"/>
    <w:rsid w:val="00B7465B"/>
    <w:rsid w:val="00BC03EB"/>
    <w:rsid w:val="00BC357D"/>
    <w:rsid w:val="00BC60C3"/>
    <w:rsid w:val="00BD3BAF"/>
    <w:rsid w:val="00BF00B3"/>
    <w:rsid w:val="00C175A3"/>
    <w:rsid w:val="00C21319"/>
    <w:rsid w:val="00C3078D"/>
    <w:rsid w:val="00C442CC"/>
    <w:rsid w:val="00C46BAB"/>
    <w:rsid w:val="00C57EF5"/>
    <w:rsid w:val="00C70E40"/>
    <w:rsid w:val="00C80534"/>
    <w:rsid w:val="00C93415"/>
    <w:rsid w:val="00C95A05"/>
    <w:rsid w:val="00CC050F"/>
    <w:rsid w:val="00CE4B76"/>
    <w:rsid w:val="00CF5E2F"/>
    <w:rsid w:val="00D12980"/>
    <w:rsid w:val="00D1765A"/>
    <w:rsid w:val="00D20758"/>
    <w:rsid w:val="00D21D3D"/>
    <w:rsid w:val="00D25160"/>
    <w:rsid w:val="00D842A4"/>
    <w:rsid w:val="00D85CCB"/>
    <w:rsid w:val="00DA7C19"/>
    <w:rsid w:val="00DC328C"/>
    <w:rsid w:val="00DD5088"/>
    <w:rsid w:val="00DE2374"/>
    <w:rsid w:val="00DF378E"/>
    <w:rsid w:val="00DF5316"/>
    <w:rsid w:val="00DF5A20"/>
    <w:rsid w:val="00E00468"/>
    <w:rsid w:val="00E06D56"/>
    <w:rsid w:val="00E236C7"/>
    <w:rsid w:val="00E25F98"/>
    <w:rsid w:val="00EA4986"/>
    <w:rsid w:val="00EB45F7"/>
    <w:rsid w:val="00EB755D"/>
    <w:rsid w:val="00EE34DF"/>
    <w:rsid w:val="00EF252E"/>
    <w:rsid w:val="00EF5B37"/>
    <w:rsid w:val="00F0390C"/>
    <w:rsid w:val="00F1396B"/>
    <w:rsid w:val="00F45461"/>
    <w:rsid w:val="00F466B6"/>
    <w:rsid w:val="00F74788"/>
    <w:rsid w:val="00F86D76"/>
    <w:rsid w:val="00F91BFF"/>
    <w:rsid w:val="00FA241A"/>
    <w:rsid w:val="00FA45A0"/>
    <w:rsid w:val="00FA4C67"/>
    <w:rsid w:val="00FA5907"/>
    <w:rsid w:val="00FA76E5"/>
    <w:rsid w:val="00FA7D33"/>
    <w:rsid w:val="00FB08F7"/>
    <w:rsid w:val="00FD0946"/>
    <w:rsid w:val="00FD1EF2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A1F07"/>
  <w15:chartTrackingRefBased/>
  <w15:docId w15:val="{A326ABBC-C728-4067-B01C-235A3854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EA"/>
  </w:style>
  <w:style w:type="paragraph" w:styleId="Footer">
    <w:name w:val="footer"/>
    <w:basedOn w:val="Normal"/>
    <w:link w:val="FooterChar"/>
    <w:uiPriority w:val="99"/>
    <w:unhideWhenUsed/>
    <w:rsid w:val="0056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EA"/>
  </w:style>
  <w:style w:type="paragraph" w:styleId="ListParagraph">
    <w:name w:val="List Paragraph"/>
    <w:basedOn w:val="Normal"/>
    <w:link w:val="ListParagraphChar"/>
    <w:uiPriority w:val="1"/>
    <w:qFormat/>
    <w:rsid w:val="0056317C"/>
    <w:pPr>
      <w:ind w:left="720"/>
      <w:contextualSpacing/>
    </w:pPr>
  </w:style>
  <w:style w:type="paragraph" w:customStyle="1" w:styleId="Default">
    <w:name w:val="Default"/>
    <w:rsid w:val="0056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6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6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rsid w:val="006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7482"/>
  </w:style>
  <w:style w:type="paragraph" w:styleId="BodyTextIndent2">
    <w:name w:val="Body Text Indent 2"/>
    <w:basedOn w:val="Normal"/>
    <w:link w:val="BodyTextIndent2Char"/>
    <w:rsid w:val="00250DF0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0DF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2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9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3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17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26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5" ma:contentTypeDescription="Create a new document." ma:contentTypeScope="" ma:versionID="2dd4181a7a1a0c10ba6b5e4a1e7feec8">
  <xsd:schema xmlns:xsd="http://www.w3.org/2001/XMLSchema" xmlns:xs="http://www.w3.org/2001/XMLSchema" xmlns:p="http://schemas.microsoft.com/office/2006/metadata/properties" xmlns:ns1="http://schemas.microsoft.com/sharepoint/v3" xmlns:ns3="014766f9-f03f-4f82-9f7b-28147283a54f" xmlns:ns4="0d419eec-aeb2-4058-b027-12270574ead5" targetNamespace="http://schemas.microsoft.com/office/2006/metadata/properties" ma:root="true" ma:fieldsID="69b0c971de156961554bec8fc739775c" ns1:_="" ns3:_="" ns4:_="">
    <xsd:import namespace="http://schemas.microsoft.com/sharepoint/v3"/>
    <xsd:import namespace="014766f9-f03f-4f82-9f7b-28147283a54f"/>
    <xsd:import namespace="0d419eec-aeb2-4058-b027-12270574e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18B9-352F-4C98-9078-6BA421F86CC5}">
  <ds:schemaRefs>
    <ds:schemaRef ds:uri="http://purl.org/dc/terms/"/>
    <ds:schemaRef ds:uri="0d419eec-aeb2-4058-b027-12270574ead5"/>
    <ds:schemaRef ds:uri="http://schemas.microsoft.com/office/2006/documentManagement/types"/>
    <ds:schemaRef ds:uri="014766f9-f03f-4f82-9f7b-28147283a54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694C05-EFF1-4648-AA13-ABEA48FC9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72BD-982D-438E-8BB5-B00DABF9B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4766f9-f03f-4f82-9f7b-28147283a54f"/>
    <ds:schemaRef ds:uri="0d419eec-aeb2-4058-b027-12270574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2FA9D-5690-4AD5-9B2C-66AE3169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Kubacki, Susan</dc:creator>
  <cp:keywords/>
  <dc:description/>
  <cp:lastModifiedBy>Kubacki, Susan</cp:lastModifiedBy>
  <cp:revision>3</cp:revision>
  <cp:lastPrinted>2020-11-13T20:11:00Z</cp:lastPrinted>
  <dcterms:created xsi:type="dcterms:W3CDTF">2021-02-24T14:58:00Z</dcterms:created>
  <dcterms:modified xsi:type="dcterms:W3CDTF">2021-02-24T14:59:00Z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</Properties>
</file>